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charts/chart6.xml" ContentType="application/vnd.openxmlformats-officedocument.drawingml.chart+xml"/>
  <Override PartName="/word/drawings/drawing5.xml" ContentType="application/vnd.openxmlformats-officedocument.drawingml.chartshapes+xml"/>
  <Override PartName="/word/charts/chart7.xml" ContentType="application/vnd.openxmlformats-officedocument.drawingml.chart+xml"/>
  <Override PartName="/word/drawings/drawing6.xml" ContentType="application/vnd.openxmlformats-officedocument.drawingml.chartshapes+xml"/>
  <Override PartName="/word/charts/chart8.xml" ContentType="application/vnd.openxmlformats-officedocument.drawingml.chart+xml"/>
  <Override PartName="/word/drawings/drawing7.xml" ContentType="application/vnd.openxmlformats-officedocument.drawingml.chartshapes+xml"/>
  <Override PartName="/word/charts/chart9.xml" ContentType="application/vnd.openxmlformats-officedocument.drawingml.chart+xml"/>
  <Override PartName="/word/drawings/drawing8.xml" ContentType="application/vnd.openxmlformats-officedocument.drawingml.chartshapes+xml"/>
  <Override PartName="/word/charts/chart10.xml" ContentType="application/vnd.openxmlformats-officedocument.drawingml.chart+xml"/>
  <Override PartName="/word/drawings/drawing9.xml" ContentType="application/vnd.openxmlformats-officedocument.drawingml.chartshapes+xml"/>
  <Override PartName="/word/charts/chart11.xml" ContentType="application/vnd.openxmlformats-officedocument.drawingml.chart+xml"/>
  <Override PartName="/word/drawings/drawing10.xml" ContentType="application/vnd.openxmlformats-officedocument.drawingml.chartshapes+xml"/>
  <Override PartName="/word/charts/chart12.xml" ContentType="application/vnd.openxmlformats-officedocument.drawingml.chart+xml"/>
  <Override PartName="/word/drawings/drawing11.xml" ContentType="application/vnd.openxmlformats-officedocument.drawingml.chartshapes+xml"/>
  <Override PartName="/word/charts/chart13.xml" ContentType="application/vnd.openxmlformats-officedocument.drawingml.chart+xml"/>
  <Override PartName="/word/drawings/drawing12.xml" ContentType="application/vnd.openxmlformats-officedocument.drawingml.chartshapes+xml"/>
  <Override PartName="/word/charts/chart14.xml" ContentType="application/vnd.openxmlformats-officedocument.drawingml.chart+xml"/>
  <Override PartName="/word/drawings/drawing13.xml" ContentType="application/vnd.openxmlformats-officedocument.drawingml.chartshapes+xml"/>
  <Override PartName="/word/charts/chart15.xml" ContentType="application/vnd.openxmlformats-officedocument.drawingml.chart+xml"/>
  <Override PartName="/word/drawings/drawing14.xml" ContentType="application/vnd.openxmlformats-officedocument.drawingml.chartshapes+xml"/>
  <Override PartName="/word/charts/chart16.xml" ContentType="application/vnd.openxmlformats-officedocument.drawingml.chart+xml"/>
  <Override PartName="/word/drawings/drawing15.xml" ContentType="application/vnd.openxmlformats-officedocument.drawingml.chartshapes+xml"/>
  <Override PartName="/word/charts/chart17.xml" ContentType="application/vnd.openxmlformats-officedocument.drawingml.chart+xml"/>
  <Override PartName="/word/drawings/drawing16.xml" ContentType="application/vnd.openxmlformats-officedocument.drawingml.chartshapes+xml"/>
  <Override PartName="/word/charts/chart18.xml" ContentType="application/vnd.openxmlformats-officedocument.drawingml.chart+xml"/>
  <Override PartName="/word/drawings/drawing17.xml" ContentType="application/vnd.openxmlformats-officedocument.drawingml.chartshapes+xml"/>
  <Override PartName="/word/charts/chart19.xml" ContentType="application/vnd.openxmlformats-officedocument.drawingml.chart+xml"/>
  <Override PartName="/word/drawings/drawing18.xml" ContentType="application/vnd.openxmlformats-officedocument.drawingml.chartshapes+xml"/>
  <Override PartName="/word/charts/chart20.xml" ContentType="application/vnd.openxmlformats-officedocument.drawingml.chart+xml"/>
  <Override PartName="/word/drawings/drawing19.xml" ContentType="application/vnd.openxmlformats-officedocument.drawingml.chartshapes+xml"/>
  <Override PartName="/word/charts/chart21.xml" ContentType="application/vnd.openxmlformats-officedocument.drawingml.chart+xml"/>
  <Override PartName="/word/drawings/drawing20.xml" ContentType="application/vnd.openxmlformats-officedocument.drawingml.chartshapes+xml"/>
  <Override PartName="/word/charts/chart22.xml" ContentType="application/vnd.openxmlformats-officedocument.drawingml.chart+xml"/>
  <Override PartName="/word/drawings/drawing21.xml" ContentType="application/vnd.openxmlformats-officedocument.drawingml.chartshapes+xml"/>
  <Override PartName="/word/charts/chart23.xml" ContentType="application/vnd.openxmlformats-officedocument.drawingml.chart+xml"/>
  <Override PartName="/word/drawings/drawing22.xml" ContentType="application/vnd.openxmlformats-officedocument.drawingml.chartshapes+xml"/>
  <Override PartName="/word/charts/chart24.xml" ContentType="application/vnd.openxmlformats-officedocument.drawingml.chart+xml"/>
  <Override PartName="/word/drawings/drawing23.xml" ContentType="application/vnd.openxmlformats-officedocument.drawingml.chartshapes+xml"/>
  <Override PartName="/word/charts/chart25.xml" ContentType="application/vnd.openxmlformats-officedocument.drawingml.chart+xml"/>
  <Override PartName="/word/drawings/drawing24.xml" ContentType="application/vnd.openxmlformats-officedocument.drawingml.chartshapes+xml"/>
  <Override PartName="/word/charts/chart26.xml" ContentType="application/vnd.openxmlformats-officedocument.drawingml.chart+xml"/>
  <Override PartName="/word/drawings/drawing25.xml" ContentType="application/vnd.openxmlformats-officedocument.drawingml.chartshapes+xml"/>
  <Override PartName="/word/charts/chart27.xml" ContentType="application/vnd.openxmlformats-officedocument.drawingml.chart+xml"/>
  <Override PartName="/word/drawings/drawing26.xml" ContentType="application/vnd.openxmlformats-officedocument.drawingml.chartshapes+xml"/>
  <Override PartName="/word/charts/chart28.xml" ContentType="application/vnd.openxmlformats-officedocument.drawingml.chart+xml"/>
  <Override PartName="/word/drawings/drawing27.xml" ContentType="application/vnd.openxmlformats-officedocument.drawingml.chartshapes+xml"/>
  <Override PartName="/word/charts/chart29.xml" ContentType="application/vnd.openxmlformats-officedocument.drawingml.chart+xml"/>
  <Override PartName="/word/drawings/drawing28.xml" ContentType="application/vnd.openxmlformats-officedocument.drawingml.chartshapes+xml"/>
  <Override PartName="/word/charts/chart30.xml" ContentType="application/vnd.openxmlformats-officedocument.drawingml.chart+xml"/>
  <Override PartName="/word/drawings/drawing29.xml" ContentType="application/vnd.openxmlformats-officedocument.drawingml.chartshapes+xml"/>
  <Override PartName="/word/charts/chart31.xml" ContentType="application/vnd.openxmlformats-officedocument.drawingml.chart+xml"/>
  <Override PartName="/word/drawings/drawing30.xml" ContentType="application/vnd.openxmlformats-officedocument.drawingml.chartshapes+xml"/>
  <Override PartName="/word/charts/chart32.xml" ContentType="application/vnd.openxmlformats-officedocument.drawingml.chart+xml"/>
  <Override PartName="/word/drawings/drawing31.xml" ContentType="application/vnd.openxmlformats-officedocument.drawingml.chartshapes+xml"/>
  <Override PartName="/word/charts/chart33.xml" ContentType="application/vnd.openxmlformats-officedocument.drawingml.chart+xml"/>
  <Override PartName="/word/drawings/drawing32.xml" ContentType="application/vnd.openxmlformats-officedocument.drawingml.chartshapes+xml"/>
  <Override PartName="/word/charts/chart34.xml" ContentType="application/vnd.openxmlformats-officedocument.drawingml.chart+xml"/>
  <Override PartName="/word/drawings/drawing33.xml" ContentType="application/vnd.openxmlformats-officedocument.drawingml.chartshapes+xml"/>
  <Override PartName="/word/charts/chart35.xml" ContentType="application/vnd.openxmlformats-officedocument.drawingml.chart+xml"/>
  <Override PartName="/word/drawings/drawing34.xml" ContentType="application/vnd.openxmlformats-officedocument.drawingml.chartshapes+xml"/>
  <Override PartName="/word/charts/chart36.xml" ContentType="application/vnd.openxmlformats-officedocument.drawingml.chart+xml"/>
  <Override PartName="/word/drawings/drawing35.xml" ContentType="application/vnd.openxmlformats-officedocument.drawingml.chartshapes+xml"/>
  <Override PartName="/word/charts/chart37.xml" ContentType="application/vnd.openxmlformats-officedocument.drawingml.chart+xml"/>
  <Override PartName="/word/drawings/drawing36.xml" ContentType="application/vnd.openxmlformats-officedocument.drawingml.chartshapes+xml"/>
  <Override PartName="/word/charts/chart38.xml" ContentType="application/vnd.openxmlformats-officedocument.drawingml.chart+xml"/>
  <Override PartName="/word/drawings/drawing37.xml" ContentType="application/vnd.openxmlformats-officedocument.drawingml.chartshapes+xml"/>
  <Override PartName="/word/charts/chart39.xml" ContentType="application/vnd.openxmlformats-officedocument.drawingml.chart+xml"/>
  <Override PartName="/word/drawings/drawing38.xml" ContentType="application/vnd.openxmlformats-officedocument.drawingml.chartshapes+xml"/>
  <Override PartName="/word/charts/chart40.xml" ContentType="application/vnd.openxmlformats-officedocument.drawingml.chart+xml"/>
  <Override PartName="/word/drawings/drawing39.xml" ContentType="application/vnd.openxmlformats-officedocument.drawingml.chartshapes+xml"/>
  <Override PartName="/word/charts/chart41.xml" ContentType="application/vnd.openxmlformats-officedocument.drawingml.chart+xml"/>
  <Override PartName="/word/drawings/drawing40.xml" ContentType="application/vnd.openxmlformats-officedocument.drawingml.chartshapes+xml"/>
  <Override PartName="/word/charts/chart42.xml" ContentType="application/vnd.openxmlformats-officedocument.drawingml.chart+xml"/>
  <Override PartName="/word/drawings/drawing41.xml" ContentType="application/vnd.openxmlformats-officedocument.drawingml.chartshapes+xml"/>
  <Override PartName="/word/charts/chart43.xml" ContentType="application/vnd.openxmlformats-officedocument.drawingml.chart+xml"/>
  <Override PartName="/word/drawings/drawing42.xml" ContentType="application/vnd.openxmlformats-officedocument.drawingml.chartshapes+xml"/>
  <Override PartName="/word/charts/chart44.xml" ContentType="application/vnd.openxmlformats-officedocument.drawingml.chart+xml"/>
  <Override PartName="/word/drawings/drawing43.xml" ContentType="application/vnd.openxmlformats-officedocument.drawingml.chartshapes+xml"/>
  <Override PartName="/word/charts/chart45.xml" ContentType="application/vnd.openxmlformats-officedocument.drawingml.chart+xml"/>
  <Override PartName="/word/drawings/drawing44.xml" ContentType="application/vnd.openxmlformats-officedocument.drawingml.chartshapes+xml"/>
  <Override PartName="/word/charts/chart46.xml" ContentType="application/vnd.openxmlformats-officedocument.drawingml.chart+xml"/>
  <Override PartName="/word/drawings/drawing45.xml" ContentType="application/vnd.openxmlformats-officedocument.drawingml.chartshapes+xml"/>
  <Override PartName="/word/charts/chart47.xml" ContentType="application/vnd.openxmlformats-officedocument.drawingml.chart+xml"/>
  <Override PartName="/word/drawings/drawing46.xml" ContentType="application/vnd.openxmlformats-officedocument.drawingml.chartshapes+xml"/>
  <Override PartName="/word/charts/chart48.xml" ContentType="application/vnd.openxmlformats-officedocument.drawingml.chart+xml"/>
  <Override PartName="/word/drawings/drawing47.xml" ContentType="application/vnd.openxmlformats-officedocument.drawingml.chartshapes+xml"/>
  <Override PartName="/word/charts/chart49.xml" ContentType="application/vnd.openxmlformats-officedocument.drawingml.chart+xml"/>
  <Override PartName="/word/drawings/drawing48.xml" ContentType="application/vnd.openxmlformats-officedocument.drawingml.chartshapes+xml"/>
  <Override PartName="/word/charts/chart50.xml" ContentType="application/vnd.openxmlformats-officedocument.drawingml.chart+xml"/>
  <Override PartName="/word/drawings/drawing49.xml" ContentType="application/vnd.openxmlformats-officedocument.drawingml.chartshapes+xml"/>
  <Override PartName="/word/charts/chart51.xml" ContentType="application/vnd.openxmlformats-officedocument.drawingml.chart+xml"/>
  <Override PartName="/word/drawings/drawing50.xml" ContentType="application/vnd.openxmlformats-officedocument.drawingml.chartshapes+xml"/>
  <Override PartName="/word/charts/chart52.xml" ContentType="application/vnd.openxmlformats-officedocument.drawingml.chart+xml"/>
  <Override PartName="/word/drawings/drawing51.xml" ContentType="application/vnd.openxmlformats-officedocument.drawingml.chartshapes+xml"/>
  <Override PartName="/word/charts/chart53.xml" ContentType="application/vnd.openxmlformats-officedocument.drawingml.chart+xml"/>
  <Override PartName="/word/drawings/drawing52.xml" ContentType="application/vnd.openxmlformats-officedocument.drawingml.chartshapes+xml"/>
  <Override PartName="/word/charts/chart54.xml" ContentType="application/vnd.openxmlformats-officedocument.drawingml.chart+xml"/>
  <Override PartName="/word/drawings/drawing53.xml" ContentType="application/vnd.openxmlformats-officedocument.drawingml.chartshapes+xml"/>
  <Override PartName="/word/charts/chart55.xml" ContentType="application/vnd.openxmlformats-officedocument.drawingml.chart+xml"/>
  <Override PartName="/word/drawings/drawing54.xml" ContentType="application/vnd.openxmlformats-officedocument.drawingml.chartshapes+xml"/>
  <Override PartName="/word/charts/chart56.xml" ContentType="application/vnd.openxmlformats-officedocument.drawingml.chart+xml"/>
  <Override PartName="/word/drawings/drawing55.xml" ContentType="application/vnd.openxmlformats-officedocument.drawingml.chartshapes+xml"/>
  <Override PartName="/word/charts/chart57.xml" ContentType="application/vnd.openxmlformats-officedocument.drawingml.chart+xml"/>
  <Override PartName="/word/drawings/drawing56.xml" ContentType="application/vnd.openxmlformats-officedocument.drawingml.chartshapes+xml"/>
  <Override PartName="/word/charts/chart58.xml" ContentType="application/vnd.openxmlformats-officedocument.drawingml.chart+xml"/>
  <Override PartName="/word/drawings/drawing57.xml" ContentType="application/vnd.openxmlformats-officedocument.drawingml.chartshapes+xml"/>
  <Override PartName="/word/charts/chart59.xml" ContentType="application/vnd.openxmlformats-officedocument.drawingml.chart+xml"/>
  <Override PartName="/word/drawings/drawing58.xml" ContentType="application/vnd.openxmlformats-officedocument.drawingml.chartshapes+xml"/>
  <Override PartName="/word/charts/chart60.xml" ContentType="application/vnd.openxmlformats-officedocument.drawingml.chart+xml"/>
  <Override PartName="/word/drawings/drawing59.xml" ContentType="application/vnd.openxmlformats-officedocument.drawingml.chartshapes+xml"/>
  <Override PartName="/word/charts/chart61.xml" ContentType="application/vnd.openxmlformats-officedocument.drawingml.chart+xml"/>
  <Override PartName="/word/drawings/drawing60.xml" ContentType="application/vnd.openxmlformats-officedocument.drawingml.chartshapes+xml"/>
  <Override PartName="/word/charts/chart62.xml" ContentType="application/vnd.openxmlformats-officedocument.drawingml.chart+xml"/>
  <Override PartName="/word/drawings/drawing61.xml" ContentType="application/vnd.openxmlformats-officedocument.drawingml.chartshapes+xml"/>
  <Override PartName="/word/charts/chart63.xml" ContentType="application/vnd.openxmlformats-officedocument.drawingml.chart+xml"/>
  <Override PartName="/word/drawings/drawing62.xml" ContentType="application/vnd.openxmlformats-officedocument.drawingml.chartshapes+xml"/>
  <Override PartName="/word/charts/chart64.xml" ContentType="application/vnd.openxmlformats-officedocument.drawingml.chart+xml"/>
  <Override PartName="/word/drawings/drawing63.xml" ContentType="application/vnd.openxmlformats-officedocument.drawingml.chartshapes+xml"/>
  <Override PartName="/word/charts/chart65.xml" ContentType="application/vnd.openxmlformats-officedocument.drawingml.chart+xml"/>
  <Override PartName="/word/drawings/drawing64.xml" ContentType="application/vnd.openxmlformats-officedocument.drawingml.chartshapes+xml"/>
  <Override PartName="/word/charts/chart66.xml" ContentType="application/vnd.openxmlformats-officedocument.drawingml.chart+xml"/>
  <Override PartName="/word/drawings/drawing65.xml" ContentType="application/vnd.openxmlformats-officedocument.drawingml.chartshapes+xml"/>
  <Override PartName="/word/charts/chart67.xml" ContentType="application/vnd.openxmlformats-officedocument.drawingml.chart+xml"/>
  <Override PartName="/word/drawings/drawing66.xml" ContentType="application/vnd.openxmlformats-officedocument.drawingml.chartshapes+xml"/>
  <Override PartName="/word/charts/chart68.xml" ContentType="application/vnd.openxmlformats-officedocument.drawingml.chart+xml"/>
  <Override PartName="/word/drawings/drawing67.xml" ContentType="application/vnd.openxmlformats-officedocument.drawingml.chartshapes+xml"/>
  <Override PartName="/word/charts/chart69.xml" ContentType="application/vnd.openxmlformats-officedocument.drawingml.chart+xml"/>
  <Override PartName="/word/drawings/drawing68.xml" ContentType="application/vnd.openxmlformats-officedocument.drawingml.chartshapes+xml"/>
  <Override PartName="/word/charts/chart70.xml" ContentType="application/vnd.openxmlformats-officedocument.drawingml.chart+xml"/>
  <Override PartName="/word/drawings/drawing69.xml" ContentType="application/vnd.openxmlformats-officedocument.drawingml.chartshapes+xml"/>
  <Override PartName="/word/charts/chart71.xml" ContentType="application/vnd.openxmlformats-officedocument.drawingml.chart+xml"/>
  <Override PartName="/word/drawings/drawing70.xml" ContentType="application/vnd.openxmlformats-officedocument.drawingml.chartshapes+xml"/>
  <Override PartName="/word/charts/chart72.xml" ContentType="application/vnd.openxmlformats-officedocument.drawingml.chart+xml"/>
  <Override PartName="/word/drawings/drawing71.xml" ContentType="application/vnd.openxmlformats-officedocument.drawingml.chartshapes+xml"/>
  <Override PartName="/word/charts/chart73.xml" ContentType="application/vnd.openxmlformats-officedocument.drawingml.chart+xml"/>
  <Override PartName="/word/drawings/drawing72.xml" ContentType="application/vnd.openxmlformats-officedocument.drawingml.chartshapes+xml"/>
  <Override PartName="/word/charts/chart74.xml" ContentType="application/vnd.openxmlformats-officedocument.drawingml.chart+xml"/>
  <Override PartName="/word/drawings/drawing73.xml" ContentType="application/vnd.openxmlformats-officedocument.drawingml.chartshapes+xml"/>
  <Override PartName="/word/charts/chart75.xml" ContentType="application/vnd.openxmlformats-officedocument.drawingml.chart+xml"/>
  <Override PartName="/word/drawings/drawing74.xml" ContentType="application/vnd.openxmlformats-officedocument.drawingml.chartshapes+xml"/>
  <Override PartName="/word/charts/chart76.xml" ContentType="application/vnd.openxmlformats-officedocument.drawingml.chart+xml"/>
  <Override PartName="/word/drawings/drawing75.xml" ContentType="application/vnd.openxmlformats-officedocument.drawingml.chartshapes+xml"/>
  <Override PartName="/word/charts/chart77.xml" ContentType="application/vnd.openxmlformats-officedocument.drawingml.chart+xml"/>
  <Override PartName="/word/drawings/drawing76.xml" ContentType="application/vnd.openxmlformats-officedocument.drawingml.chartshapes+xml"/>
  <Override PartName="/word/charts/chart78.xml" ContentType="application/vnd.openxmlformats-officedocument.drawingml.chart+xml"/>
  <Override PartName="/word/drawings/drawing77.xml" ContentType="application/vnd.openxmlformats-officedocument.drawingml.chartshapes+xml"/>
  <Override PartName="/word/charts/chart79.xml" ContentType="application/vnd.openxmlformats-officedocument.drawingml.chart+xml"/>
  <Override PartName="/word/drawings/drawing78.xml" ContentType="application/vnd.openxmlformats-officedocument.drawingml.chartshapes+xml"/>
  <Override PartName="/word/charts/chart80.xml" ContentType="application/vnd.openxmlformats-officedocument.drawingml.chart+xml"/>
  <Override PartName="/word/drawings/drawing79.xml" ContentType="application/vnd.openxmlformats-officedocument.drawingml.chartshapes+xml"/>
  <Override PartName="/word/charts/chart81.xml" ContentType="application/vnd.openxmlformats-officedocument.drawingml.chart+xml"/>
  <Override PartName="/word/drawings/drawing80.xml" ContentType="application/vnd.openxmlformats-officedocument.drawingml.chartshapes+xml"/>
  <Override PartName="/word/charts/chart82.xml" ContentType="application/vnd.openxmlformats-officedocument.drawingml.chart+xml"/>
  <Override PartName="/word/drawings/drawing81.xml" ContentType="application/vnd.openxmlformats-officedocument.drawingml.chartshapes+xml"/>
  <Override PartName="/word/charts/chart83.xml" ContentType="application/vnd.openxmlformats-officedocument.drawingml.chart+xml"/>
  <Override PartName="/word/drawings/drawing82.xml" ContentType="application/vnd.openxmlformats-officedocument.drawingml.chartshapes+xml"/>
  <Override PartName="/word/charts/chart84.xml" ContentType="application/vnd.openxmlformats-officedocument.drawingml.chart+xml"/>
  <Override PartName="/word/drawings/drawing83.xml" ContentType="application/vnd.openxmlformats-officedocument.drawingml.chartshapes+xml"/>
  <Override PartName="/word/charts/chart85.xml" ContentType="application/vnd.openxmlformats-officedocument.drawingml.chart+xml"/>
  <Override PartName="/word/drawings/drawing84.xml" ContentType="application/vnd.openxmlformats-officedocument.drawingml.chartshapes+xml"/>
  <Override PartName="/word/charts/chart86.xml" ContentType="application/vnd.openxmlformats-officedocument.drawingml.chart+xml"/>
  <Override PartName="/word/drawings/drawing85.xml" ContentType="application/vnd.openxmlformats-officedocument.drawingml.chartshapes+xml"/>
  <Override PartName="/word/charts/chart87.xml" ContentType="application/vnd.openxmlformats-officedocument.drawingml.chart+xml"/>
  <Override PartName="/word/drawings/drawing86.xml" ContentType="application/vnd.openxmlformats-officedocument.drawingml.chartshapes+xml"/>
  <Override PartName="/word/charts/chart88.xml" ContentType="application/vnd.openxmlformats-officedocument.drawingml.chart+xml"/>
  <Override PartName="/word/drawings/drawing87.xml" ContentType="application/vnd.openxmlformats-officedocument.drawingml.chartshapes+xml"/>
  <Override PartName="/word/charts/chart89.xml" ContentType="application/vnd.openxmlformats-officedocument.drawingml.chart+xml"/>
  <Override PartName="/word/drawings/drawing88.xml" ContentType="application/vnd.openxmlformats-officedocument.drawingml.chartshapes+xml"/>
  <Override PartName="/word/charts/chart90.xml" ContentType="application/vnd.openxmlformats-officedocument.drawingml.chart+xml"/>
  <Override PartName="/word/drawings/drawing89.xml" ContentType="application/vnd.openxmlformats-officedocument.drawingml.chartshapes+xml"/>
  <Override PartName="/word/charts/chart91.xml" ContentType="application/vnd.openxmlformats-officedocument.drawingml.chart+xml"/>
  <Override PartName="/word/drawings/drawing90.xml" ContentType="application/vnd.openxmlformats-officedocument.drawingml.chartshapes+xml"/>
  <Override PartName="/word/charts/chart92.xml" ContentType="application/vnd.openxmlformats-officedocument.drawingml.chart+xml"/>
  <Override PartName="/word/drawings/drawing91.xml" ContentType="application/vnd.openxmlformats-officedocument.drawingml.chartshapes+xml"/>
  <Override PartName="/word/charts/chart93.xml" ContentType="application/vnd.openxmlformats-officedocument.drawingml.chart+xml"/>
  <Override PartName="/word/drawings/drawing92.xml" ContentType="application/vnd.openxmlformats-officedocument.drawingml.chartshapes+xml"/>
  <Override PartName="/word/charts/chart94.xml" ContentType="application/vnd.openxmlformats-officedocument.drawingml.chart+xml"/>
  <Override PartName="/word/drawings/drawing93.xml" ContentType="application/vnd.openxmlformats-officedocument.drawingml.chartshapes+xml"/>
  <Override PartName="/word/charts/chart95.xml" ContentType="application/vnd.openxmlformats-officedocument.drawingml.chart+xml"/>
  <Override PartName="/word/drawings/drawing94.xml" ContentType="application/vnd.openxmlformats-officedocument.drawingml.chartshapes+xml"/>
  <Override PartName="/word/charts/chart96.xml" ContentType="application/vnd.openxmlformats-officedocument.drawingml.chart+xml"/>
  <Override PartName="/word/drawings/drawing95.xml" ContentType="application/vnd.openxmlformats-officedocument.drawingml.chartshapes+xml"/>
  <Override PartName="/word/charts/chart97.xml" ContentType="application/vnd.openxmlformats-officedocument.drawingml.chart+xml"/>
  <Override PartName="/word/drawings/drawing96.xml" ContentType="application/vnd.openxmlformats-officedocument.drawingml.chartshapes+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F01990" w14:textId="77777777" w:rsidR="005A34B0" w:rsidRPr="00540118" w:rsidRDefault="004C4BFB" w:rsidP="003D3125">
      <w:pPr>
        <w:jc w:val="center"/>
      </w:pPr>
      <w:r w:rsidRPr="00540118">
        <w:t>UNIVERSITY OF OKLAHOMA</w:t>
      </w:r>
    </w:p>
    <w:p w14:paraId="5F118C5E" w14:textId="77777777" w:rsidR="003D3125" w:rsidRPr="00540118" w:rsidRDefault="004C4BFB" w:rsidP="003D3125">
      <w:pPr>
        <w:jc w:val="center"/>
      </w:pPr>
      <w:r w:rsidRPr="00540118">
        <w:t>GRADUATE COLLEGE</w:t>
      </w:r>
    </w:p>
    <w:p w14:paraId="3F42D0EF" w14:textId="77777777" w:rsidR="003D3125" w:rsidRPr="00540118" w:rsidRDefault="003D3125" w:rsidP="003D3125">
      <w:pPr>
        <w:jc w:val="center"/>
      </w:pPr>
    </w:p>
    <w:p w14:paraId="0156320D" w14:textId="77777777" w:rsidR="003D3125" w:rsidRPr="00540118" w:rsidRDefault="003D3125" w:rsidP="003D3125">
      <w:pPr>
        <w:jc w:val="center"/>
      </w:pPr>
    </w:p>
    <w:p w14:paraId="62CACC4D" w14:textId="77777777" w:rsidR="003D3125" w:rsidRPr="00540118" w:rsidRDefault="003D3125" w:rsidP="003D3125">
      <w:pPr>
        <w:jc w:val="center"/>
      </w:pPr>
    </w:p>
    <w:p w14:paraId="190C8CEE" w14:textId="63D3E223" w:rsidR="003D3125" w:rsidRPr="00540118" w:rsidRDefault="002E3BA5" w:rsidP="003D3125">
      <w:pPr>
        <w:jc w:val="center"/>
      </w:pPr>
      <w:r>
        <w:t xml:space="preserve">THE SYNERGISTIC </w:t>
      </w:r>
      <w:r w:rsidR="00482A02">
        <w:t>EFFECTS OF</w:t>
      </w:r>
      <w:r>
        <w:t xml:space="preserve"> </w:t>
      </w:r>
      <w:r w:rsidR="00015B8B">
        <w:t xml:space="preserve">PREPREG </w:t>
      </w:r>
      <w:r w:rsidR="002926AC">
        <w:t>HUMIDITY EXPOSURE,</w:t>
      </w:r>
      <w:r w:rsidR="00015B8B">
        <w:t xml:space="preserve"> </w:t>
      </w:r>
      <w:r>
        <w:t>FABRICATION PRESSURE</w:t>
      </w:r>
      <w:r w:rsidR="002926AC">
        <w:t>,</w:t>
      </w:r>
      <w:r>
        <w:t xml:space="preserve"> AND </w:t>
      </w:r>
      <w:r w:rsidR="00AA7B38">
        <w:t>HYDRAULIC FLUID</w:t>
      </w:r>
      <w:r w:rsidR="002926AC">
        <w:t xml:space="preserve"> ABSORPTION</w:t>
      </w:r>
      <w:r w:rsidR="00482A02">
        <w:t xml:space="preserve"> ON MICROSTRUCTURE AND MECHANICAL PROPERTIES OF HIGH-PERFORMANCE COMPOSITE LAMINATES</w:t>
      </w:r>
    </w:p>
    <w:p w14:paraId="11873512" w14:textId="77777777" w:rsidR="003D3125" w:rsidRPr="00540118" w:rsidRDefault="003D3125" w:rsidP="003D3125">
      <w:pPr>
        <w:jc w:val="center"/>
      </w:pPr>
    </w:p>
    <w:p w14:paraId="0B0BA645" w14:textId="77777777" w:rsidR="003D3125" w:rsidRPr="00540118" w:rsidRDefault="003D3125" w:rsidP="003D3125">
      <w:pPr>
        <w:jc w:val="center"/>
      </w:pPr>
    </w:p>
    <w:p w14:paraId="58F6576B" w14:textId="77777777" w:rsidR="003D3125" w:rsidRPr="00540118" w:rsidRDefault="003D3125" w:rsidP="003D3125">
      <w:pPr>
        <w:jc w:val="center"/>
      </w:pPr>
    </w:p>
    <w:p w14:paraId="7D84801B" w14:textId="77777777" w:rsidR="00664C5A" w:rsidRPr="00540118" w:rsidRDefault="004C4BFB" w:rsidP="003D3125">
      <w:pPr>
        <w:jc w:val="center"/>
      </w:pPr>
      <w:r w:rsidRPr="00540118">
        <w:t xml:space="preserve">A </w:t>
      </w:r>
      <w:r w:rsidR="0079102D">
        <w:t>DISSERTATION</w:t>
      </w:r>
    </w:p>
    <w:p w14:paraId="5F337CA6" w14:textId="77777777" w:rsidR="004C4BFB" w:rsidRPr="00540118" w:rsidRDefault="004C4BFB" w:rsidP="003D3125">
      <w:pPr>
        <w:jc w:val="center"/>
      </w:pPr>
      <w:r w:rsidRPr="00540118">
        <w:t>SUBMITTED TO THE GRADUATE FACULTY</w:t>
      </w:r>
    </w:p>
    <w:p w14:paraId="5541DB6C" w14:textId="77777777" w:rsidR="004C4BFB" w:rsidRPr="00540118" w:rsidRDefault="004C4BFB" w:rsidP="003D3125">
      <w:pPr>
        <w:jc w:val="center"/>
      </w:pPr>
      <w:r w:rsidRPr="00540118">
        <w:t>In partial fulfillment of the requirements for the</w:t>
      </w:r>
    </w:p>
    <w:p w14:paraId="5A8BA662" w14:textId="77777777" w:rsidR="004C4BFB" w:rsidRPr="00540118" w:rsidRDefault="004C4BFB" w:rsidP="003D3125">
      <w:pPr>
        <w:jc w:val="center"/>
      </w:pPr>
      <w:r w:rsidRPr="00540118">
        <w:t>Degree of</w:t>
      </w:r>
    </w:p>
    <w:p w14:paraId="3A7AE9E0" w14:textId="77777777" w:rsidR="004C4BFB" w:rsidRPr="00540118" w:rsidRDefault="0079102D" w:rsidP="003D3125">
      <w:pPr>
        <w:jc w:val="center"/>
      </w:pPr>
      <w:r>
        <w:t>DOCTOR</w:t>
      </w:r>
      <w:r w:rsidR="004C4BFB" w:rsidRPr="00540118">
        <w:t xml:space="preserve"> OF </w:t>
      </w:r>
      <w:r>
        <w:t>PHILOSOPHY</w:t>
      </w:r>
    </w:p>
    <w:p w14:paraId="186AFBE9" w14:textId="77777777" w:rsidR="003D3125" w:rsidRPr="00540118" w:rsidRDefault="003D3125" w:rsidP="003D3125">
      <w:pPr>
        <w:jc w:val="center"/>
      </w:pPr>
    </w:p>
    <w:p w14:paraId="5B4EE2B3" w14:textId="77777777" w:rsidR="003D3125" w:rsidRPr="00540118" w:rsidRDefault="003D3125" w:rsidP="003D3125">
      <w:pPr>
        <w:jc w:val="center"/>
      </w:pPr>
    </w:p>
    <w:p w14:paraId="7C5BCAAF" w14:textId="77777777" w:rsidR="003D3125" w:rsidRPr="00540118" w:rsidRDefault="003D3125" w:rsidP="003D3125">
      <w:pPr>
        <w:jc w:val="center"/>
      </w:pPr>
    </w:p>
    <w:p w14:paraId="687B9DB9" w14:textId="77777777" w:rsidR="004C4BFB" w:rsidRPr="00540118" w:rsidRDefault="004C4BFB" w:rsidP="00552BC6">
      <w:pPr>
        <w:jc w:val="center"/>
      </w:pPr>
      <w:r w:rsidRPr="00540118">
        <w:t>By</w:t>
      </w:r>
    </w:p>
    <w:p w14:paraId="695EAFAD" w14:textId="77777777" w:rsidR="004C4BFB" w:rsidRPr="00540118" w:rsidRDefault="004C4BFB" w:rsidP="009A62A6">
      <w:pPr>
        <w:spacing w:line="240" w:lineRule="auto"/>
        <w:jc w:val="center"/>
      </w:pPr>
      <w:r w:rsidRPr="00540118">
        <w:t>KEITH R. HURDELBRINK II</w:t>
      </w:r>
    </w:p>
    <w:p w14:paraId="70866825" w14:textId="77777777" w:rsidR="004C4BFB" w:rsidRPr="00540118" w:rsidRDefault="004C4BFB" w:rsidP="009A62A6">
      <w:pPr>
        <w:spacing w:line="240" w:lineRule="auto"/>
        <w:jc w:val="center"/>
      </w:pPr>
      <w:r w:rsidRPr="00540118">
        <w:t>Norman, Oklahoma</w:t>
      </w:r>
    </w:p>
    <w:p w14:paraId="6F564DA6" w14:textId="1C7BFB0B" w:rsidR="00664C5A" w:rsidRPr="00540118" w:rsidRDefault="005A34B0" w:rsidP="009A62A6">
      <w:pPr>
        <w:spacing w:line="240" w:lineRule="auto"/>
        <w:jc w:val="center"/>
        <w:rPr>
          <w:b/>
        </w:rPr>
      </w:pPr>
      <w:r w:rsidRPr="00540118">
        <w:t>201</w:t>
      </w:r>
      <w:r w:rsidR="00961779">
        <w:t>7</w:t>
      </w:r>
    </w:p>
    <w:p w14:paraId="5CEDBD08" w14:textId="77777777" w:rsidR="00664C5A" w:rsidRPr="0052429B" w:rsidRDefault="00664C5A" w:rsidP="00552BC6">
      <w:pPr>
        <w:sectPr w:rsidR="00664C5A" w:rsidRPr="0052429B">
          <w:footerReference w:type="even" r:id="rId9"/>
          <w:pgSz w:w="12240" w:h="15840"/>
          <w:pgMar w:top="1440" w:right="1440" w:bottom="1440" w:left="2304" w:header="720" w:footer="720" w:gutter="0"/>
          <w:cols w:space="720"/>
          <w:titlePg/>
          <w:docGrid w:linePitch="360"/>
        </w:sectPr>
      </w:pPr>
    </w:p>
    <w:p w14:paraId="2779D31E" w14:textId="77777777" w:rsidR="00F31197" w:rsidRDefault="00F31197" w:rsidP="00F31197">
      <w:pPr>
        <w:jc w:val="center"/>
        <w:rPr>
          <w:rFonts w:ascii="Arial" w:hAnsi="Arial" w:cs="Arial"/>
        </w:rPr>
      </w:pPr>
    </w:p>
    <w:p w14:paraId="07A4FF5E" w14:textId="77777777" w:rsidR="00F31197" w:rsidRDefault="00F31197" w:rsidP="00F31197">
      <w:pPr>
        <w:jc w:val="center"/>
        <w:rPr>
          <w:rFonts w:ascii="Arial" w:hAnsi="Arial" w:cs="Arial"/>
        </w:rPr>
      </w:pPr>
    </w:p>
    <w:p w14:paraId="5FE567FA" w14:textId="39C8526F" w:rsidR="0079102D" w:rsidRPr="00540118" w:rsidRDefault="008C1AA9" w:rsidP="0079102D">
      <w:pPr>
        <w:spacing w:line="240" w:lineRule="auto"/>
        <w:jc w:val="center"/>
      </w:pPr>
      <w:r>
        <w:t>THE SYNERGISTIC EFFECTS OF PREPREG HUMIDITY EXPOSURE, FABRICATION PRESSURE, AND HYDRAULIC FLUID ABSORPTION ON MICROSTRUCTURE AND MECHANICAL PROPERTIES OF HIGH-PERFORMANCE COMPOSITE LAMINATES</w:t>
      </w:r>
    </w:p>
    <w:p w14:paraId="7ED2CFD0" w14:textId="77777777" w:rsidR="00F31197" w:rsidRPr="00540118" w:rsidRDefault="00F31197" w:rsidP="00F31197">
      <w:pPr>
        <w:jc w:val="center"/>
      </w:pPr>
    </w:p>
    <w:p w14:paraId="787B5146" w14:textId="77777777" w:rsidR="00F31197" w:rsidRPr="00540118" w:rsidRDefault="00F31197" w:rsidP="0079102D">
      <w:pPr>
        <w:spacing w:line="240" w:lineRule="auto"/>
        <w:jc w:val="center"/>
      </w:pPr>
      <w:r w:rsidRPr="00540118">
        <w:t xml:space="preserve">A </w:t>
      </w:r>
      <w:r w:rsidR="0079102D">
        <w:t>DISSERTATION</w:t>
      </w:r>
      <w:r w:rsidRPr="00540118">
        <w:t xml:space="preserve"> APPROVED FOR THE</w:t>
      </w:r>
    </w:p>
    <w:p w14:paraId="2DE9EE3B" w14:textId="77777777" w:rsidR="00F31197" w:rsidRPr="00540118" w:rsidRDefault="00F31197" w:rsidP="0079102D">
      <w:pPr>
        <w:spacing w:line="240" w:lineRule="auto"/>
        <w:jc w:val="center"/>
      </w:pPr>
      <w:r w:rsidRPr="00540118">
        <w:t>SCHOOL OF AEROSPACE AND MECHANICAL ENGINEERING</w:t>
      </w:r>
    </w:p>
    <w:p w14:paraId="02651465" w14:textId="77777777" w:rsidR="00F31197" w:rsidRPr="00540118" w:rsidRDefault="00F31197" w:rsidP="00F31197">
      <w:pPr>
        <w:jc w:val="center"/>
      </w:pPr>
    </w:p>
    <w:p w14:paraId="7ACC1AB0" w14:textId="77777777" w:rsidR="00F31197" w:rsidRPr="00540118" w:rsidRDefault="00F31197" w:rsidP="00F31197">
      <w:pPr>
        <w:jc w:val="center"/>
      </w:pPr>
    </w:p>
    <w:p w14:paraId="0328D465" w14:textId="77777777" w:rsidR="00F31197" w:rsidRPr="00540118" w:rsidRDefault="00F31197" w:rsidP="00F31197">
      <w:pPr>
        <w:jc w:val="center"/>
      </w:pPr>
    </w:p>
    <w:p w14:paraId="5068D3DF" w14:textId="77777777" w:rsidR="00F31197" w:rsidRPr="00540118" w:rsidRDefault="00F31197" w:rsidP="00F31197">
      <w:pPr>
        <w:jc w:val="center"/>
      </w:pPr>
      <w:r w:rsidRPr="00540118">
        <w:t>BY</w:t>
      </w:r>
    </w:p>
    <w:p w14:paraId="60950028" w14:textId="77777777" w:rsidR="00F31197" w:rsidRPr="00540118" w:rsidRDefault="00F31197" w:rsidP="00F31197">
      <w:pPr>
        <w:jc w:val="center"/>
      </w:pPr>
    </w:p>
    <w:p w14:paraId="4F33EFD2" w14:textId="77777777" w:rsidR="00F31197" w:rsidRPr="00540118" w:rsidRDefault="00F31197" w:rsidP="0079102D">
      <w:pPr>
        <w:spacing w:line="240" w:lineRule="auto"/>
        <w:jc w:val="right"/>
        <w:rPr>
          <w:u w:val="single"/>
        </w:rPr>
      </w:pPr>
      <w:r w:rsidRPr="00540118">
        <w:rPr>
          <w:u w:val="single"/>
        </w:rPr>
        <w:tab/>
      </w:r>
      <w:r w:rsidRPr="00540118">
        <w:rPr>
          <w:u w:val="single"/>
        </w:rPr>
        <w:tab/>
      </w:r>
      <w:r w:rsidRPr="00540118">
        <w:rPr>
          <w:u w:val="single"/>
        </w:rPr>
        <w:tab/>
      </w:r>
      <w:r w:rsidRPr="00540118">
        <w:rPr>
          <w:u w:val="single"/>
        </w:rPr>
        <w:tab/>
      </w:r>
      <w:r w:rsidRPr="00540118">
        <w:rPr>
          <w:u w:val="single"/>
        </w:rPr>
        <w:tab/>
      </w:r>
    </w:p>
    <w:p w14:paraId="16843DB5" w14:textId="77777777" w:rsidR="00F31197" w:rsidRPr="00540118" w:rsidRDefault="00F31197" w:rsidP="00BC1C8E">
      <w:pPr>
        <w:spacing w:line="360" w:lineRule="auto"/>
        <w:jc w:val="right"/>
      </w:pPr>
      <w:r w:rsidRPr="00540118">
        <w:t xml:space="preserve">Dr. Zahed Siddique, </w:t>
      </w:r>
      <w:r w:rsidR="00BC1C8E">
        <w:t>Co-</w:t>
      </w:r>
      <w:r w:rsidRPr="00540118">
        <w:t>Chair</w:t>
      </w:r>
    </w:p>
    <w:p w14:paraId="6A400A3D" w14:textId="77777777" w:rsidR="00F31197" w:rsidRPr="00540118" w:rsidRDefault="00F31197" w:rsidP="00BC1C8E">
      <w:pPr>
        <w:spacing w:line="360" w:lineRule="auto"/>
        <w:jc w:val="right"/>
      </w:pPr>
    </w:p>
    <w:p w14:paraId="35D5BCEC" w14:textId="77777777" w:rsidR="00F31197" w:rsidRPr="00540118" w:rsidRDefault="00F31197" w:rsidP="00BC1C8E">
      <w:pPr>
        <w:spacing w:line="240" w:lineRule="auto"/>
        <w:jc w:val="right"/>
      </w:pPr>
      <w:r w:rsidRPr="00540118">
        <w:rPr>
          <w:u w:val="single"/>
        </w:rPr>
        <w:tab/>
      </w:r>
      <w:r w:rsidRPr="00540118">
        <w:rPr>
          <w:u w:val="single"/>
        </w:rPr>
        <w:tab/>
      </w:r>
      <w:r w:rsidRPr="00540118">
        <w:rPr>
          <w:u w:val="single"/>
        </w:rPr>
        <w:tab/>
      </w:r>
      <w:r w:rsidRPr="00540118">
        <w:rPr>
          <w:u w:val="single"/>
        </w:rPr>
        <w:tab/>
      </w:r>
      <w:r w:rsidRPr="00540118">
        <w:rPr>
          <w:u w:val="single"/>
        </w:rPr>
        <w:tab/>
      </w:r>
    </w:p>
    <w:p w14:paraId="63BD7FC0" w14:textId="763233D7" w:rsidR="00F31197" w:rsidRDefault="00F31197" w:rsidP="00BC1C8E">
      <w:pPr>
        <w:spacing w:line="360" w:lineRule="auto"/>
        <w:jc w:val="right"/>
      </w:pPr>
      <w:r w:rsidRPr="00540118">
        <w:t>Dr. M</w:t>
      </w:r>
      <w:r w:rsidR="00326439">
        <w:t>.</w:t>
      </w:r>
      <w:r w:rsidRPr="00540118">
        <w:t xml:space="preserve"> Cengiz Altan</w:t>
      </w:r>
      <w:r w:rsidR="00BC1C8E">
        <w:t>, Co-Chair</w:t>
      </w:r>
    </w:p>
    <w:p w14:paraId="77DAD6AB" w14:textId="77777777" w:rsidR="00BC1C8E" w:rsidRPr="00540118" w:rsidRDefault="00BC1C8E" w:rsidP="00BC1C8E">
      <w:pPr>
        <w:spacing w:line="360" w:lineRule="auto"/>
        <w:jc w:val="right"/>
      </w:pPr>
    </w:p>
    <w:p w14:paraId="216A49DF" w14:textId="77777777" w:rsidR="0079102D" w:rsidRPr="00540118" w:rsidRDefault="0079102D" w:rsidP="00BC1C8E">
      <w:pPr>
        <w:spacing w:line="240" w:lineRule="auto"/>
        <w:jc w:val="right"/>
        <w:rPr>
          <w:u w:val="single"/>
        </w:rPr>
      </w:pPr>
      <w:r w:rsidRPr="00540118">
        <w:rPr>
          <w:u w:val="single"/>
        </w:rPr>
        <w:tab/>
      </w:r>
      <w:r w:rsidRPr="00540118">
        <w:rPr>
          <w:u w:val="single"/>
        </w:rPr>
        <w:tab/>
      </w:r>
      <w:r w:rsidRPr="00540118">
        <w:rPr>
          <w:u w:val="single"/>
        </w:rPr>
        <w:tab/>
      </w:r>
      <w:r w:rsidRPr="00540118">
        <w:rPr>
          <w:u w:val="single"/>
        </w:rPr>
        <w:tab/>
      </w:r>
      <w:r w:rsidRPr="00540118">
        <w:rPr>
          <w:u w:val="single"/>
        </w:rPr>
        <w:tab/>
      </w:r>
    </w:p>
    <w:p w14:paraId="05A0AB49" w14:textId="77777777" w:rsidR="0079102D" w:rsidRDefault="00BC1C8E" w:rsidP="00BC1C8E">
      <w:pPr>
        <w:spacing w:line="360" w:lineRule="auto"/>
        <w:jc w:val="right"/>
      </w:pPr>
      <w:r>
        <w:t>Dr. Shivakumar Raman</w:t>
      </w:r>
    </w:p>
    <w:p w14:paraId="7FD7B6A1" w14:textId="77777777" w:rsidR="00BC1C8E" w:rsidRPr="00540118" w:rsidRDefault="00BC1C8E" w:rsidP="00BC1C8E">
      <w:pPr>
        <w:spacing w:line="360" w:lineRule="auto"/>
        <w:jc w:val="right"/>
      </w:pPr>
    </w:p>
    <w:p w14:paraId="118637A7" w14:textId="77777777" w:rsidR="0079102D" w:rsidRPr="00540118" w:rsidRDefault="0079102D" w:rsidP="00BC1C8E">
      <w:pPr>
        <w:spacing w:line="240" w:lineRule="auto"/>
        <w:jc w:val="right"/>
        <w:rPr>
          <w:u w:val="single"/>
        </w:rPr>
      </w:pPr>
      <w:r w:rsidRPr="00540118">
        <w:rPr>
          <w:u w:val="single"/>
        </w:rPr>
        <w:tab/>
      </w:r>
      <w:r w:rsidRPr="00540118">
        <w:rPr>
          <w:u w:val="single"/>
        </w:rPr>
        <w:tab/>
      </w:r>
      <w:r w:rsidRPr="00540118">
        <w:rPr>
          <w:u w:val="single"/>
        </w:rPr>
        <w:tab/>
      </w:r>
      <w:r w:rsidRPr="00540118">
        <w:rPr>
          <w:u w:val="single"/>
        </w:rPr>
        <w:tab/>
      </w:r>
      <w:r w:rsidRPr="00540118">
        <w:rPr>
          <w:u w:val="single"/>
        </w:rPr>
        <w:tab/>
      </w:r>
    </w:p>
    <w:p w14:paraId="6511AA34" w14:textId="550F2E7C" w:rsidR="0079102D" w:rsidRPr="00540118" w:rsidRDefault="00BC1C8E" w:rsidP="00BC1C8E">
      <w:pPr>
        <w:spacing w:line="360" w:lineRule="auto"/>
        <w:jc w:val="right"/>
      </w:pPr>
      <w:r>
        <w:t>Dr. Mrinal</w:t>
      </w:r>
      <w:r w:rsidR="008C1AA9">
        <w:t xml:space="preserve"> C.</w:t>
      </w:r>
      <w:r>
        <w:t xml:space="preserve"> Saha</w:t>
      </w:r>
    </w:p>
    <w:p w14:paraId="71BB70FE" w14:textId="77777777" w:rsidR="00F31197" w:rsidRPr="00540118" w:rsidRDefault="00F31197" w:rsidP="00BC1C8E">
      <w:pPr>
        <w:spacing w:line="360" w:lineRule="auto"/>
        <w:jc w:val="right"/>
      </w:pPr>
    </w:p>
    <w:p w14:paraId="3EEAB3E3" w14:textId="77777777" w:rsidR="00F31197" w:rsidRPr="00540118" w:rsidRDefault="00F31197" w:rsidP="00BC1C8E">
      <w:pPr>
        <w:spacing w:line="240" w:lineRule="auto"/>
        <w:jc w:val="right"/>
      </w:pPr>
      <w:r w:rsidRPr="00540118">
        <w:rPr>
          <w:u w:val="single"/>
        </w:rPr>
        <w:tab/>
      </w:r>
      <w:r w:rsidRPr="00540118">
        <w:rPr>
          <w:u w:val="single"/>
        </w:rPr>
        <w:tab/>
      </w:r>
      <w:r w:rsidRPr="00540118">
        <w:rPr>
          <w:u w:val="single"/>
        </w:rPr>
        <w:tab/>
      </w:r>
      <w:r w:rsidRPr="00540118">
        <w:rPr>
          <w:u w:val="single"/>
        </w:rPr>
        <w:tab/>
      </w:r>
      <w:r w:rsidRPr="00540118">
        <w:rPr>
          <w:u w:val="single"/>
        </w:rPr>
        <w:tab/>
      </w:r>
    </w:p>
    <w:p w14:paraId="4D03EFCB" w14:textId="427733CC" w:rsidR="00BC1C8E" w:rsidRDefault="00BC1C8E" w:rsidP="00BC1C8E">
      <w:pPr>
        <w:spacing w:line="360" w:lineRule="auto"/>
        <w:jc w:val="right"/>
      </w:pPr>
      <w:r>
        <w:t xml:space="preserve">Dr. David </w:t>
      </w:r>
      <w:r w:rsidR="008C1AA9">
        <w:t xml:space="preserve">P. </w:t>
      </w:r>
      <w:r>
        <w:t>Miller</w:t>
      </w:r>
    </w:p>
    <w:p w14:paraId="2B1320E7" w14:textId="77777777" w:rsidR="00BC1C8E" w:rsidRPr="00540118" w:rsidRDefault="00BC1C8E" w:rsidP="00BC1C8E">
      <w:pPr>
        <w:spacing w:line="360" w:lineRule="auto"/>
        <w:jc w:val="right"/>
      </w:pPr>
    </w:p>
    <w:p w14:paraId="17E215D0" w14:textId="77777777" w:rsidR="00BC1C8E" w:rsidRPr="00540118" w:rsidRDefault="00BC1C8E" w:rsidP="00BC1C8E">
      <w:pPr>
        <w:spacing w:line="240" w:lineRule="auto"/>
        <w:jc w:val="right"/>
      </w:pPr>
      <w:r w:rsidRPr="00540118">
        <w:rPr>
          <w:u w:val="single"/>
        </w:rPr>
        <w:tab/>
      </w:r>
      <w:r w:rsidRPr="00540118">
        <w:rPr>
          <w:u w:val="single"/>
        </w:rPr>
        <w:tab/>
      </w:r>
      <w:r w:rsidRPr="00540118">
        <w:rPr>
          <w:u w:val="single"/>
        </w:rPr>
        <w:tab/>
      </w:r>
      <w:r w:rsidRPr="00540118">
        <w:rPr>
          <w:u w:val="single"/>
        </w:rPr>
        <w:tab/>
      </w:r>
      <w:r w:rsidRPr="00540118">
        <w:rPr>
          <w:u w:val="single"/>
        </w:rPr>
        <w:tab/>
      </w:r>
    </w:p>
    <w:p w14:paraId="576B8283" w14:textId="720AF066" w:rsidR="00BC1C8E" w:rsidRPr="00540118" w:rsidRDefault="00BC1C8E" w:rsidP="00BC1C8E">
      <w:pPr>
        <w:jc w:val="right"/>
      </w:pPr>
      <w:r>
        <w:t xml:space="preserve">Dr. Landon </w:t>
      </w:r>
      <w:r w:rsidR="008C1AA9">
        <w:t xml:space="preserve">R. </w:t>
      </w:r>
      <w:r>
        <w:t>Grace</w:t>
      </w:r>
    </w:p>
    <w:p w14:paraId="527AAD09" w14:textId="77777777" w:rsidR="00F31197" w:rsidRDefault="00F31197" w:rsidP="00F31197">
      <w:pPr>
        <w:rPr>
          <w:rFonts w:ascii="Arial" w:hAnsi="Arial"/>
          <w:color w:val="000000" w:themeColor="text1"/>
          <w:sz w:val="28"/>
        </w:rPr>
      </w:pPr>
      <w:r>
        <w:br w:type="page"/>
      </w:r>
    </w:p>
    <w:p w14:paraId="474D1D1E" w14:textId="77777777" w:rsidR="00271F21" w:rsidRDefault="00271F21" w:rsidP="00271F21"/>
    <w:p w14:paraId="7462E27C" w14:textId="77777777" w:rsidR="00271F21" w:rsidRDefault="00271F21" w:rsidP="00271F21"/>
    <w:p w14:paraId="1097A00B" w14:textId="77777777" w:rsidR="00271F21" w:rsidRDefault="00271F21" w:rsidP="00271F21"/>
    <w:p w14:paraId="23E3762D" w14:textId="77777777" w:rsidR="00271F21" w:rsidRDefault="00271F21" w:rsidP="00271F21"/>
    <w:p w14:paraId="68396E51" w14:textId="77777777" w:rsidR="00271F21" w:rsidRDefault="00271F21" w:rsidP="00271F21"/>
    <w:p w14:paraId="7E4A0EAF" w14:textId="77777777" w:rsidR="00271F21" w:rsidRDefault="00271F21" w:rsidP="00271F21"/>
    <w:p w14:paraId="7A225A0A" w14:textId="77777777" w:rsidR="00271F21" w:rsidRDefault="00271F21" w:rsidP="00271F21"/>
    <w:p w14:paraId="12E52540" w14:textId="77777777" w:rsidR="00271F21" w:rsidRDefault="00271F21" w:rsidP="00271F21"/>
    <w:p w14:paraId="7BD2C636" w14:textId="77777777" w:rsidR="00271F21" w:rsidRDefault="00271F21" w:rsidP="00271F21"/>
    <w:p w14:paraId="600B0E23" w14:textId="77777777" w:rsidR="00271F21" w:rsidRDefault="00271F21" w:rsidP="00271F21"/>
    <w:p w14:paraId="232A2CC2" w14:textId="77777777" w:rsidR="00271F21" w:rsidRDefault="00271F21" w:rsidP="00271F21"/>
    <w:p w14:paraId="2403D25D" w14:textId="77777777" w:rsidR="00271F21" w:rsidRDefault="00271F21" w:rsidP="00271F21"/>
    <w:p w14:paraId="41AA02FE" w14:textId="77777777" w:rsidR="00271F21" w:rsidRDefault="00271F21" w:rsidP="00271F21"/>
    <w:p w14:paraId="32418F82" w14:textId="77777777" w:rsidR="00271F21" w:rsidRDefault="00271F21" w:rsidP="00271F21"/>
    <w:p w14:paraId="182B41C6" w14:textId="77777777" w:rsidR="00271F21" w:rsidRDefault="00271F21" w:rsidP="00271F21"/>
    <w:p w14:paraId="4E8710B6" w14:textId="77777777" w:rsidR="00271F21" w:rsidRDefault="00271F21" w:rsidP="00271F21"/>
    <w:p w14:paraId="2E98F068" w14:textId="77777777" w:rsidR="00271F21" w:rsidRDefault="00271F21" w:rsidP="00271F21"/>
    <w:p w14:paraId="3C4B9AE6" w14:textId="77777777" w:rsidR="00271F21" w:rsidRDefault="00271F21" w:rsidP="00271F21"/>
    <w:p w14:paraId="3B825095" w14:textId="77777777" w:rsidR="00271F21" w:rsidRDefault="00271F21" w:rsidP="00271F21"/>
    <w:p w14:paraId="115A349B" w14:textId="77777777" w:rsidR="00271F21" w:rsidRDefault="00271F21" w:rsidP="00271F21"/>
    <w:p w14:paraId="4CA0D4EE" w14:textId="77777777" w:rsidR="001E185A" w:rsidRDefault="001E185A" w:rsidP="00271F21"/>
    <w:p w14:paraId="51159842" w14:textId="144DFE00" w:rsidR="00271F21" w:rsidRPr="00540118" w:rsidRDefault="00271F21" w:rsidP="001E185A">
      <w:pPr>
        <w:spacing w:line="240" w:lineRule="auto"/>
        <w:jc w:val="center"/>
      </w:pPr>
      <w:r w:rsidRPr="00540118">
        <w:t>©</w:t>
      </w:r>
      <w:r w:rsidR="003E5AF1" w:rsidRPr="00540118">
        <w:t xml:space="preserve"> Copyright by KEITH </w:t>
      </w:r>
      <w:r w:rsidR="00485390" w:rsidRPr="00540118">
        <w:t xml:space="preserve">R. </w:t>
      </w:r>
      <w:r w:rsidR="003E5AF1" w:rsidRPr="00540118">
        <w:t>HURDELBRINK</w:t>
      </w:r>
      <w:r w:rsidR="00485390" w:rsidRPr="00540118">
        <w:t xml:space="preserve"> II</w:t>
      </w:r>
      <w:r w:rsidR="003E5AF1" w:rsidRPr="00540118">
        <w:t xml:space="preserve"> 201</w:t>
      </w:r>
      <w:r w:rsidR="0065705B">
        <w:t>7</w:t>
      </w:r>
    </w:p>
    <w:p w14:paraId="447F0819" w14:textId="300D63E8" w:rsidR="00A86B47" w:rsidRDefault="00271F21" w:rsidP="001E185A">
      <w:pPr>
        <w:spacing w:line="240" w:lineRule="auto"/>
        <w:jc w:val="center"/>
      </w:pPr>
      <w:r w:rsidRPr="00540118">
        <w:t>All Rights Reserved.</w:t>
      </w:r>
    </w:p>
    <w:p w14:paraId="4AA79015" w14:textId="361DBE5D" w:rsidR="00C137DB" w:rsidRDefault="00C137DB" w:rsidP="001E185A">
      <w:pPr>
        <w:spacing w:line="240" w:lineRule="auto"/>
        <w:jc w:val="center"/>
      </w:pPr>
      <w:r>
        <w:br w:type="page"/>
      </w:r>
    </w:p>
    <w:p w14:paraId="7DBE2C15" w14:textId="77777777" w:rsidR="00C137DB" w:rsidRPr="00907557" w:rsidRDefault="00C137DB" w:rsidP="00C137DB">
      <w:pPr>
        <w:rPr>
          <w:caps/>
          <w:sz w:val="28"/>
        </w:rPr>
      </w:pPr>
      <w:bookmarkStart w:id="0" w:name="_Toc306695954"/>
      <w:r w:rsidRPr="00907557">
        <w:rPr>
          <w:caps/>
          <w:sz w:val="28"/>
        </w:rPr>
        <w:lastRenderedPageBreak/>
        <w:t>dedication page</w:t>
      </w:r>
      <w:bookmarkEnd w:id="0"/>
    </w:p>
    <w:p w14:paraId="03AE2C40" w14:textId="2132C7E6" w:rsidR="00C137DB" w:rsidRDefault="00C137DB" w:rsidP="00C137DB">
      <w:pPr>
        <w:jc w:val="left"/>
        <w:rPr>
          <w:rFonts w:asciiTheme="minorHAnsi" w:hAnsiTheme="minorHAnsi" w:cstheme="minorHAnsi"/>
        </w:rPr>
      </w:pPr>
      <w:r>
        <w:rPr>
          <w:rFonts w:asciiTheme="minorHAnsi" w:hAnsiTheme="minorHAnsi" w:cstheme="minorHAnsi"/>
        </w:rPr>
        <w:t xml:space="preserve">I would like to dedicate this work to my mother, whom I think of and miss everyday.  I wish you could be here today </w:t>
      </w:r>
      <w:r w:rsidR="00E031D6">
        <w:rPr>
          <w:rFonts w:asciiTheme="minorHAnsi" w:hAnsiTheme="minorHAnsi" w:cstheme="minorHAnsi"/>
        </w:rPr>
        <w:t>to share in this accomplishment;</w:t>
      </w:r>
      <w:r>
        <w:rPr>
          <w:rFonts w:asciiTheme="minorHAnsi" w:hAnsiTheme="minorHAnsi" w:cstheme="minorHAnsi"/>
        </w:rPr>
        <w:t xml:space="preserve"> however I am thankful for the nearly 30 years of your guidance in my life.</w:t>
      </w:r>
    </w:p>
    <w:p w14:paraId="16F7B5EF" w14:textId="77777777" w:rsidR="00C137DB" w:rsidRDefault="00C137DB" w:rsidP="00C137DB">
      <w:pPr>
        <w:jc w:val="left"/>
        <w:rPr>
          <w:rFonts w:asciiTheme="minorHAnsi" w:hAnsiTheme="minorHAnsi" w:cstheme="minorHAnsi"/>
        </w:rPr>
      </w:pPr>
    </w:p>
    <w:p w14:paraId="22D8F35F" w14:textId="01F62668" w:rsidR="00C137DB" w:rsidRPr="000C7689" w:rsidRDefault="00C137DB" w:rsidP="00C137DB">
      <w:pPr>
        <w:jc w:val="left"/>
        <w:rPr>
          <w:rFonts w:asciiTheme="minorHAnsi" w:hAnsiTheme="minorHAnsi" w:cstheme="minorHAnsi"/>
        </w:rPr>
      </w:pPr>
      <w:r>
        <w:rPr>
          <w:rFonts w:asciiTheme="minorHAnsi" w:hAnsiTheme="minorHAnsi" w:cstheme="minorHAnsi"/>
        </w:rPr>
        <w:t xml:space="preserve">Additionally, I would like to dedicate this work to Anna.  </w:t>
      </w:r>
      <w:r w:rsidR="002B0513">
        <w:rPr>
          <w:rFonts w:asciiTheme="minorHAnsi" w:hAnsiTheme="minorHAnsi" w:cstheme="minorHAnsi"/>
        </w:rPr>
        <w:t>This achievement would not have been possible without y</w:t>
      </w:r>
      <w:r>
        <w:rPr>
          <w:rFonts w:asciiTheme="minorHAnsi" w:hAnsiTheme="minorHAnsi" w:cstheme="minorHAnsi"/>
        </w:rPr>
        <w:t>our love and support</w:t>
      </w:r>
      <w:r w:rsidR="002B0513">
        <w:rPr>
          <w:rFonts w:asciiTheme="minorHAnsi" w:hAnsiTheme="minorHAnsi" w:cstheme="minorHAnsi"/>
        </w:rPr>
        <w:t>, which</w:t>
      </w:r>
      <w:r>
        <w:rPr>
          <w:rFonts w:asciiTheme="minorHAnsi" w:hAnsiTheme="minorHAnsi" w:cstheme="minorHAnsi"/>
        </w:rPr>
        <w:t xml:space="preserve"> has made the sacrifices and challenges easier to </w:t>
      </w:r>
      <w:r w:rsidR="00447B7A">
        <w:rPr>
          <w:rFonts w:asciiTheme="minorHAnsi" w:hAnsiTheme="minorHAnsi" w:cstheme="minorHAnsi"/>
        </w:rPr>
        <w:t>bear</w:t>
      </w:r>
      <w:r w:rsidR="002B0513">
        <w:rPr>
          <w:rFonts w:asciiTheme="minorHAnsi" w:hAnsiTheme="minorHAnsi" w:cstheme="minorHAnsi"/>
        </w:rPr>
        <w:t>.</w:t>
      </w:r>
      <w:r>
        <w:rPr>
          <w:rFonts w:asciiTheme="minorHAnsi" w:hAnsiTheme="minorHAnsi" w:cstheme="minorHAnsi"/>
        </w:rPr>
        <w:t xml:space="preserve"> </w:t>
      </w:r>
      <w:r w:rsidR="002B0513">
        <w:rPr>
          <w:rFonts w:asciiTheme="minorHAnsi" w:hAnsiTheme="minorHAnsi" w:cstheme="minorHAnsi"/>
        </w:rPr>
        <w:t xml:space="preserve"> </w:t>
      </w:r>
      <w:r>
        <w:rPr>
          <w:rFonts w:asciiTheme="minorHAnsi" w:hAnsiTheme="minorHAnsi" w:cstheme="minorHAnsi"/>
        </w:rPr>
        <w:t>I look forward to spending the rest of my life with you.</w:t>
      </w:r>
    </w:p>
    <w:p w14:paraId="2E1CCC54" w14:textId="77777777" w:rsidR="00C137DB" w:rsidRDefault="00C137DB" w:rsidP="001E185A">
      <w:pPr>
        <w:spacing w:line="240" w:lineRule="auto"/>
        <w:jc w:val="center"/>
        <w:rPr>
          <w:rFonts w:ascii="Arial" w:hAnsi="Arial" w:cs="Arial"/>
        </w:rPr>
      </w:pPr>
    </w:p>
    <w:p w14:paraId="21D7847D" w14:textId="77777777" w:rsidR="00C137DB" w:rsidRDefault="00C137DB" w:rsidP="001E185A">
      <w:pPr>
        <w:spacing w:line="240" w:lineRule="auto"/>
        <w:jc w:val="center"/>
        <w:rPr>
          <w:rFonts w:ascii="Arial" w:hAnsi="Arial" w:cs="Arial"/>
        </w:rPr>
      </w:pPr>
    </w:p>
    <w:p w14:paraId="68B2C228" w14:textId="77777777" w:rsidR="00A86B47" w:rsidRDefault="00A86B47">
      <w:pPr>
        <w:spacing w:line="240" w:lineRule="auto"/>
        <w:jc w:val="left"/>
        <w:rPr>
          <w:rFonts w:ascii="Arial" w:hAnsi="Arial" w:cs="Arial"/>
        </w:rPr>
      </w:pPr>
    </w:p>
    <w:p w14:paraId="2CCF5B5D" w14:textId="77777777" w:rsidR="007E19C3" w:rsidRDefault="007E19C3">
      <w:pPr>
        <w:spacing w:line="240" w:lineRule="auto"/>
        <w:jc w:val="left"/>
        <w:rPr>
          <w:rFonts w:ascii="Arial" w:hAnsi="Arial" w:cs="Arial"/>
        </w:rPr>
        <w:sectPr w:rsidR="007E19C3">
          <w:pgSz w:w="12240" w:h="15840"/>
          <w:pgMar w:top="1440" w:right="1440" w:bottom="1440" w:left="2304" w:header="720" w:footer="720" w:gutter="0"/>
          <w:cols w:space="720"/>
          <w:titlePg/>
          <w:docGrid w:linePitch="360"/>
        </w:sectPr>
      </w:pPr>
    </w:p>
    <w:p w14:paraId="29F0C8AB" w14:textId="77777777" w:rsidR="007E19C3" w:rsidRPr="00907557" w:rsidRDefault="00907557" w:rsidP="00907557">
      <w:pPr>
        <w:rPr>
          <w:caps/>
          <w:sz w:val="28"/>
        </w:rPr>
      </w:pPr>
      <w:r w:rsidRPr="00907557">
        <w:rPr>
          <w:caps/>
          <w:sz w:val="28"/>
        </w:rPr>
        <w:lastRenderedPageBreak/>
        <w:t>Acknowledgements</w:t>
      </w:r>
    </w:p>
    <w:p w14:paraId="41AE054C" w14:textId="24128983" w:rsidR="000C424D" w:rsidRDefault="000C424D" w:rsidP="000C424D">
      <w:r>
        <w:t xml:space="preserve">First, I would like to thank the members of my advisory committee for their support and guidance throughout my graduate studies and for volunteering their time to serve on my committee.  </w:t>
      </w:r>
      <w:r w:rsidR="00F82232">
        <w:t>Particular thanks are owed to my advisors, Dr. Zahed Siddique and Dr. M</w:t>
      </w:r>
      <w:r w:rsidR="00326439">
        <w:t>.</w:t>
      </w:r>
      <w:r w:rsidR="00F82232">
        <w:t xml:space="preserve"> Cengiz Altan, whose encouragement and insight has been invaluable.</w:t>
      </w:r>
    </w:p>
    <w:p w14:paraId="12A9B92E" w14:textId="77777777" w:rsidR="00F82232" w:rsidRDefault="00F82232" w:rsidP="000C424D"/>
    <w:p w14:paraId="4C0E16B1" w14:textId="37C7ACBA" w:rsidR="000C424D" w:rsidRDefault="00F82232" w:rsidP="000C424D">
      <w:r>
        <w:t>I would also like to</w:t>
      </w:r>
      <w:r w:rsidR="00A507DB">
        <w:t xml:space="preserve"> </w:t>
      </w:r>
      <w:r w:rsidR="00482A02">
        <w:t xml:space="preserve">acknowledge </w:t>
      </w:r>
      <w:r w:rsidR="00A507DB">
        <w:t xml:space="preserve">several colleagues who have supported me and been a </w:t>
      </w:r>
      <w:r w:rsidR="00482A02">
        <w:t>resource</w:t>
      </w:r>
      <w:r w:rsidR="00A507DB">
        <w:t xml:space="preserve"> when I had questions. </w:t>
      </w:r>
      <w:r>
        <w:t xml:space="preserve"> </w:t>
      </w:r>
      <w:r w:rsidR="000C424D">
        <w:t>Dr. Landon Grace for d</w:t>
      </w:r>
      <w:r>
        <w:t>eveloping the framework of the hindered diffusion m</w:t>
      </w:r>
      <w:r w:rsidR="000C424D">
        <w:t>odel and his assistance throughout my doctoral program.</w:t>
      </w:r>
      <w:r>
        <w:t xml:space="preserve">  Gorkem E. Guloglu assistance with programming and model development has been very helpful.  </w:t>
      </w:r>
    </w:p>
    <w:p w14:paraId="56974C24" w14:textId="7341EF78" w:rsidR="000C424D" w:rsidRDefault="00F82232" w:rsidP="00A507DB">
      <w:r>
        <w:t xml:space="preserve">Over the years, </w:t>
      </w:r>
      <w:r w:rsidR="000C424D">
        <w:t xml:space="preserve">Dr. Levent Aktas and Dr. Jacob Anderson </w:t>
      </w:r>
      <w:r w:rsidR="00A507DB">
        <w:t>have</w:t>
      </w:r>
      <w:r>
        <w:t xml:space="preserve"> assisted me significantly with experimental </w:t>
      </w:r>
      <w:r w:rsidR="00A507DB">
        <w:t>research methods and training me on proper use of the various tools and equipment available to the research group.</w:t>
      </w:r>
    </w:p>
    <w:p w14:paraId="438CBF49" w14:textId="77777777" w:rsidR="00A507DB" w:rsidRDefault="00A507DB" w:rsidP="000C424D"/>
    <w:p w14:paraId="0550D228" w14:textId="2600CB8F" w:rsidR="000C424D" w:rsidRDefault="00A507DB" w:rsidP="000C424D">
      <w:r>
        <w:t xml:space="preserve">Finally, I would like to recognize several undergraduate </w:t>
      </w:r>
      <w:r w:rsidR="00482A02">
        <w:t xml:space="preserve">and graduate </w:t>
      </w:r>
      <w:r>
        <w:t xml:space="preserve">research assistants who have assisted me with several projects, including </w:t>
      </w:r>
      <w:r w:rsidR="000C424D">
        <w:t>Kevin Cox, Andres Romero Vasquez, Davis Crane, Benjamin Lobaugh and Sergio Ceballos.</w:t>
      </w:r>
    </w:p>
    <w:p w14:paraId="17364EF9" w14:textId="1CCC1952" w:rsidR="007D510A" w:rsidRDefault="007D510A" w:rsidP="007E19C3"/>
    <w:p w14:paraId="198071EA" w14:textId="77777777" w:rsidR="007E19C3" w:rsidRDefault="007E19C3" w:rsidP="007E19C3">
      <w:pPr>
        <w:rPr>
          <w:color w:val="000000" w:themeColor="text1"/>
          <w:sz w:val="28"/>
        </w:rPr>
      </w:pPr>
      <w:r>
        <w:br w:type="page"/>
      </w:r>
    </w:p>
    <w:p w14:paraId="3CCBF51F" w14:textId="77777777" w:rsidR="006E0C96" w:rsidRDefault="006427CE" w:rsidP="008C7B80">
      <w:pPr>
        <w:pStyle w:val="Heading5"/>
        <w:spacing w:line="240" w:lineRule="auto"/>
        <w:rPr>
          <w:noProof/>
        </w:rPr>
      </w:pPr>
      <w:bookmarkStart w:id="1" w:name="_Toc195596781"/>
      <w:r>
        <w:lastRenderedPageBreak/>
        <w:t>TABLE of contents</w:t>
      </w:r>
      <w:bookmarkEnd w:id="1"/>
      <w:r w:rsidR="00CF0651">
        <w:fldChar w:fldCharType="begin"/>
      </w:r>
      <w:r w:rsidR="00862E39">
        <w:instrText xml:space="preserve"> TOC \o "1-3" \u </w:instrText>
      </w:r>
      <w:r w:rsidR="00CF0651">
        <w:fldChar w:fldCharType="separate"/>
      </w:r>
    </w:p>
    <w:p w14:paraId="77877D1A" w14:textId="18AF4D32" w:rsidR="006E0C96" w:rsidRDefault="006E0C96" w:rsidP="00C17C55">
      <w:pPr>
        <w:pStyle w:val="TOC1"/>
        <w:tabs>
          <w:tab w:val="clear" w:pos="8460"/>
          <w:tab w:val="right" w:leader="dot" w:pos="8550"/>
        </w:tabs>
        <w:rPr>
          <w:rFonts w:eastAsiaTheme="minorEastAsia" w:cstheme="minorBidi"/>
          <w:b w:val="0"/>
          <w:bCs w:val="0"/>
          <w:caps w:val="0"/>
          <w:noProof/>
          <w:szCs w:val="24"/>
          <w:lang w:eastAsia="ja-JP"/>
        </w:rPr>
      </w:pPr>
      <w:r w:rsidRPr="00D21BB7">
        <w:rPr>
          <w:rFonts w:cstheme="minorHAnsi"/>
          <w:noProof/>
        </w:rPr>
        <w:t>list of tables</w:t>
      </w:r>
      <w:r>
        <w:rPr>
          <w:noProof/>
        </w:rPr>
        <w:tab/>
      </w:r>
      <w:r w:rsidR="007E0B50">
        <w:rPr>
          <w:noProof/>
        </w:rPr>
        <w:t>XI</w:t>
      </w:r>
    </w:p>
    <w:p w14:paraId="27888863" w14:textId="77777777" w:rsidR="00C52689" w:rsidRDefault="00C52689" w:rsidP="00C17C55">
      <w:pPr>
        <w:pStyle w:val="TOC1"/>
        <w:tabs>
          <w:tab w:val="clear" w:pos="8460"/>
          <w:tab w:val="right" w:leader="dot" w:pos="8550"/>
        </w:tabs>
        <w:rPr>
          <w:noProof/>
        </w:rPr>
      </w:pPr>
    </w:p>
    <w:p w14:paraId="23D73C4B" w14:textId="3DDA95FC" w:rsidR="006E0C96" w:rsidRDefault="006E0C96" w:rsidP="00C17C55">
      <w:pPr>
        <w:pStyle w:val="TOC1"/>
        <w:tabs>
          <w:tab w:val="clear" w:pos="8460"/>
          <w:tab w:val="right" w:leader="dot" w:pos="8550"/>
        </w:tabs>
        <w:rPr>
          <w:rFonts w:eastAsiaTheme="minorEastAsia" w:cstheme="minorBidi"/>
          <w:b w:val="0"/>
          <w:bCs w:val="0"/>
          <w:caps w:val="0"/>
          <w:noProof/>
          <w:szCs w:val="24"/>
          <w:lang w:eastAsia="ja-JP"/>
        </w:rPr>
      </w:pPr>
      <w:r w:rsidRPr="00D21BB7">
        <w:rPr>
          <w:noProof/>
        </w:rPr>
        <w:t>list of figures</w:t>
      </w:r>
      <w:r>
        <w:rPr>
          <w:noProof/>
        </w:rPr>
        <w:tab/>
      </w:r>
      <w:r>
        <w:rPr>
          <w:noProof/>
        </w:rPr>
        <w:fldChar w:fldCharType="begin"/>
      </w:r>
      <w:r>
        <w:rPr>
          <w:noProof/>
        </w:rPr>
        <w:instrText xml:space="preserve"> PAGEREF _Toc346310948 \h </w:instrText>
      </w:r>
      <w:r>
        <w:rPr>
          <w:noProof/>
        </w:rPr>
      </w:r>
      <w:r>
        <w:rPr>
          <w:noProof/>
        </w:rPr>
        <w:fldChar w:fldCharType="separate"/>
      </w:r>
      <w:r w:rsidR="008A1992">
        <w:rPr>
          <w:noProof/>
        </w:rPr>
        <w:t>xiii</w:t>
      </w:r>
      <w:r>
        <w:rPr>
          <w:noProof/>
        </w:rPr>
        <w:fldChar w:fldCharType="end"/>
      </w:r>
    </w:p>
    <w:p w14:paraId="32349D6F" w14:textId="77777777" w:rsidR="00C52689" w:rsidRDefault="00C52689" w:rsidP="00C17C55">
      <w:pPr>
        <w:pStyle w:val="TOC1"/>
        <w:tabs>
          <w:tab w:val="clear" w:pos="8460"/>
          <w:tab w:val="right" w:leader="dot" w:pos="8550"/>
        </w:tabs>
        <w:rPr>
          <w:noProof/>
        </w:rPr>
      </w:pPr>
    </w:p>
    <w:p w14:paraId="1330C7D0" w14:textId="18313249" w:rsidR="006E0C96" w:rsidRDefault="006E0C96" w:rsidP="00C17C55">
      <w:pPr>
        <w:pStyle w:val="TOC1"/>
        <w:tabs>
          <w:tab w:val="clear" w:pos="8460"/>
          <w:tab w:val="right" w:leader="dot" w:pos="8550"/>
        </w:tabs>
        <w:rPr>
          <w:rFonts w:eastAsiaTheme="minorEastAsia" w:cstheme="minorBidi"/>
          <w:b w:val="0"/>
          <w:bCs w:val="0"/>
          <w:caps w:val="0"/>
          <w:noProof/>
          <w:szCs w:val="24"/>
          <w:lang w:eastAsia="ja-JP"/>
        </w:rPr>
      </w:pPr>
      <w:r w:rsidRPr="00D21BB7">
        <w:rPr>
          <w:noProof/>
        </w:rPr>
        <w:t>abstract</w:t>
      </w:r>
      <w:r>
        <w:rPr>
          <w:noProof/>
        </w:rPr>
        <w:tab/>
      </w:r>
      <w:r w:rsidR="00C52689">
        <w:rPr>
          <w:noProof/>
        </w:rPr>
        <w:tab/>
      </w:r>
      <w:r>
        <w:rPr>
          <w:noProof/>
        </w:rPr>
        <w:fldChar w:fldCharType="begin"/>
      </w:r>
      <w:r>
        <w:rPr>
          <w:noProof/>
        </w:rPr>
        <w:instrText xml:space="preserve"> PAGEREF _Toc346310949 \h </w:instrText>
      </w:r>
      <w:r>
        <w:rPr>
          <w:noProof/>
        </w:rPr>
      </w:r>
      <w:r>
        <w:rPr>
          <w:noProof/>
        </w:rPr>
        <w:fldChar w:fldCharType="separate"/>
      </w:r>
      <w:r w:rsidR="008A1992">
        <w:rPr>
          <w:noProof/>
        </w:rPr>
        <w:t>xviii</w:t>
      </w:r>
      <w:r>
        <w:rPr>
          <w:noProof/>
        </w:rPr>
        <w:fldChar w:fldCharType="end"/>
      </w:r>
    </w:p>
    <w:p w14:paraId="0E67765E" w14:textId="77777777" w:rsidR="00C52689" w:rsidRDefault="00C52689" w:rsidP="00C52689">
      <w:pPr>
        <w:pStyle w:val="TOC1"/>
        <w:tabs>
          <w:tab w:val="clear" w:pos="8460"/>
          <w:tab w:val="right" w:leader="dot" w:pos="8550"/>
        </w:tabs>
        <w:rPr>
          <w:noProof/>
        </w:rPr>
      </w:pPr>
    </w:p>
    <w:p w14:paraId="0E2986F3" w14:textId="6D311109" w:rsidR="006E0C96" w:rsidRDefault="00C52689" w:rsidP="00C52689">
      <w:pPr>
        <w:pStyle w:val="TOC1"/>
        <w:tabs>
          <w:tab w:val="clear" w:pos="8460"/>
          <w:tab w:val="right" w:leader="dot" w:pos="8550"/>
        </w:tabs>
        <w:rPr>
          <w:rFonts w:eastAsiaTheme="minorEastAsia" w:cstheme="minorBidi"/>
          <w:b w:val="0"/>
          <w:bCs w:val="0"/>
          <w:caps w:val="0"/>
          <w:noProof/>
          <w:szCs w:val="24"/>
          <w:lang w:eastAsia="ja-JP"/>
        </w:rPr>
      </w:pPr>
      <w:r>
        <w:rPr>
          <w:noProof/>
        </w:rPr>
        <w:t xml:space="preserve">chapter 1: </w:t>
      </w:r>
      <w:r w:rsidR="006E0C96">
        <w:rPr>
          <w:noProof/>
        </w:rPr>
        <w:t>Introduction and Overview</w:t>
      </w:r>
      <w:r w:rsidR="006E0C96">
        <w:rPr>
          <w:noProof/>
        </w:rPr>
        <w:tab/>
      </w:r>
      <w:r w:rsidR="006E0C96">
        <w:rPr>
          <w:noProof/>
        </w:rPr>
        <w:fldChar w:fldCharType="begin"/>
      </w:r>
      <w:r w:rsidR="006E0C96">
        <w:rPr>
          <w:noProof/>
        </w:rPr>
        <w:instrText xml:space="preserve"> PAGEREF _Toc346310951 \h </w:instrText>
      </w:r>
      <w:r w:rsidR="006E0C96">
        <w:rPr>
          <w:noProof/>
        </w:rPr>
      </w:r>
      <w:r w:rsidR="006E0C96">
        <w:rPr>
          <w:noProof/>
        </w:rPr>
        <w:fldChar w:fldCharType="separate"/>
      </w:r>
      <w:r w:rsidR="008A1992">
        <w:rPr>
          <w:noProof/>
        </w:rPr>
        <w:t>1</w:t>
      </w:r>
      <w:r w:rsidR="006E0C96">
        <w:rPr>
          <w:noProof/>
        </w:rPr>
        <w:fldChar w:fldCharType="end"/>
      </w:r>
    </w:p>
    <w:p w14:paraId="337E258E" w14:textId="77777777" w:rsidR="00C52689" w:rsidRDefault="00C52689" w:rsidP="00C52689">
      <w:pPr>
        <w:pStyle w:val="TOC2"/>
        <w:rPr>
          <w:noProof/>
        </w:rPr>
      </w:pPr>
    </w:p>
    <w:p w14:paraId="6A2AD138" w14:textId="77777777" w:rsidR="006E0C96" w:rsidRDefault="006E0C96" w:rsidP="00C52689">
      <w:pPr>
        <w:pStyle w:val="TOC2"/>
        <w:rPr>
          <w:rFonts w:eastAsiaTheme="minorEastAsia" w:cstheme="minorBidi"/>
          <w:noProof/>
          <w:szCs w:val="24"/>
          <w:lang w:eastAsia="ja-JP"/>
        </w:rPr>
      </w:pPr>
      <w:r>
        <w:rPr>
          <w:noProof/>
        </w:rPr>
        <w:t>1.1</w:t>
      </w:r>
      <w:r>
        <w:rPr>
          <w:rFonts w:eastAsiaTheme="minorEastAsia" w:cstheme="minorBidi"/>
          <w:noProof/>
          <w:szCs w:val="24"/>
          <w:lang w:eastAsia="ja-JP"/>
        </w:rPr>
        <w:tab/>
      </w:r>
      <w:r>
        <w:rPr>
          <w:noProof/>
        </w:rPr>
        <w:t>Effect of Process-Induced Defects on High-Performance Composite Materials</w:t>
      </w:r>
      <w:r>
        <w:rPr>
          <w:noProof/>
        </w:rPr>
        <w:tab/>
      </w:r>
      <w:r>
        <w:rPr>
          <w:noProof/>
        </w:rPr>
        <w:fldChar w:fldCharType="begin"/>
      </w:r>
      <w:r>
        <w:rPr>
          <w:noProof/>
        </w:rPr>
        <w:instrText xml:space="preserve"> PAGEREF _Toc346310952 \h </w:instrText>
      </w:r>
      <w:r>
        <w:rPr>
          <w:noProof/>
        </w:rPr>
      </w:r>
      <w:r>
        <w:rPr>
          <w:noProof/>
        </w:rPr>
        <w:fldChar w:fldCharType="separate"/>
      </w:r>
      <w:r w:rsidR="008A1992">
        <w:rPr>
          <w:noProof/>
        </w:rPr>
        <w:t>1</w:t>
      </w:r>
      <w:r>
        <w:rPr>
          <w:noProof/>
        </w:rPr>
        <w:fldChar w:fldCharType="end"/>
      </w:r>
    </w:p>
    <w:p w14:paraId="24718EC0" w14:textId="77777777" w:rsidR="00C52689" w:rsidRDefault="00C52689" w:rsidP="00C52689">
      <w:pPr>
        <w:pStyle w:val="TOC2"/>
        <w:rPr>
          <w:noProof/>
        </w:rPr>
      </w:pPr>
    </w:p>
    <w:p w14:paraId="07A95359" w14:textId="77777777" w:rsidR="006E0C96" w:rsidRDefault="006E0C96" w:rsidP="00C52689">
      <w:pPr>
        <w:pStyle w:val="TOC2"/>
        <w:rPr>
          <w:rFonts w:eastAsiaTheme="minorEastAsia" w:cstheme="minorBidi"/>
          <w:noProof/>
          <w:szCs w:val="24"/>
          <w:lang w:eastAsia="ja-JP"/>
        </w:rPr>
      </w:pPr>
      <w:r>
        <w:rPr>
          <w:noProof/>
        </w:rPr>
        <w:t>1.2</w:t>
      </w:r>
      <w:r>
        <w:rPr>
          <w:rFonts w:eastAsiaTheme="minorEastAsia" w:cstheme="minorBidi"/>
          <w:noProof/>
          <w:szCs w:val="24"/>
          <w:lang w:eastAsia="ja-JP"/>
        </w:rPr>
        <w:tab/>
      </w:r>
      <w:r>
        <w:rPr>
          <w:noProof/>
        </w:rPr>
        <w:t>Composite Degradation due to Environmental and Operational Effects</w:t>
      </w:r>
      <w:r>
        <w:rPr>
          <w:noProof/>
        </w:rPr>
        <w:tab/>
      </w:r>
      <w:r>
        <w:rPr>
          <w:noProof/>
        </w:rPr>
        <w:fldChar w:fldCharType="begin"/>
      </w:r>
      <w:r>
        <w:rPr>
          <w:noProof/>
        </w:rPr>
        <w:instrText xml:space="preserve"> PAGEREF _Toc346310953 \h </w:instrText>
      </w:r>
      <w:r>
        <w:rPr>
          <w:noProof/>
        </w:rPr>
      </w:r>
      <w:r>
        <w:rPr>
          <w:noProof/>
        </w:rPr>
        <w:fldChar w:fldCharType="separate"/>
      </w:r>
      <w:r w:rsidR="008A1992">
        <w:rPr>
          <w:noProof/>
        </w:rPr>
        <w:t>4</w:t>
      </w:r>
      <w:r>
        <w:rPr>
          <w:noProof/>
        </w:rPr>
        <w:fldChar w:fldCharType="end"/>
      </w:r>
    </w:p>
    <w:p w14:paraId="0D2375F9" w14:textId="77777777" w:rsidR="00C52689" w:rsidRDefault="00C52689" w:rsidP="00C52689">
      <w:pPr>
        <w:pStyle w:val="TOC2"/>
        <w:rPr>
          <w:noProof/>
        </w:rPr>
      </w:pPr>
    </w:p>
    <w:p w14:paraId="05EF366E" w14:textId="77777777" w:rsidR="006E0C96" w:rsidRDefault="006E0C96" w:rsidP="00C52689">
      <w:pPr>
        <w:pStyle w:val="TOC2"/>
        <w:rPr>
          <w:rFonts w:eastAsiaTheme="minorEastAsia" w:cstheme="minorBidi"/>
          <w:noProof/>
          <w:szCs w:val="24"/>
          <w:lang w:eastAsia="ja-JP"/>
        </w:rPr>
      </w:pPr>
      <w:r>
        <w:rPr>
          <w:noProof/>
        </w:rPr>
        <w:t>1.3</w:t>
      </w:r>
      <w:r>
        <w:rPr>
          <w:rFonts w:eastAsiaTheme="minorEastAsia" w:cstheme="minorBidi"/>
          <w:noProof/>
          <w:szCs w:val="24"/>
          <w:lang w:eastAsia="ja-JP"/>
        </w:rPr>
        <w:tab/>
      </w:r>
      <w:r>
        <w:rPr>
          <w:noProof/>
        </w:rPr>
        <w:t>Research Motivation</w:t>
      </w:r>
      <w:r>
        <w:rPr>
          <w:noProof/>
        </w:rPr>
        <w:tab/>
      </w:r>
      <w:r>
        <w:rPr>
          <w:noProof/>
        </w:rPr>
        <w:fldChar w:fldCharType="begin"/>
      </w:r>
      <w:r>
        <w:rPr>
          <w:noProof/>
        </w:rPr>
        <w:instrText xml:space="preserve"> PAGEREF _Toc346310954 \h </w:instrText>
      </w:r>
      <w:r>
        <w:rPr>
          <w:noProof/>
        </w:rPr>
      </w:r>
      <w:r>
        <w:rPr>
          <w:noProof/>
        </w:rPr>
        <w:fldChar w:fldCharType="separate"/>
      </w:r>
      <w:r w:rsidR="008A1992">
        <w:rPr>
          <w:noProof/>
        </w:rPr>
        <w:t>5</w:t>
      </w:r>
      <w:r>
        <w:rPr>
          <w:noProof/>
        </w:rPr>
        <w:fldChar w:fldCharType="end"/>
      </w:r>
    </w:p>
    <w:p w14:paraId="17BEC8A1" w14:textId="77777777" w:rsidR="00C52689" w:rsidRDefault="00C52689" w:rsidP="00C52689">
      <w:pPr>
        <w:pStyle w:val="TOC2"/>
        <w:rPr>
          <w:noProof/>
        </w:rPr>
      </w:pPr>
    </w:p>
    <w:p w14:paraId="4507DD2C" w14:textId="77777777" w:rsidR="006E0C96" w:rsidRDefault="006E0C96" w:rsidP="00C52689">
      <w:pPr>
        <w:pStyle w:val="TOC2"/>
        <w:rPr>
          <w:rFonts w:eastAsiaTheme="minorEastAsia" w:cstheme="minorBidi"/>
          <w:noProof/>
          <w:szCs w:val="24"/>
          <w:lang w:eastAsia="ja-JP"/>
        </w:rPr>
      </w:pPr>
      <w:r>
        <w:rPr>
          <w:noProof/>
        </w:rPr>
        <w:t>1.4</w:t>
      </w:r>
      <w:r>
        <w:rPr>
          <w:rFonts w:eastAsiaTheme="minorEastAsia" w:cstheme="minorBidi"/>
          <w:noProof/>
          <w:szCs w:val="24"/>
          <w:lang w:eastAsia="ja-JP"/>
        </w:rPr>
        <w:tab/>
      </w:r>
      <w:r>
        <w:rPr>
          <w:noProof/>
        </w:rPr>
        <w:t>Organization of Dissertation</w:t>
      </w:r>
      <w:r>
        <w:rPr>
          <w:noProof/>
        </w:rPr>
        <w:tab/>
      </w:r>
      <w:r>
        <w:rPr>
          <w:noProof/>
        </w:rPr>
        <w:fldChar w:fldCharType="begin"/>
      </w:r>
      <w:r>
        <w:rPr>
          <w:noProof/>
        </w:rPr>
        <w:instrText xml:space="preserve"> PAGEREF _Toc346310955 \h </w:instrText>
      </w:r>
      <w:r>
        <w:rPr>
          <w:noProof/>
        </w:rPr>
      </w:r>
      <w:r>
        <w:rPr>
          <w:noProof/>
        </w:rPr>
        <w:fldChar w:fldCharType="separate"/>
      </w:r>
      <w:r w:rsidR="008A1992">
        <w:rPr>
          <w:noProof/>
        </w:rPr>
        <w:t>6</w:t>
      </w:r>
      <w:r>
        <w:rPr>
          <w:noProof/>
        </w:rPr>
        <w:fldChar w:fldCharType="end"/>
      </w:r>
    </w:p>
    <w:p w14:paraId="76D6566F" w14:textId="77777777" w:rsidR="00C52689" w:rsidRDefault="00C52689" w:rsidP="00C17C55">
      <w:pPr>
        <w:pStyle w:val="TOC1"/>
        <w:tabs>
          <w:tab w:val="clear" w:pos="8460"/>
          <w:tab w:val="left" w:pos="382"/>
          <w:tab w:val="right" w:leader="dot" w:pos="8550"/>
        </w:tabs>
        <w:rPr>
          <w:noProof/>
        </w:rPr>
      </w:pPr>
    </w:p>
    <w:p w14:paraId="59BCB833" w14:textId="08826552" w:rsidR="006E0C96" w:rsidRDefault="006E0C96" w:rsidP="00C17C55">
      <w:pPr>
        <w:pStyle w:val="TOC1"/>
        <w:tabs>
          <w:tab w:val="clear" w:pos="8460"/>
          <w:tab w:val="left" w:pos="382"/>
          <w:tab w:val="right" w:leader="dot" w:pos="8550"/>
        </w:tabs>
        <w:rPr>
          <w:rFonts w:eastAsiaTheme="minorEastAsia" w:cstheme="minorBidi"/>
          <w:b w:val="0"/>
          <w:bCs w:val="0"/>
          <w:caps w:val="0"/>
          <w:noProof/>
          <w:szCs w:val="24"/>
          <w:lang w:eastAsia="ja-JP"/>
        </w:rPr>
      </w:pPr>
      <w:r>
        <w:rPr>
          <w:noProof/>
        </w:rPr>
        <w:t>Part A: Characterization of Composite Laminates</w:t>
      </w:r>
      <w:r>
        <w:rPr>
          <w:noProof/>
        </w:rPr>
        <w:tab/>
      </w:r>
      <w:r>
        <w:rPr>
          <w:noProof/>
        </w:rPr>
        <w:fldChar w:fldCharType="begin"/>
      </w:r>
      <w:r>
        <w:rPr>
          <w:noProof/>
        </w:rPr>
        <w:instrText xml:space="preserve"> PAGEREF _Toc346310956 \h </w:instrText>
      </w:r>
      <w:r>
        <w:rPr>
          <w:noProof/>
        </w:rPr>
      </w:r>
      <w:r>
        <w:rPr>
          <w:noProof/>
        </w:rPr>
        <w:fldChar w:fldCharType="separate"/>
      </w:r>
      <w:r w:rsidR="008A1992">
        <w:rPr>
          <w:noProof/>
        </w:rPr>
        <w:t>8</w:t>
      </w:r>
      <w:r>
        <w:rPr>
          <w:noProof/>
        </w:rPr>
        <w:fldChar w:fldCharType="end"/>
      </w:r>
    </w:p>
    <w:p w14:paraId="0D75AF64" w14:textId="77777777" w:rsidR="00C52689" w:rsidRDefault="00C52689" w:rsidP="00C52689">
      <w:pPr>
        <w:pStyle w:val="TOC1"/>
        <w:tabs>
          <w:tab w:val="clear" w:pos="8460"/>
          <w:tab w:val="right" w:leader="dot" w:pos="8550"/>
        </w:tabs>
        <w:rPr>
          <w:noProof/>
        </w:rPr>
      </w:pPr>
    </w:p>
    <w:p w14:paraId="0FBD895F" w14:textId="75F5880E" w:rsidR="006E0C96" w:rsidRDefault="00C52689" w:rsidP="00C52689">
      <w:pPr>
        <w:pStyle w:val="TOC1"/>
        <w:tabs>
          <w:tab w:val="clear" w:pos="8460"/>
          <w:tab w:val="right" w:leader="dot" w:pos="8550"/>
        </w:tabs>
        <w:rPr>
          <w:rFonts w:eastAsiaTheme="minorEastAsia" w:cstheme="minorBidi"/>
          <w:b w:val="0"/>
          <w:bCs w:val="0"/>
          <w:caps w:val="0"/>
          <w:noProof/>
          <w:szCs w:val="24"/>
          <w:lang w:eastAsia="ja-JP"/>
        </w:rPr>
      </w:pPr>
      <w:r>
        <w:rPr>
          <w:noProof/>
        </w:rPr>
        <w:t xml:space="preserve">chapter 2: </w:t>
      </w:r>
      <w:r w:rsidR="006E0C96">
        <w:rPr>
          <w:noProof/>
        </w:rPr>
        <w:t>Coupled Effect of Varying Prepreg Humidity Exposure and Fabrication Pressure on Laminate Microstructure</w:t>
      </w:r>
      <w:r w:rsidR="006E0C96">
        <w:rPr>
          <w:noProof/>
        </w:rPr>
        <w:tab/>
      </w:r>
      <w:r w:rsidR="006E0C96">
        <w:rPr>
          <w:noProof/>
        </w:rPr>
        <w:fldChar w:fldCharType="begin"/>
      </w:r>
      <w:r w:rsidR="006E0C96">
        <w:rPr>
          <w:noProof/>
        </w:rPr>
        <w:instrText xml:space="preserve"> PAGEREF _Toc346310958 \h </w:instrText>
      </w:r>
      <w:r w:rsidR="006E0C96">
        <w:rPr>
          <w:noProof/>
        </w:rPr>
      </w:r>
      <w:r w:rsidR="006E0C96">
        <w:rPr>
          <w:noProof/>
        </w:rPr>
        <w:fldChar w:fldCharType="separate"/>
      </w:r>
      <w:r w:rsidR="008A1992">
        <w:rPr>
          <w:noProof/>
        </w:rPr>
        <w:t>9</w:t>
      </w:r>
      <w:r w:rsidR="006E0C96">
        <w:rPr>
          <w:noProof/>
        </w:rPr>
        <w:fldChar w:fldCharType="end"/>
      </w:r>
    </w:p>
    <w:p w14:paraId="67357C7D" w14:textId="77777777" w:rsidR="00C52689" w:rsidRDefault="00C52689" w:rsidP="00C52689">
      <w:pPr>
        <w:pStyle w:val="TOC2"/>
        <w:rPr>
          <w:noProof/>
        </w:rPr>
      </w:pPr>
    </w:p>
    <w:p w14:paraId="754BC29F" w14:textId="77777777" w:rsidR="006E0C96" w:rsidRDefault="006E0C96" w:rsidP="00C52689">
      <w:pPr>
        <w:pStyle w:val="TOC2"/>
        <w:rPr>
          <w:rFonts w:eastAsiaTheme="minorEastAsia" w:cstheme="minorBidi"/>
          <w:noProof/>
          <w:szCs w:val="24"/>
          <w:lang w:eastAsia="ja-JP"/>
        </w:rPr>
      </w:pPr>
      <w:r>
        <w:rPr>
          <w:noProof/>
        </w:rPr>
        <w:t>2.1</w:t>
      </w:r>
      <w:r>
        <w:rPr>
          <w:rFonts w:eastAsiaTheme="minorEastAsia" w:cstheme="minorBidi"/>
          <w:noProof/>
          <w:szCs w:val="24"/>
          <w:lang w:eastAsia="ja-JP"/>
        </w:rPr>
        <w:tab/>
      </w:r>
      <w:r>
        <w:rPr>
          <w:noProof/>
        </w:rPr>
        <w:t>Prepreg Material Overview</w:t>
      </w:r>
      <w:r>
        <w:rPr>
          <w:noProof/>
        </w:rPr>
        <w:tab/>
      </w:r>
      <w:r>
        <w:rPr>
          <w:noProof/>
        </w:rPr>
        <w:fldChar w:fldCharType="begin"/>
      </w:r>
      <w:r>
        <w:rPr>
          <w:noProof/>
        </w:rPr>
        <w:instrText xml:space="preserve"> PAGEREF _Toc346310959 \h </w:instrText>
      </w:r>
      <w:r>
        <w:rPr>
          <w:noProof/>
        </w:rPr>
      </w:r>
      <w:r>
        <w:rPr>
          <w:noProof/>
        </w:rPr>
        <w:fldChar w:fldCharType="separate"/>
      </w:r>
      <w:r w:rsidR="008A1992">
        <w:rPr>
          <w:noProof/>
        </w:rPr>
        <w:t>9</w:t>
      </w:r>
      <w:r>
        <w:rPr>
          <w:noProof/>
        </w:rPr>
        <w:fldChar w:fldCharType="end"/>
      </w:r>
    </w:p>
    <w:p w14:paraId="2089F2D4" w14:textId="77777777" w:rsidR="00C52689" w:rsidRDefault="00C52689" w:rsidP="00C52689">
      <w:pPr>
        <w:pStyle w:val="TOC2"/>
        <w:rPr>
          <w:noProof/>
        </w:rPr>
      </w:pPr>
    </w:p>
    <w:p w14:paraId="7676480B" w14:textId="77777777" w:rsidR="006E0C96" w:rsidRDefault="006E0C96" w:rsidP="00C52689">
      <w:pPr>
        <w:pStyle w:val="TOC2"/>
        <w:rPr>
          <w:rFonts w:eastAsiaTheme="minorEastAsia" w:cstheme="minorBidi"/>
          <w:noProof/>
          <w:szCs w:val="24"/>
          <w:lang w:eastAsia="ja-JP"/>
        </w:rPr>
      </w:pPr>
      <w:r>
        <w:rPr>
          <w:noProof/>
        </w:rPr>
        <w:t>2.2</w:t>
      </w:r>
      <w:r>
        <w:rPr>
          <w:rFonts w:eastAsiaTheme="minorEastAsia" w:cstheme="minorBidi"/>
          <w:noProof/>
          <w:szCs w:val="24"/>
          <w:lang w:eastAsia="ja-JP"/>
        </w:rPr>
        <w:tab/>
      </w:r>
      <w:r>
        <w:rPr>
          <w:noProof/>
        </w:rPr>
        <w:t>Prepreg Conditioning at Varying Relative Humidity Exposure Levels</w:t>
      </w:r>
      <w:r>
        <w:rPr>
          <w:noProof/>
        </w:rPr>
        <w:tab/>
      </w:r>
      <w:r>
        <w:rPr>
          <w:noProof/>
        </w:rPr>
        <w:fldChar w:fldCharType="begin"/>
      </w:r>
      <w:r>
        <w:rPr>
          <w:noProof/>
        </w:rPr>
        <w:instrText xml:space="preserve"> PAGEREF _Toc346310960 \h </w:instrText>
      </w:r>
      <w:r>
        <w:rPr>
          <w:noProof/>
        </w:rPr>
      </w:r>
      <w:r>
        <w:rPr>
          <w:noProof/>
        </w:rPr>
        <w:fldChar w:fldCharType="separate"/>
      </w:r>
      <w:r w:rsidR="008A1992">
        <w:rPr>
          <w:noProof/>
        </w:rPr>
        <w:t>11</w:t>
      </w:r>
      <w:r>
        <w:rPr>
          <w:noProof/>
        </w:rPr>
        <w:fldChar w:fldCharType="end"/>
      </w:r>
    </w:p>
    <w:p w14:paraId="0B7B9EDB" w14:textId="77777777" w:rsidR="00C52689" w:rsidRDefault="00C52689" w:rsidP="00C52689">
      <w:pPr>
        <w:pStyle w:val="TOC3"/>
        <w:rPr>
          <w:noProof/>
        </w:rPr>
      </w:pPr>
    </w:p>
    <w:p w14:paraId="32B6B89F" w14:textId="77777777" w:rsidR="006E0C96" w:rsidRDefault="006E0C96" w:rsidP="00C52689">
      <w:pPr>
        <w:pStyle w:val="TOC3"/>
        <w:rPr>
          <w:rFonts w:eastAsiaTheme="minorEastAsia" w:cstheme="minorBidi"/>
          <w:noProof/>
          <w:szCs w:val="24"/>
          <w:lang w:eastAsia="ja-JP"/>
        </w:rPr>
      </w:pPr>
      <w:r>
        <w:rPr>
          <w:noProof/>
        </w:rPr>
        <w:t>2.2.1</w:t>
      </w:r>
      <w:r>
        <w:rPr>
          <w:rFonts w:eastAsiaTheme="minorEastAsia" w:cstheme="minorBidi"/>
          <w:noProof/>
          <w:szCs w:val="24"/>
          <w:lang w:eastAsia="ja-JP"/>
        </w:rPr>
        <w:tab/>
      </w:r>
      <w:r>
        <w:rPr>
          <w:noProof/>
        </w:rPr>
        <w:t>Equipment Used and Experimental Procedure for Prepreg Conditioning</w:t>
      </w:r>
      <w:r>
        <w:rPr>
          <w:noProof/>
        </w:rPr>
        <w:tab/>
      </w:r>
      <w:r>
        <w:rPr>
          <w:noProof/>
        </w:rPr>
        <w:fldChar w:fldCharType="begin"/>
      </w:r>
      <w:r>
        <w:rPr>
          <w:noProof/>
        </w:rPr>
        <w:instrText xml:space="preserve"> PAGEREF _Toc346310961 \h </w:instrText>
      </w:r>
      <w:r>
        <w:rPr>
          <w:noProof/>
        </w:rPr>
      </w:r>
      <w:r>
        <w:rPr>
          <w:noProof/>
        </w:rPr>
        <w:fldChar w:fldCharType="separate"/>
      </w:r>
      <w:r w:rsidR="008A1992">
        <w:rPr>
          <w:noProof/>
        </w:rPr>
        <w:t>11</w:t>
      </w:r>
      <w:r>
        <w:rPr>
          <w:noProof/>
        </w:rPr>
        <w:fldChar w:fldCharType="end"/>
      </w:r>
    </w:p>
    <w:p w14:paraId="1C9E99B6" w14:textId="77777777" w:rsidR="00C52689" w:rsidRDefault="00C52689" w:rsidP="00C52689">
      <w:pPr>
        <w:pStyle w:val="TOC3"/>
        <w:rPr>
          <w:noProof/>
        </w:rPr>
      </w:pPr>
    </w:p>
    <w:p w14:paraId="26D57186" w14:textId="77777777" w:rsidR="006E0C96" w:rsidRDefault="006E0C96" w:rsidP="00C52689">
      <w:pPr>
        <w:pStyle w:val="TOC3"/>
        <w:rPr>
          <w:rFonts w:eastAsiaTheme="minorEastAsia" w:cstheme="minorBidi"/>
          <w:noProof/>
          <w:szCs w:val="24"/>
          <w:lang w:eastAsia="ja-JP"/>
        </w:rPr>
      </w:pPr>
      <w:r>
        <w:rPr>
          <w:noProof/>
        </w:rPr>
        <w:t>2.2.2</w:t>
      </w:r>
      <w:r>
        <w:rPr>
          <w:rFonts w:eastAsiaTheme="minorEastAsia" w:cstheme="minorBidi"/>
          <w:noProof/>
          <w:szCs w:val="24"/>
          <w:lang w:eastAsia="ja-JP"/>
        </w:rPr>
        <w:tab/>
      </w:r>
      <w:r>
        <w:rPr>
          <w:noProof/>
        </w:rPr>
        <w:t>Measuring Prepreg Moisture Content before Laminate Fabrication</w:t>
      </w:r>
      <w:r>
        <w:rPr>
          <w:noProof/>
        </w:rPr>
        <w:tab/>
      </w:r>
      <w:r>
        <w:rPr>
          <w:noProof/>
        </w:rPr>
        <w:fldChar w:fldCharType="begin"/>
      </w:r>
      <w:r>
        <w:rPr>
          <w:noProof/>
        </w:rPr>
        <w:instrText xml:space="preserve"> PAGEREF _Toc346310962 \h </w:instrText>
      </w:r>
      <w:r>
        <w:rPr>
          <w:noProof/>
        </w:rPr>
      </w:r>
      <w:r>
        <w:rPr>
          <w:noProof/>
        </w:rPr>
        <w:fldChar w:fldCharType="separate"/>
      </w:r>
      <w:r w:rsidR="008A1992">
        <w:rPr>
          <w:noProof/>
        </w:rPr>
        <w:t>12</w:t>
      </w:r>
      <w:r>
        <w:rPr>
          <w:noProof/>
        </w:rPr>
        <w:fldChar w:fldCharType="end"/>
      </w:r>
    </w:p>
    <w:p w14:paraId="36A615C9" w14:textId="77777777" w:rsidR="00C52689" w:rsidRDefault="00C52689" w:rsidP="00C52689">
      <w:pPr>
        <w:pStyle w:val="TOC2"/>
        <w:rPr>
          <w:noProof/>
        </w:rPr>
      </w:pPr>
    </w:p>
    <w:p w14:paraId="6570D946" w14:textId="77777777" w:rsidR="006E0C96" w:rsidRDefault="006E0C96" w:rsidP="00C52689">
      <w:pPr>
        <w:pStyle w:val="TOC2"/>
        <w:rPr>
          <w:rFonts w:eastAsiaTheme="minorEastAsia" w:cstheme="minorBidi"/>
          <w:noProof/>
          <w:szCs w:val="24"/>
          <w:lang w:eastAsia="ja-JP"/>
        </w:rPr>
      </w:pPr>
      <w:r>
        <w:rPr>
          <w:noProof/>
        </w:rPr>
        <w:t>2.3</w:t>
      </w:r>
      <w:r>
        <w:rPr>
          <w:rFonts w:eastAsiaTheme="minorEastAsia" w:cstheme="minorBidi"/>
          <w:noProof/>
          <w:szCs w:val="24"/>
          <w:lang w:eastAsia="ja-JP"/>
        </w:rPr>
        <w:tab/>
      </w:r>
      <w:r>
        <w:rPr>
          <w:noProof/>
        </w:rPr>
        <w:t>Laminate Fabrication at Varying Cure Pressures</w:t>
      </w:r>
      <w:r>
        <w:rPr>
          <w:noProof/>
        </w:rPr>
        <w:tab/>
      </w:r>
      <w:r>
        <w:rPr>
          <w:noProof/>
        </w:rPr>
        <w:fldChar w:fldCharType="begin"/>
      </w:r>
      <w:r>
        <w:rPr>
          <w:noProof/>
        </w:rPr>
        <w:instrText xml:space="preserve"> PAGEREF _Toc346310963 \h </w:instrText>
      </w:r>
      <w:r>
        <w:rPr>
          <w:noProof/>
        </w:rPr>
      </w:r>
      <w:r>
        <w:rPr>
          <w:noProof/>
        </w:rPr>
        <w:fldChar w:fldCharType="separate"/>
      </w:r>
      <w:r w:rsidR="008A1992">
        <w:rPr>
          <w:noProof/>
        </w:rPr>
        <w:t>14</w:t>
      </w:r>
      <w:r>
        <w:rPr>
          <w:noProof/>
        </w:rPr>
        <w:fldChar w:fldCharType="end"/>
      </w:r>
    </w:p>
    <w:p w14:paraId="0A9FFC7E" w14:textId="77777777" w:rsidR="00C52689" w:rsidRDefault="00C52689" w:rsidP="00C52689">
      <w:pPr>
        <w:pStyle w:val="TOC3"/>
        <w:rPr>
          <w:noProof/>
        </w:rPr>
      </w:pPr>
    </w:p>
    <w:p w14:paraId="354C4A17" w14:textId="77777777" w:rsidR="006E0C96" w:rsidRDefault="006E0C96" w:rsidP="00C52689">
      <w:pPr>
        <w:pStyle w:val="TOC3"/>
        <w:rPr>
          <w:rFonts w:eastAsiaTheme="minorEastAsia" w:cstheme="minorBidi"/>
          <w:noProof/>
          <w:szCs w:val="24"/>
          <w:lang w:eastAsia="ja-JP"/>
        </w:rPr>
      </w:pPr>
      <w:r>
        <w:rPr>
          <w:noProof/>
        </w:rPr>
        <w:t>2.3.1</w:t>
      </w:r>
      <w:r>
        <w:rPr>
          <w:rFonts w:eastAsiaTheme="minorEastAsia" w:cstheme="minorBidi"/>
          <w:noProof/>
          <w:szCs w:val="24"/>
          <w:lang w:eastAsia="ja-JP"/>
        </w:rPr>
        <w:tab/>
      </w:r>
      <w:r>
        <w:rPr>
          <w:noProof/>
        </w:rPr>
        <w:t>Equipment Used and Experimental Procedure for Laminate Fabrication</w:t>
      </w:r>
      <w:r>
        <w:rPr>
          <w:noProof/>
        </w:rPr>
        <w:tab/>
      </w:r>
      <w:r>
        <w:rPr>
          <w:noProof/>
        </w:rPr>
        <w:fldChar w:fldCharType="begin"/>
      </w:r>
      <w:r>
        <w:rPr>
          <w:noProof/>
        </w:rPr>
        <w:instrText xml:space="preserve"> PAGEREF _Toc346310964 \h </w:instrText>
      </w:r>
      <w:r>
        <w:rPr>
          <w:noProof/>
        </w:rPr>
      </w:r>
      <w:r>
        <w:rPr>
          <w:noProof/>
        </w:rPr>
        <w:fldChar w:fldCharType="separate"/>
      </w:r>
      <w:r w:rsidR="008A1992">
        <w:rPr>
          <w:noProof/>
        </w:rPr>
        <w:t>14</w:t>
      </w:r>
      <w:r>
        <w:rPr>
          <w:noProof/>
        </w:rPr>
        <w:fldChar w:fldCharType="end"/>
      </w:r>
    </w:p>
    <w:p w14:paraId="076A0DCC" w14:textId="77777777" w:rsidR="00C52689" w:rsidRDefault="00C52689" w:rsidP="00C52689">
      <w:pPr>
        <w:pStyle w:val="TOC3"/>
        <w:rPr>
          <w:noProof/>
        </w:rPr>
      </w:pPr>
    </w:p>
    <w:p w14:paraId="4AC33144" w14:textId="77777777" w:rsidR="006E0C96" w:rsidRDefault="006E0C96" w:rsidP="00C52689">
      <w:pPr>
        <w:pStyle w:val="TOC3"/>
        <w:rPr>
          <w:rFonts w:eastAsiaTheme="minorEastAsia" w:cstheme="minorBidi"/>
          <w:noProof/>
          <w:szCs w:val="24"/>
          <w:lang w:eastAsia="ja-JP"/>
        </w:rPr>
      </w:pPr>
      <w:r>
        <w:rPr>
          <w:noProof/>
        </w:rPr>
        <w:t>2.3.2</w:t>
      </w:r>
      <w:r>
        <w:rPr>
          <w:rFonts w:eastAsiaTheme="minorEastAsia" w:cstheme="minorBidi"/>
          <w:noProof/>
          <w:szCs w:val="24"/>
          <w:lang w:eastAsia="ja-JP"/>
        </w:rPr>
        <w:tab/>
      </w:r>
      <w:r>
        <w:rPr>
          <w:noProof/>
        </w:rPr>
        <w:t>Initial Assessment of Fabricated Laminate Thickness</w:t>
      </w:r>
      <w:r>
        <w:rPr>
          <w:noProof/>
        </w:rPr>
        <w:tab/>
      </w:r>
      <w:r>
        <w:rPr>
          <w:noProof/>
        </w:rPr>
        <w:fldChar w:fldCharType="begin"/>
      </w:r>
      <w:r>
        <w:rPr>
          <w:noProof/>
        </w:rPr>
        <w:instrText xml:space="preserve"> PAGEREF _Toc346310965 \h </w:instrText>
      </w:r>
      <w:r>
        <w:rPr>
          <w:noProof/>
        </w:rPr>
      </w:r>
      <w:r>
        <w:rPr>
          <w:noProof/>
        </w:rPr>
        <w:fldChar w:fldCharType="separate"/>
      </w:r>
      <w:r w:rsidR="008A1992">
        <w:rPr>
          <w:noProof/>
        </w:rPr>
        <w:t>17</w:t>
      </w:r>
      <w:r>
        <w:rPr>
          <w:noProof/>
        </w:rPr>
        <w:fldChar w:fldCharType="end"/>
      </w:r>
    </w:p>
    <w:p w14:paraId="6D9BA732" w14:textId="77777777" w:rsidR="00C52689" w:rsidRDefault="00C52689" w:rsidP="00C52689">
      <w:pPr>
        <w:pStyle w:val="TOC2"/>
        <w:rPr>
          <w:noProof/>
        </w:rPr>
      </w:pPr>
    </w:p>
    <w:p w14:paraId="3D45E089" w14:textId="77777777" w:rsidR="006E0C96" w:rsidRDefault="006E0C96" w:rsidP="00C52689">
      <w:pPr>
        <w:pStyle w:val="TOC2"/>
        <w:rPr>
          <w:rFonts w:eastAsiaTheme="minorEastAsia" w:cstheme="minorBidi"/>
          <w:noProof/>
          <w:szCs w:val="24"/>
          <w:lang w:eastAsia="ja-JP"/>
        </w:rPr>
      </w:pPr>
      <w:r>
        <w:rPr>
          <w:noProof/>
        </w:rPr>
        <w:lastRenderedPageBreak/>
        <w:t>2.4</w:t>
      </w:r>
      <w:r>
        <w:rPr>
          <w:rFonts w:eastAsiaTheme="minorEastAsia" w:cstheme="minorBidi"/>
          <w:noProof/>
          <w:szCs w:val="24"/>
          <w:lang w:eastAsia="ja-JP"/>
        </w:rPr>
        <w:tab/>
      </w:r>
      <w:r>
        <w:rPr>
          <w:noProof/>
        </w:rPr>
        <w:t>Specimen Preparation and Allocation to Address the Research Objectives</w:t>
      </w:r>
      <w:r>
        <w:rPr>
          <w:noProof/>
        </w:rPr>
        <w:tab/>
      </w:r>
      <w:r>
        <w:rPr>
          <w:noProof/>
        </w:rPr>
        <w:fldChar w:fldCharType="begin"/>
      </w:r>
      <w:r>
        <w:rPr>
          <w:noProof/>
        </w:rPr>
        <w:instrText xml:space="preserve"> PAGEREF _Toc346310966 \h </w:instrText>
      </w:r>
      <w:r>
        <w:rPr>
          <w:noProof/>
        </w:rPr>
      </w:r>
      <w:r>
        <w:rPr>
          <w:noProof/>
        </w:rPr>
        <w:fldChar w:fldCharType="separate"/>
      </w:r>
      <w:r w:rsidR="008A1992">
        <w:rPr>
          <w:noProof/>
        </w:rPr>
        <w:t>18</w:t>
      </w:r>
      <w:r>
        <w:rPr>
          <w:noProof/>
        </w:rPr>
        <w:fldChar w:fldCharType="end"/>
      </w:r>
    </w:p>
    <w:p w14:paraId="08603346" w14:textId="77777777" w:rsidR="00C52689" w:rsidRDefault="00C52689" w:rsidP="00C52689">
      <w:pPr>
        <w:pStyle w:val="TOC2"/>
        <w:rPr>
          <w:noProof/>
        </w:rPr>
      </w:pPr>
    </w:p>
    <w:p w14:paraId="3CC3B1A6" w14:textId="77777777" w:rsidR="006E0C96" w:rsidRDefault="006E0C96" w:rsidP="00C52689">
      <w:pPr>
        <w:pStyle w:val="TOC2"/>
        <w:rPr>
          <w:rFonts w:eastAsiaTheme="minorEastAsia" w:cstheme="minorBidi"/>
          <w:noProof/>
          <w:szCs w:val="24"/>
          <w:lang w:eastAsia="ja-JP"/>
        </w:rPr>
      </w:pPr>
      <w:r>
        <w:rPr>
          <w:noProof/>
        </w:rPr>
        <w:t>2.5</w:t>
      </w:r>
      <w:r>
        <w:rPr>
          <w:rFonts w:eastAsiaTheme="minorEastAsia" w:cstheme="minorBidi"/>
          <w:noProof/>
          <w:szCs w:val="24"/>
          <w:lang w:eastAsia="ja-JP"/>
        </w:rPr>
        <w:tab/>
      </w:r>
      <w:r>
        <w:rPr>
          <w:noProof/>
        </w:rPr>
        <w:t>Laminate Fiber Volume Fraction and Void Volume Fraction</w:t>
      </w:r>
      <w:r>
        <w:rPr>
          <w:noProof/>
        </w:rPr>
        <w:tab/>
      </w:r>
      <w:r>
        <w:rPr>
          <w:noProof/>
        </w:rPr>
        <w:fldChar w:fldCharType="begin"/>
      </w:r>
      <w:r>
        <w:rPr>
          <w:noProof/>
        </w:rPr>
        <w:instrText xml:space="preserve"> PAGEREF _Toc346310967 \h </w:instrText>
      </w:r>
      <w:r>
        <w:rPr>
          <w:noProof/>
        </w:rPr>
      </w:r>
      <w:r>
        <w:rPr>
          <w:noProof/>
        </w:rPr>
        <w:fldChar w:fldCharType="separate"/>
      </w:r>
      <w:r w:rsidR="008A1992">
        <w:rPr>
          <w:noProof/>
        </w:rPr>
        <w:t>22</w:t>
      </w:r>
      <w:r>
        <w:rPr>
          <w:noProof/>
        </w:rPr>
        <w:fldChar w:fldCharType="end"/>
      </w:r>
    </w:p>
    <w:p w14:paraId="2FF941DB" w14:textId="77777777" w:rsidR="00C52689" w:rsidRDefault="00C52689" w:rsidP="00C52689">
      <w:pPr>
        <w:pStyle w:val="TOC3"/>
        <w:rPr>
          <w:noProof/>
        </w:rPr>
      </w:pPr>
    </w:p>
    <w:p w14:paraId="3A830AE4" w14:textId="77777777" w:rsidR="006E0C96" w:rsidRDefault="006E0C96" w:rsidP="00C52689">
      <w:pPr>
        <w:pStyle w:val="TOC3"/>
        <w:rPr>
          <w:rFonts w:eastAsiaTheme="minorEastAsia" w:cstheme="minorBidi"/>
          <w:noProof/>
          <w:szCs w:val="24"/>
          <w:lang w:eastAsia="ja-JP"/>
        </w:rPr>
      </w:pPr>
      <w:r>
        <w:rPr>
          <w:noProof/>
        </w:rPr>
        <w:t>2.5.1</w:t>
      </w:r>
      <w:r>
        <w:rPr>
          <w:rFonts w:eastAsiaTheme="minorEastAsia" w:cstheme="minorBidi"/>
          <w:noProof/>
          <w:szCs w:val="24"/>
          <w:lang w:eastAsia="ja-JP"/>
        </w:rPr>
        <w:tab/>
      </w:r>
      <w:r>
        <w:rPr>
          <w:noProof/>
        </w:rPr>
        <w:t>Experimental Procedure to Determine Fiber Volume Fraction and Void Volume Fraction</w:t>
      </w:r>
      <w:r>
        <w:rPr>
          <w:noProof/>
        </w:rPr>
        <w:tab/>
      </w:r>
      <w:r>
        <w:rPr>
          <w:noProof/>
        </w:rPr>
        <w:fldChar w:fldCharType="begin"/>
      </w:r>
      <w:r>
        <w:rPr>
          <w:noProof/>
        </w:rPr>
        <w:instrText xml:space="preserve"> PAGEREF _Toc346310968 \h </w:instrText>
      </w:r>
      <w:r>
        <w:rPr>
          <w:noProof/>
        </w:rPr>
      </w:r>
      <w:r>
        <w:rPr>
          <w:noProof/>
        </w:rPr>
        <w:fldChar w:fldCharType="separate"/>
      </w:r>
      <w:r w:rsidR="008A1992">
        <w:rPr>
          <w:noProof/>
        </w:rPr>
        <w:t>22</w:t>
      </w:r>
      <w:r>
        <w:rPr>
          <w:noProof/>
        </w:rPr>
        <w:fldChar w:fldCharType="end"/>
      </w:r>
    </w:p>
    <w:p w14:paraId="10372E56" w14:textId="77777777" w:rsidR="00C52689" w:rsidRDefault="00C52689" w:rsidP="00C52689">
      <w:pPr>
        <w:pStyle w:val="TOC3"/>
        <w:rPr>
          <w:noProof/>
        </w:rPr>
      </w:pPr>
    </w:p>
    <w:p w14:paraId="5045A1A5" w14:textId="77777777" w:rsidR="006E0C96" w:rsidRDefault="006E0C96" w:rsidP="00C52689">
      <w:pPr>
        <w:pStyle w:val="TOC3"/>
        <w:rPr>
          <w:rFonts w:eastAsiaTheme="minorEastAsia" w:cstheme="minorBidi"/>
          <w:noProof/>
          <w:szCs w:val="24"/>
          <w:lang w:eastAsia="ja-JP"/>
        </w:rPr>
      </w:pPr>
      <w:r>
        <w:rPr>
          <w:noProof/>
        </w:rPr>
        <w:t>2.5.2</w:t>
      </w:r>
      <w:r>
        <w:rPr>
          <w:rFonts w:eastAsiaTheme="minorEastAsia" w:cstheme="minorBidi"/>
          <w:noProof/>
          <w:szCs w:val="24"/>
          <w:lang w:eastAsia="ja-JP"/>
        </w:rPr>
        <w:tab/>
      </w:r>
      <w:r>
        <w:rPr>
          <w:noProof/>
        </w:rPr>
        <w:t>Development of Trend Line Analysis of Effect of Humidity and Pressure on Laminate Properties</w:t>
      </w:r>
      <w:r>
        <w:rPr>
          <w:noProof/>
        </w:rPr>
        <w:tab/>
      </w:r>
      <w:r>
        <w:rPr>
          <w:noProof/>
        </w:rPr>
        <w:fldChar w:fldCharType="begin"/>
      </w:r>
      <w:r>
        <w:rPr>
          <w:noProof/>
        </w:rPr>
        <w:instrText xml:space="preserve"> PAGEREF _Toc346310969 \h </w:instrText>
      </w:r>
      <w:r>
        <w:rPr>
          <w:noProof/>
        </w:rPr>
      </w:r>
      <w:r>
        <w:rPr>
          <w:noProof/>
        </w:rPr>
        <w:fldChar w:fldCharType="separate"/>
      </w:r>
      <w:r w:rsidR="008A1992">
        <w:rPr>
          <w:noProof/>
        </w:rPr>
        <w:t>23</w:t>
      </w:r>
      <w:r>
        <w:rPr>
          <w:noProof/>
        </w:rPr>
        <w:fldChar w:fldCharType="end"/>
      </w:r>
    </w:p>
    <w:p w14:paraId="574BC0FA" w14:textId="77777777" w:rsidR="00C52689" w:rsidRDefault="00C52689" w:rsidP="00C52689">
      <w:pPr>
        <w:pStyle w:val="TOC3"/>
        <w:rPr>
          <w:noProof/>
        </w:rPr>
      </w:pPr>
    </w:p>
    <w:p w14:paraId="1A572876" w14:textId="77777777" w:rsidR="006E0C96" w:rsidRDefault="006E0C96" w:rsidP="00C52689">
      <w:pPr>
        <w:pStyle w:val="TOC3"/>
        <w:rPr>
          <w:rFonts w:eastAsiaTheme="minorEastAsia" w:cstheme="minorBidi"/>
          <w:noProof/>
          <w:szCs w:val="24"/>
          <w:lang w:eastAsia="ja-JP"/>
        </w:rPr>
      </w:pPr>
      <w:r>
        <w:rPr>
          <w:noProof/>
        </w:rPr>
        <w:t>2.5.3</w:t>
      </w:r>
      <w:r>
        <w:rPr>
          <w:rFonts w:eastAsiaTheme="minorEastAsia" w:cstheme="minorBidi"/>
          <w:noProof/>
          <w:szCs w:val="24"/>
          <w:lang w:eastAsia="ja-JP"/>
        </w:rPr>
        <w:tab/>
      </w:r>
      <w:r>
        <w:rPr>
          <w:noProof/>
        </w:rPr>
        <w:t>Laminate Fiber Volume Fraction Results</w:t>
      </w:r>
      <w:r>
        <w:rPr>
          <w:noProof/>
        </w:rPr>
        <w:tab/>
      </w:r>
      <w:r>
        <w:rPr>
          <w:noProof/>
        </w:rPr>
        <w:fldChar w:fldCharType="begin"/>
      </w:r>
      <w:r>
        <w:rPr>
          <w:noProof/>
        </w:rPr>
        <w:instrText xml:space="preserve"> PAGEREF _Toc346310970 \h </w:instrText>
      </w:r>
      <w:r>
        <w:rPr>
          <w:noProof/>
        </w:rPr>
      </w:r>
      <w:r>
        <w:rPr>
          <w:noProof/>
        </w:rPr>
        <w:fldChar w:fldCharType="separate"/>
      </w:r>
      <w:r w:rsidR="008A1992">
        <w:rPr>
          <w:noProof/>
        </w:rPr>
        <w:t>24</w:t>
      </w:r>
      <w:r>
        <w:rPr>
          <w:noProof/>
        </w:rPr>
        <w:fldChar w:fldCharType="end"/>
      </w:r>
    </w:p>
    <w:p w14:paraId="4E2AB417" w14:textId="77777777" w:rsidR="00C52689" w:rsidRDefault="00C52689" w:rsidP="00C52689">
      <w:pPr>
        <w:pStyle w:val="TOC3"/>
        <w:rPr>
          <w:noProof/>
        </w:rPr>
      </w:pPr>
    </w:p>
    <w:p w14:paraId="1CB7F177" w14:textId="77777777" w:rsidR="006E0C96" w:rsidRDefault="006E0C96" w:rsidP="00C52689">
      <w:pPr>
        <w:pStyle w:val="TOC3"/>
        <w:rPr>
          <w:rFonts w:eastAsiaTheme="minorEastAsia" w:cstheme="minorBidi"/>
          <w:noProof/>
          <w:szCs w:val="24"/>
          <w:lang w:eastAsia="ja-JP"/>
        </w:rPr>
      </w:pPr>
      <w:r>
        <w:rPr>
          <w:noProof/>
        </w:rPr>
        <w:t>2.5.4</w:t>
      </w:r>
      <w:r>
        <w:rPr>
          <w:rFonts w:eastAsiaTheme="minorEastAsia" w:cstheme="minorBidi"/>
          <w:noProof/>
          <w:szCs w:val="24"/>
          <w:lang w:eastAsia="ja-JP"/>
        </w:rPr>
        <w:tab/>
      </w:r>
      <w:r>
        <w:rPr>
          <w:noProof/>
        </w:rPr>
        <w:t>Laminate Void Volume Fraction Results</w:t>
      </w:r>
      <w:r>
        <w:rPr>
          <w:noProof/>
        </w:rPr>
        <w:tab/>
      </w:r>
      <w:r>
        <w:rPr>
          <w:noProof/>
        </w:rPr>
        <w:fldChar w:fldCharType="begin"/>
      </w:r>
      <w:r>
        <w:rPr>
          <w:noProof/>
        </w:rPr>
        <w:instrText xml:space="preserve"> PAGEREF _Toc346310971 \h </w:instrText>
      </w:r>
      <w:r>
        <w:rPr>
          <w:noProof/>
        </w:rPr>
      </w:r>
      <w:r>
        <w:rPr>
          <w:noProof/>
        </w:rPr>
        <w:fldChar w:fldCharType="separate"/>
      </w:r>
      <w:r w:rsidR="008A1992">
        <w:rPr>
          <w:noProof/>
        </w:rPr>
        <w:t>27</w:t>
      </w:r>
      <w:r>
        <w:rPr>
          <w:noProof/>
        </w:rPr>
        <w:fldChar w:fldCharType="end"/>
      </w:r>
    </w:p>
    <w:p w14:paraId="09993280" w14:textId="77777777" w:rsidR="00C52689" w:rsidRDefault="00C52689" w:rsidP="00C52689">
      <w:pPr>
        <w:pStyle w:val="TOC3"/>
        <w:rPr>
          <w:noProof/>
        </w:rPr>
      </w:pPr>
    </w:p>
    <w:p w14:paraId="55331C76" w14:textId="77777777" w:rsidR="00C52689" w:rsidRDefault="006E0C96" w:rsidP="00C52689">
      <w:pPr>
        <w:pStyle w:val="TOC3"/>
        <w:rPr>
          <w:noProof/>
        </w:rPr>
      </w:pPr>
      <w:r>
        <w:rPr>
          <w:noProof/>
        </w:rPr>
        <w:t>2.5.5</w:t>
      </w:r>
      <w:r>
        <w:rPr>
          <w:rFonts w:eastAsiaTheme="minorEastAsia" w:cstheme="minorBidi"/>
          <w:noProof/>
          <w:szCs w:val="24"/>
          <w:lang w:eastAsia="ja-JP"/>
        </w:rPr>
        <w:tab/>
      </w:r>
      <w:r>
        <w:rPr>
          <w:noProof/>
        </w:rPr>
        <w:t>Effect of Prepreg Humidity Exposure on Laminate Fiber Volume Fraction</w:t>
      </w:r>
      <w:r>
        <w:rPr>
          <w:noProof/>
        </w:rPr>
        <w:tab/>
      </w:r>
    </w:p>
    <w:p w14:paraId="57B7175A" w14:textId="00C9861D" w:rsidR="006E0C96" w:rsidRDefault="00C52689" w:rsidP="00C52689">
      <w:pPr>
        <w:pStyle w:val="TOC3"/>
        <w:rPr>
          <w:rFonts w:eastAsiaTheme="minorEastAsia" w:cstheme="minorBidi"/>
          <w:noProof/>
          <w:szCs w:val="24"/>
          <w:lang w:eastAsia="ja-JP"/>
        </w:rPr>
      </w:pPr>
      <w:r>
        <w:rPr>
          <w:noProof/>
        </w:rPr>
        <w:tab/>
      </w:r>
      <w:r>
        <w:rPr>
          <w:noProof/>
        </w:rPr>
        <w:tab/>
      </w:r>
      <w:r>
        <w:rPr>
          <w:noProof/>
        </w:rPr>
        <w:tab/>
      </w:r>
      <w:r w:rsidR="006E0C96">
        <w:rPr>
          <w:noProof/>
        </w:rPr>
        <w:fldChar w:fldCharType="begin"/>
      </w:r>
      <w:r w:rsidR="006E0C96">
        <w:rPr>
          <w:noProof/>
        </w:rPr>
        <w:instrText xml:space="preserve"> PAGEREF _Toc346310972 \h </w:instrText>
      </w:r>
      <w:r w:rsidR="006E0C96">
        <w:rPr>
          <w:noProof/>
        </w:rPr>
      </w:r>
      <w:r w:rsidR="006E0C96">
        <w:rPr>
          <w:noProof/>
        </w:rPr>
        <w:fldChar w:fldCharType="separate"/>
      </w:r>
      <w:r w:rsidR="008A1992">
        <w:rPr>
          <w:noProof/>
        </w:rPr>
        <w:t>30</w:t>
      </w:r>
      <w:r w:rsidR="006E0C96">
        <w:rPr>
          <w:noProof/>
        </w:rPr>
        <w:fldChar w:fldCharType="end"/>
      </w:r>
    </w:p>
    <w:p w14:paraId="096883E9" w14:textId="77777777" w:rsidR="00C52689" w:rsidRDefault="00C52689" w:rsidP="00C52689">
      <w:pPr>
        <w:pStyle w:val="TOC3"/>
        <w:rPr>
          <w:noProof/>
        </w:rPr>
      </w:pPr>
    </w:p>
    <w:p w14:paraId="2607CF95" w14:textId="77777777" w:rsidR="006E0C96" w:rsidRDefault="006E0C96" w:rsidP="00C52689">
      <w:pPr>
        <w:pStyle w:val="TOC3"/>
        <w:rPr>
          <w:rFonts w:eastAsiaTheme="minorEastAsia" w:cstheme="minorBidi"/>
          <w:noProof/>
          <w:szCs w:val="24"/>
          <w:lang w:eastAsia="ja-JP"/>
        </w:rPr>
      </w:pPr>
      <w:r>
        <w:rPr>
          <w:noProof/>
        </w:rPr>
        <w:t>2.5.6</w:t>
      </w:r>
      <w:r>
        <w:rPr>
          <w:rFonts w:eastAsiaTheme="minorEastAsia" w:cstheme="minorBidi"/>
          <w:noProof/>
          <w:szCs w:val="24"/>
          <w:lang w:eastAsia="ja-JP"/>
        </w:rPr>
        <w:tab/>
      </w:r>
      <w:r>
        <w:rPr>
          <w:noProof/>
        </w:rPr>
        <w:t>Effect of Fabrication Pressure on Laminate Fiber Volume Fraction</w:t>
      </w:r>
      <w:r>
        <w:rPr>
          <w:noProof/>
        </w:rPr>
        <w:tab/>
      </w:r>
      <w:r>
        <w:rPr>
          <w:noProof/>
        </w:rPr>
        <w:fldChar w:fldCharType="begin"/>
      </w:r>
      <w:r>
        <w:rPr>
          <w:noProof/>
        </w:rPr>
        <w:instrText xml:space="preserve"> PAGEREF _Toc346310973 \h </w:instrText>
      </w:r>
      <w:r>
        <w:rPr>
          <w:noProof/>
        </w:rPr>
      </w:r>
      <w:r>
        <w:rPr>
          <w:noProof/>
        </w:rPr>
        <w:fldChar w:fldCharType="separate"/>
      </w:r>
      <w:r w:rsidR="008A1992">
        <w:rPr>
          <w:noProof/>
        </w:rPr>
        <w:t>32</w:t>
      </w:r>
      <w:r>
        <w:rPr>
          <w:noProof/>
        </w:rPr>
        <w:fldChar w:fldCharType="end"/>
      </w:r>
    </w:p>
    <w:p w14:paraId="659B1459" w14:textId="77777777" w:rsidR="00C52689" w:rsidRDefault="00C52689" w:rsidP="00C52689">
      <w:pPr>
        <w:pStyle w:val="TOC3"/>
        <w:rPr>
          <w:noProof/>
        </w:rPr>
      </w:pPr>
    </w:p>
    <w:p w14:paraId="14B35296" w14:textId="77777777" w:rsidR="006E0C96" w:rsidRDefault="006E0C96" w:rsidP="00C52689">
      <w:pPr>
        <w:pStyle w:val="TOC3"/>
        <w:rPr>
          <w:rFonts w:eastAsiaTheme="minorEastAsia" w:cstheme="minorBidi"/>
          <w:noProof/>
          <w:szCs w:val="24"/>
          <w:lang w:eastAsia="ja-JP"/>
        </w:rPr>
      </w:pPr>
      <w:r>
        <w:rPr>
          <w:noProof/>
        </w:rPr>
        <w:t>2.5.7</w:t>
      </w:r>
      <w:r>
        <w:rPr>
          <w:rFonts w:eastAsiaTheme="minorEastAsia" w:cstheme="minorBidi"/>
          <w:noProof/>
          <w:szCs w:val="24"/>
          <w:lang w:eastAsia="ja-JP"/>
        </w:rPr>
        <w:tab/>
      </w:r>
      <w:r>
        <w:rPr>
          <w:noProof/>
        </w:rPr>
        <w:t>Effect of Prepreg Humidity Exposure on Void Volume Fraction</w:t>
      </w:r>
      <w:r>
        <w:rPr>
          <w:noProof/>
        </w:rPr>
        <w:tab/>
      </w:r>
      <w:r>
        <w:rPr>
          <w:noProof/>
        </w:rPr>
        <w:fldChar w:fldCharType="begin"/>
      </w:r>
      <w:r>
        <w:rPr>
          <w:noProof/>
        </w:rPr>
        <w:instrText xml:space="preserve"> PAGEREF _Toc346310974 \h </w:instrText>
      </w:r>
      <w:r>
        <w:rPr>
          <w:noProof/>
        </w:rPr>
      </w:r>
      <w:r>
        <w:rPr>
          <w:noProof/>
        </w:rPr>
        <w:fldChar w:fldCharType="separate"/>
      </w:r>
      <w:r w:rsidR="008A1992">
        <w:rPr>
          <w:noProof/>
        </w:rPr>
        <w:t>35</w:t>
      </w:r>
      <w:r>
        <w:rPr>
          <w:noProof/>
        </w:rPr>
        <w:fldChar w:fldCharType="end"/>
      </w:r>
    </w:p>
    <w:p w14:paraId="06257235" w14:textId="77777777" w:rsidR="00C52689" w:rsidRDefault="00C52689" w:rsidP="00C52689">
      <w:pPr>
        <w:pStyle w:val="TOC3"/>
        <w:rPr>
          <w:noProof/>
        </w:rPr>
      </w:pPr>
    </w:p>
    <w:p w14:paraId="3E73F499" w14:textId="77777777" w:rsidR="006E0C96" w:rsidRDefault="006E0C96" w:rsidP="00C52689">
      <w:pPr>
        <w:pStyle w:val="TOC3"/>
        <w:rPr>
          <w:rFonts w:eastAsiaTheme="minorEastAsia" w:cstheme="minorBidi"/>
          <w:noProof/>
          <w:szCs w:val="24"/>
          <w:lang w:eastAsia="ja-JP"/>
        </w:rPr>
      </w:pPr>
      <w:r>
        <w:rPr>
          <w:noProof/>
        </w:rPr>
        <w:t>2.5.8</w:t>
      </w:r>
      <w:r>
        <w:rPr>
          <w:rFonts w:eastAsiaTheme="minorEastAsia" w:cstheme="minorBidi"/>
          <w:noProof/>
          <w:szCs w:val="24"/>
          <w:lang w:eastAsia="ja-JP"/>
        </w:rPr>
        <w:tab/>
      </w:r>
      <w:r>
        <w:rPr>
          <w:noProof/>
        </w:rPr>
        <w:t>Effect of Fabrication Pressure on Void Volume Fraction</w:t>
      </w:r>
      <w:r>
        <w:rPr>
          <w:noProof/>
        </w:rPr>
        <w:tab/>
      </w:r>
      <w:r>
        <w:rPr>
          <w:noProof/>
        </w:rPr>
        <w:fldChar w:fldCharType="begin"/>
      </w:r>
      <w:r>
        <w:rPr>
          <w:noProof/>
        </w:rPr>
        <w:instrText xml:space="preserve"> PAGEREF _Toc346310975 \h </w:instrText>
      </w:r>
      <w:r>
        <w:rPr>
          <w:noProof/>
        </w:rPr>
      </w:r>
      <w:r>
        <w:rPr>
          <w:noProof/>
        </w:rPr>
        <w:fldChar w:fldCharType="separate"/>
      </w:r>
      <w:r w:rsidR="008A1992">
        <w:rPr>
          <w:noProof/>
        </w:rPr>
        <w:t>38</w:t>
      </w:r>
      <w:r>
        <w:rPr>
          <w:noProof/>
        </w:rPr>
        <w:fldChar w:fldCharType="end"/>
      </w:r>
    </w:p>
    <w:p w14:paraId="10F445C6" w14:textId="77777777" w:rsidR="00C52689" w:rsidRDefault="00C52689" w:rsidP="00C52689">
      <w:pPr>
        <w:pStyle w:val="TOC2"/>
        <w:rPr>
          <w:noProof/>
        </w:rPr>
      </w:pPr>
    </w:p>
    <w:p w14:paraId="017B5C97" w14:textId="77777777" w:rsidR="006E0C96" w:rsidRDefault="006E0C96" w:rsidP="00C52689">
      <w:pPr>
        <w:pStyle w:val="TOC2"/>
        <w:rPr>
          <w:rFonts w:eastAsiaTheme="minorEastAsia" w:cstheme="minorBidi"/>
          <w:noProof/>
          <w:szCs w:val="24"/>
          <w:lang w:eastAsia="ja-JP"/>
        </w:rPr>
      </w:pPr>
      <w:r>
        <w:rPr>
          <w:noProof/>
        </w:rPr>
        <w:t>2.6</w:t>
      </w:r>
      <w:r>
        <w:rPr>
          <w:rFonts w:eastAsiaTheme="minorEastAsia" w:cstheme="minorBidi"/>
          <w:noProof/>
          <w:szCs w:val="24"/>
          <w:lang w:eastAsia="ja-JP"/>
        </w:rPr>
        <w:tab/>
      </w:r>
      <w:r>
        <w:rPr>
          <w:noProof/>
        </w:rPr>
        <w:t>Scanning Electron Microscope Evaluation</w:t>
      </w:r>
      <w:r>
        <w:rPr>
          <w:noProof/>
        </w:rPr>
        <w:tab/>
      </w:r>
      <w:r>
        <w:rPr>
          <w:noProof/>
        </w:rPr>
        <w:fldChar w:fldCharType="begin"/>
      </w:r>
      <w:r>
        <w:rPr>
          <w:noProof/>
        </w:rPr>
        <w:instrText xml:space="preserve"> PAGEREF _Toc346310976 \h </w:instrText>
      </w:r>
      <w:r>
        <w:rPr>
          <w:noProof/>
        </w:rPr>
      </w:r>
      <w:r>
        <w:rPr>
          <w:noProof/>
        </w:rPr>
        <w:fldChar w:fldCharType="separate"/>
      </w:r>
      <w:r w:rsidR="008A1992">
        <w:rPr>
          <w:noProof/>
        </w:rPr>
        <w:t>40</w:t>
      </w:r>
      <w:r>
        <w:rPr>
          <w:noProof/>
        </w:rPr>
        <w:fldChar w:fldCharType="end"/>
      </w:r>
    </w:p>
    <w:p w14:paraId="699EECEE" w14:textId="77777777" w:rsidR="00C52689" w:rsidRDefault="00C52689" w:rsidP="00C52689">
      <w:pPr>
        <w:pStyle w:val="TOC3"/>
        <w:rPr>
          <w:noProof/>
        </w:rPr>
      </w:pPr>
    </w:p>
    <w:p w14:paraId="749BB983" w14:textId="77777777" w:rsidR="006E0C96" w:rsidRDefault="006E0C96" w:rsidP="00C52689">
      <w:pPr>
        <w:pStyle w:val="TOC3"/>
        <w:rPr>
          <w:rFonts w:eastAsiaTheme="minorEastAsia" w:cstheme="minorBidi"/>
          <w:noProof/>
          <w:szCs w:val="24"/>
          <w:lang w:eastAsia="ja-JP"/>
        </w:rPr>
      </w:pPr>
      <w:r>
        <w:rPr>
          <w:noProof/>
        </w:rPr>
        <w:t>2.6.1</w:t>
      </w:r>
      <w:r>
        <w:rPr>
          <w:rFonts w:eastAsiaTheme="minorEastAsia" w:cstheme="minorBidi"/>
          <w:noProof/>
          <w:szCs w:val="24"/>
          <w:lang w:eastAsia="ja-JP"/>
        </w:rPr>
        <w:tab/>
      </w:r>
      <w:r>
        <w:rPr>
          <w:noProof/>
        </w:rPr>
        <w:t>Humidity and Processing Effect on Void Size and Spatial Distribution for Quartz/BMI Prepregs</w:t>
      </w:r>
      <w:r>
        <w:rPr>
          <w:noProof/>
        </w:rPr>
        <w:tab/>
      </w:r>
      <w:r>
        <w:rPr>
          <w:noProof/>
        </w:rPr>
        <w:fldChar w:fldCharType="begin"/>
      </w:r>
      <w:r>
        <w:rPr>
          <w:noProof/>
        </w:rPr>
        <w:instrText xml:space="preserve"> PAGEREF _Toc346310977 \h </w:instrText>
      </w:r>
      <w:r>
        <w:rPr>
          <w:noProof/>
        </w:rPr>
      </w:r>
      <w:r>
        <w:rPr>
          <w:noProof/>
        </w:rPr>
        <w:fldChar w:fldCharType="separate"/>
      </w:r>
      <w:r w:rsidR="008A1992">
        <w:rPr>
          <w:noProof/>
        </w:rPr>
        <w:t>40</w:t>
      </w:r>
      <w:r>
        <w:rPr>
          <w:noProof/>
        </w:rPr>
        <w:fldChar w:fldCharType="end"/>
      </w:r>
    </w:p>
    <w:p w14:paraId="084F69EA" w14:textId="77777777" w:rsidR="00C52689" w:rsidRDefault="00C52689" w:rsidP="00C52689">
      <w:pPr>
        <w:pStyle w:val="TOC3"/>
        <w:rPr>
          <w:noProof/>
        </w:rPr>
      </w:pPr>
    </w:p>
    <w:p w14:paraId="1528BA53" w14:textId="77777777" w:rsidR="006E0C96" w:rsidRDefault="006E0C96" w:rsidP="00C52689">
      <w:pPr>
        <w:pStyle w:val="TOC3"/>
        <w:rPr>
          <w:rFonts w:eastAsiaTheme="minorEastAsia" w:cstheme="minorBidi"/>
          <w:noProof/>
          <w:szCs w:val="24"/>
          <w:lang w:eastAsia="ja-JP"/>
        </w:rPr>
      </w:pPr>
      <w:r>
        <w:rPr>
          <w:noProof/>
        </w:rPr>
        <w:t>2.6.2</w:t>
      </w:r>
      <w:r>
        <w:rPr>
          <w:rFonts w:eastAsiaTheme="minorEastAsia" w:cstheme="minorBidi"/>
          <w:noProof/>
          <w:szCs w:val="24"/>
          <w:lang w:eastAsia="ja-JP"/>
        </w:rPr>
        <w:tab/>
      </w:r>
      <w:r>
        <w:rPr>
          <w:noProof/>
        </w:rPr>
        <w:t>Humidity and Processing Effect on Void Size and Spatial Distribution for Quartz/Epoxy Prepreg</w:t>
      </w:r>
      <w:r>
        <w:rPr>
          <w:noProof/>
        </w:rPr>
        <w:tab/>
      </w:r>
      <w:r>
        <w:rPr>
          <w:noProof/>
        </w:rPr>
        <w:fldChar w:fldCharType="begin"/>
      </w:r>
      <w:r>
        <w:rPr>
          <w:noProof/>
        </w:rPr>
        <w:instrText xml:space="preserve"> PAGEREF _Toc346310978 \h </w:instrText>
      </w:r>
      <w:r>
        <w:rPr>
          <w:noProof/>
        </w:rPr>
      </w:r>
      <w:r>
        <w:rPr>
          <w:noProof/>
        </w:rPr>
        <w:fldChar w:fldCharType="separate"/>
      </w:r>
      <w:r w:rsidR="008A1992">
        <w:rPr>
          <w:noProof/>
        </w:rPr>
        <w:t>43</w:t>
      </w:r>
      <w:r>
        <w:rPr>
          <w:noProof/>
        </w:rPr>
        <w:fldChar w:fldCharType="end"/>
      </w:r>
    </w:p>
    <w:p w14:paraId="474A4BEC" w14:textId="77777777" w:rsidR="00C52689" w:rsidRDefault="00C52689" w:rsidP="00C52689">
      <w:pPr>
        <w:pStyle w:val="TOC3"/>
        <w:rPr>
          <w:noProof/>
        </w:rPr>
      </w:pPr>
    </w:p>
    <w:p w14:paraId="5680B82D" w14:textId="77777777" w:rsidR="006E0C96" w:rsidRDefault="006E0C96" w:rsidP="00C52689">
      <w:pPr>
        <w:pStyle w:val="TOC3"/>
        <w:rPr>
          <w:rFonts w:eastAsiaTheme="minorEastAsia" w:cstheme="minorBidi"/>
          <w:noProof/>
          <w:szCs w:val="24"/>
          <w:lang w:eastAsia="ja-JP"/>
        </w:rPr>
      </w:pPr>
      <w:r>
        <w:rPr>
          <w:noProof/>
        </w:rPr>
        <w:t>2.6.3</w:t>
      </w:r>
      <w:r>
        <w:rPr>
          <w:rFonts w:eastAsiaTheme="minorEastAsia" w:cstheme="minorBidi"/>
          <w:noProof/>
          <w:szCs w:val="24"/>
          <w:lang w:eastAsia="ja-JP"/>
        </w:rPr>
        <w:tab/>
      </w:r>
      <w:r>
        <w:rPr>
          <w:noProof/>
        </w:rPr>
        <w:t>Humidity and Processing Effect on Void Size and Distribution for Carbon / Epoxy Prepreg</w:t>
      </w:r>
      <w:r>
        <w:rPr>
          <w:noProof/>
        </w:rPr>
        <w:tab/>
      </w:r>
      <w:r>
        <w:rPr>
          <w:noProof/>
        </w:rPr>
        <w:fldChar w:fldCharType="begin"/>
      </w:r>
      <w:r>
        <w:rPr>
          <w:noProof/>
        </w:rPr>
        <w:instrText xml:space="preserve"> PAGEREF _Toc346310979 \h </w:instrText>
      </w:r>
      <w:r>
        <w:rPr>
          <w:noProof/>
        </w:rPr>
      </w:r>
      <w:r>
        <w:rPr>
          <w:noProof/>
        </w:rPr>
        <w:fldChar w:fldCharType="separate"/>
      </w:r>
      <w:r w:rsidR="008A1992">
        <w:rPr>
          <w:noProof/>
        </w:rPr>
        <w:t>45</w:t>
      </w:r>
      <w:r>
        <w:rPr>
          <w:noProof/>
        </w:rPr>
        <w:fldChar w:fldCharType="end"/>
      </w:r>
    </w:p>
    <w:p w14:paraId="37EAD717" w14:textId="77777777" w:rsidR="00C52689" w:rsidRDefault="00C52689" w:rsidP="00C52689">
      <w:pPr>
        <w:pStyle w:val="TOC2"/>
        <w:rPr>
          <w:noProof/>
        </w:rPr>
      </w:pPr>
    </w:p>
    <w:p w14:paraId="23266EC4" w14:textId="77777777" w:rsidR="006E0C96" w:rsidRDefault="006E0C96" w:rsidP="00C52689">
      <w:pPr>
        <w:pStyle w:val="TOC2"/>
        <w:rPr>
          <w:rFonts w:eastAsiaTheme="minorEastAsia" w:cstheme="minorBidi"/>
          <w:noProof/>
          <w:szCs w:val="24"/>
          <w:lang w:eastAsia="ja-JP"/>
        </w:rPr>
      </w:pPr>
      <w:r>
        <w:rPr>
          <w:noProof/>
        </w:rPr>
        <w:t>2.7</w:t>
      </w:r>
      <w:r>
        <w:rPr>
          <w:rFonts w:eastAsiaTheme="minorEastAsia" w:cstheme="minorBidi"/>
          <w:noProof/>
          <w:szCs w:val="24"/>
          <w:lang w:eastAsia="ja-JP"/>
        </w:rPr>
        <w:tab/>
      </w:r>
      <w:r>
        <w:rPr>
          <w:noProof/>
        </w:rPr>
        <w:t>Summary of Laminate Microstructure and SEM Analysis Chapter</w:t>
      </w:r>
      <w:r>
        <w:rPr>
          <w:noProof/>
        </w:rPr>
        <w:tab/>
      </w:r>
      <w:r>
        <w:rPr>
          <w:noProof/>
        </w:rPr>
        <w:fldChar w:fldCharType="begin"/>
      </w:r>
      <w:r>
        <w:rPr>
          <w:noProof/>
        </w:rPr>
        <w:instrText xml:space="preserve"> PAGEREF _Toc346310980 \h </w:instrText>
      </w:r>
      <w:r>
        <w:rPr>
          <w:noProof/>
        </w:rPr>
      </w:r>
      <w:r>
        <w:rPr>
          <w:noProof/>
        </w:rPr>
        <w:fldChar w:fldCharType="separate"/>
      </w:r>
      <w:r w:rsidR="008A1992">
        <w:rPr>
          <w:noProof/>
        </w:rPr>
        <w:t>47</w:t>
      </w:r>
      <w:r>
        <w:rPr>
          <w:noProof/>
        </w:rPr>
        <w:fldChar w:fldCharType="end"/>
      </w:r>
    </w:p>
    <w:p w14:paraId="128CA035" w14:textId="77777777" w:rsidR="00C52689" w:rsidRDefault="00C52689" w:rsidP="00C52689">
      <w:pPr>
        <w:pStyle w:val="TOC1"/>
        <w:tabs>
          <w:tab w:val="clear" w:pos="8460"/>
          <w:tab w:val="right" w:leader="dot" w:pos="8550"/>
        </w:tabs>
        <w:rPr>
          <w:noProof/>
        </w:rPr>
      </w:pPr>
    </w:p>
    <w:p w14:paraId="446C36A4" w14:textId="4A434A77" w:rsidR="006E0C96" w:rsidRDefault="00C52689" w:rsidP="00C52689">
      <w:pPr>
        <w:pStyle w:val="TOC1"/>
        <w:tabs>
          <w:tab w:val="clear" w:pos="8460"/>
          <w:tab w:val="right" w:leader="dot" w:pos="8550"/>
        </w:tabs>
        <w:rPr>
          <w:rFonts w:eastAsiaTheme="minorEastAsia" w:cstheme="minorBidi"/>
          <w:b w:val="0"/>
          <w:bCs w:val="0"/>
          <w:caps w:val="0"/>
          <w:noProof/>
          <w:szCs w:val="24"/>
          <w:lang w:eastAsia="ja-JP"/>
        </w:rPr>
      </w:pPr>
      <w:r>
        <w:rPr>
          <w:noProof/>
        </w:rPr>
        <w:t xml:space="preserve">chapter 3: </w:t>
      </w:r>
      <w:r w:rsidR="006E0C96">
        <w:rPr>
          <w:noProof/>
        </w:rPr>
        <w:t>Coupled Effect of Prepreg Moisture Content and Fabrication Pressure on Laminate Flexural Properties</w:t>
      </w:r>
      <w:r w:rsidR="006E0C96">
        <w:rPr>
          <w:noProof/>
        </w:rPr>
        <w:tab/>
      </w:r>
      <w:r w:rsidR="006E0C96">
        <w:rPr>
          <w:noProof/>
        </w:rPr>
        <w:fldChar w:fldCharType="begin"/>
      </w:r>
      <w:r w:rsidR="006E0C96">
        <w:rPr>
          <w:noProof/>
        </w:rPr>
        <w:instrText xml:space="preserve"> PAGEREF _Toc346310982 \h </w:instrText>
      </w:r>
      <w:r w:rsidR="006E0C96">
        <w:rPr>
          <w:noProof/>
        </w:rPr>
      </w:r>
      <w:r w:rsidR="006E0C96">
        <w:rPr>
          <w:noProof/>
        </w:rPr>
        <w:fldChar w:fldCharType="separate"/>
      </w:r>
      <w:r w:rsidR="008A1992">
        <w:rPr>
          <w:noProof/>
        </w:rPr>
        <w:t>50</w:t>
      </w:r>
      <w:r w:rsidR="006E0C96">
        <w:rPr>
          <w:noProof/>
        </w:rPr>
        <w:fldChar w:fldCharType="end"/>
      </w:r>
    </w:p>
    <w:p w14:paraId="7E7C895B" w14:textId="77777777" w:rsidR="00C52689" w:rsidRDefault="00C52689" w:rsidP="00C52689">
      <w:pPr>
        <w:pStyle w:val="TOC2"/>
        <w:rPr>
          <w:noProof/>
        </w:rPr>
      </w:pPr>
    </w:p>
    <w:p w14:paraId="0678F8B0" w14:textId="77777777" w:rsidR="006E0C96" w:rsidRDefault="006E0C96" w:rsidP="00C52689">
      <w:pPr>
        <w:pStyle w:val="TOC2"/>
        <w:rPr>
          <w:rFonts w:eastAsiaTheme="minorEastAsia" w:cstheme="minorBidi"/>
          <w:noProof/>
          <w:szCs w:val="24"/>
          <w:lang w:eastAsia="ja-JP"/>
        </w:rPr>
      </w:pPr>
      <w:r>
        <w:rPr>
          <w:noProof/>
        </w:rPr>
        <w:t>3.1</w:t>
      </w:r>
      <w:r>
        <w:rPr>
          <w:rFonts w:eastAsiaTheme="minorEastAsia" w:cstheme="minorBidi"/>
          <w:noProof/>
          <w:szCs w:val="24"/>
          <w:lang w:eastAsia="ja-JP"/>
        </w:rPr>
        <w:tab/>
      </w:r>
      <w:r>
        <w:rPr>
          <w:noProof/>
        </w:rPr>
        <w:t>Background and LIterature Review of Processing Conditions Affects on Mechanical Properties</w:t>
      </w:r>
      <w:r>
        <w:rPr>
          <w:noProof/>
        </w:rPr>
        <w:tab/>
      </w:r>
      <w:r>
        <w:rPr>
          <w:noProof/>
        </w:rPr>
        <w:fldChar w:fldCharType="begin"/>
      </w:r>
      <w:r>
        <w:rPr>
          <w:noProof/>
        </w:rPr>
        <w:instrText xml:space="preserve"> PAGEREF _Toc346310983 \h </w:instrText>
      </w:r>
      <w:r>
        <w:rPr>
          <w:noProof/>
        </w:rPr>
      </w:r>
      <w:r>
        <w:rPr>
          <w:noProof/>
        </w:rPr>
        <w:fldChar w:fldCharType="separate"/>
      </w:r>
      <w:r w:rsidR="008A1992">
        <w:rPr>
          <w:noProof/>
        </w:rPr>
        <w:t>50</w:t>
      </w:r>
      <w:r>
        <w:rPr>
          <w:noProof/>
        </w:rPr>
        <w:fldChar w:fldCharType="end"/>
      </w:r>
    </w:p>
    <w:p w14:paraId="14F462BC" w14:textId="77777777" w:rsidR="00C52689" w:rsidRDefault="00C52689" w:rsidP="00C52689">
      <w:pPr>
        <w:pStyle w:val="TOC2"/>
        <w:rPr>
          <w:noProof/>
        </w:rPr>
      </w:pPr>
    </w:p>
    <w:p w14:paraId="69E939DF" w14:textId="77777777" w:rsidR="006E0C96" w:rsidRDefault="006E0C96" w:rsidP="00C52689">
      <w:pPr>
        <w:pStyle w:val="TOC2"/>
        <w:rPr>
          <w:rFonts w:eastAsiaTheme="minorEastAsia" w:cstheme="minorBidi"/>
          <w:noProof/>
          <w:szCs w:val="24"/>
          <w:lang w:eastAsia="ja-JP"/>
        </w:rPr>
      </w:pPr>
      <w:r>
        <w:rPr>
          <w:noProof/>
        </w:rPr>
        <w:t>3.2</w:t>
      </w:r>
      <w:r>
        <w:rPr>
          <w:rFonts w:eastAsiaTheme="minorEastAsia" w:cstheme="minorBidi"/>
          <w:noProof/>
          <w:szCs w:val="24"/>
          <w:lang w:eastAsia="ja-JP"/>
        </w:rPr>
        <w:tab/>
      </w:r>
      <w:r>
        <w:rPr>
          <w:noProof/>
        </w:rPr>
        <w:t>Laminate Flexural Stiffness and Strength</w:t>
      </w:r>
      <w:r>
        <w:rPr>
          <w:noProof/>
        </w:rPr>
        <w:tab/>
      </w:r>
      <w:r>
        <w:rPr>
          <w:noProof/>
        </w:rPr>
        <w:fldChar w:fldCharType="begin"/>
      </w:r>
      <w:r>
        <w:rPr>
          <w:noProof/>
        </w:rPr>
        <w:instrText xml:space="preserve"> PAGEREF _Toc346310984 \h </w:instrText>
      </w:r>
      <w:r>
        <w:rPr>
          <w:noProof/>
        </w:rPr>
      </w:r>
      <w:r>
        <w:rPr>
          <w:noProof/>
        </w:rPr>
        <w:fldChar w:fldCharType="separate"/>
      </w:r>
      <w:r w:rsidR="008A1992">
        <w:rPr>
          <w:noProof/>
        </w:rPr>
        <w:t>53</w:t>
      </w:r>
      <w:r>
        <w:rPr>
          <w:noProof/>
        </w:rPr>
        <w:fldChar w:fldCharType="end"/>
      </w:r>
    </w:p>
    <w:p w14:paraId="53162E20" w14:textId="77777777" w:rsidR="00C52689" w:rsidRDefault="00C52689" w:rsidP="00C52689">
      <w:pPr>
        <w:pStyle w:val="TOC3"/>
        <w:rPr>
          <w:noProof/>
        </w:rPr>
      </w:pPr>
    </w:p>
    <w:p w14:paraId="335E1A39" w14:textId="77777777" w:rsidR="006E0C96" w:rsidRDefault="006E0C96" w:rsidP="00C52689">
      <w:pPr>
        <w:pStyle w:val="TOC3"/>
        <w:rPr>
          <w:rFonts w:eastAsiaTheme="minorEastAsia" w:cstheme="minorBidi"/>
          <w:noProof/>
          <w:szCs w:val="24"/>
          <w:lang w:eastAsia="ja-JP"/>
        </w:rPr>
      </w:pPr>
      <w:r>
        <w:rPr>
          <w:noProof/>
        </w:rPr>
        <w:t>3.2.1</w:t>
      </w:r>
      <w:r>
        <w:rPr>
          <w:rFonts w:eastAsiaTheme="minorEastAsia" w:cstheme="minorBidi"/>
          <w:noProof/>
          <w:szCs w:val="24"/>
          <w:lang w:eastAsia="ja-JP"/>
        </w:rPr>
        <w:tab/>
      </w:r>
      <w:r>
        <w:rPr>
          <w:noProof/>
        </w:rPr>
        <w:t>Experimental Procedure to Determine Laminate Mechanical Properties</w:t>
      </w:r>
      <w:r>
        <w:rPr>
          <w:noProof/>
        </w:rPr>
        <w:tab/>
      </w:r>
      <w:r>
        <w:rPr>
          <w:noProof/>
        </w:rPr>
        <w:fldChar w:fldCharType="begin"/>
      </w:r>
      <w:r>
        <w:rPr>
          <w:noProof/>
        </w:rPr>
        <w:instrText xml:space="preserve"> PAGEREF _Toc346310985 \h </w:instrText>
      </w:r>
      <w:r>
        <w:rPr>
          <w:noProof/>
        </w:rPr>
      </w:r>
      <w:r>
        <w:rPr>
          <w:noProof/>
        </w:rPr>
        <w:fldChar w:fldCharType="separate"/>
      </w:r>
      <w:r w:rsidR="008A1992">
        <w:rPr>
          <w:noProof/>
        </w:rPr>
        <w:t>54</w:t>
      </w:r>
      <w:r>
        <w:rPr>
          <w:noProof/>
        </w:rPr>
        <w:fldChar w:fldCharType="end"/>
      </w:r>
    </w:p>
    <w:p w14:paraId="39998F2B" w14:textId="77777777" w:rsidR="00C52689" w:rsidRDefault="00C52689" w:rsidP="00C52689">
      <w:pPr>
        <w:pStyle w:val="TOC3"/>
        <w:rPr>
          <w:noProof/>
        </w:rPr>
      </w:pPr>
    </w:p>
    <w:p w14:paraId="3C20BA00" w14:textId="77777777" w:rsidR="006E0C96" w:rsidRDefault="006E0C96" w:rsidP="00C52689">
      <w:pPr>
        <w:pStyle w:val="TOC3"/>
        <w:rPr>
          <w:rFonts w:eastAsiaTheme="minorEastAsia" w:cstheme="minorBidi"/>
          <w:noProof/>
          <w:szCs w:val="24"/>
          <w:lang w:eastAsia="ja-JP"/>
        </w:rPr>
      </w:pPr>
      <w:r>
        <w:rPr>
          <w:noProof/>
        </w:rPr>
        <w:t>3.2.2</w:t>
      </w:r>
      <w:r>
        <w:rPr>
          <w:rFonts w:eastAsiaTheme="minorEastAsia" w:cstheme="minorBidi"/>
          <w:noProof/>
          <w:szCs w:val="24"/>
          <w:lang w:eastAsia="ja-JP"/>
        </w:rPr>
        <w:tab/>
      </w:r>
      <w:r>
        <w:rPr>
          <w:noProof/>
        </w:rPr>
        <w:t>Laminate Flexural Stiffness Results</w:t>
      </w:r>
      <w:r>
        <w:rPr>
          <w:noProof/>
        </w:rPr>
        <w:tab/>
      </w:r>
      <w:r>
        <w:rPr>
          <w:noProof/>
        </w:rPr>
        <w:fldChar w:fldCharType="begin"/>
      </w:r>
      <w:r>
        <w:rPr>
          <w:noProof/>
        </w:rPr>
        <w:instrText xml:space="preserve"> PAGEREF _Toc346310986 \h </w:instrText>
      </w:r>
      <w:r>
        <w:rPr>
          <w:noProof/>
        </w:rPr>
      </w:r>
      <w:r>
        <w:rPr>
          <w:noProof/>
        </w:rPr>
        <w:fldChar w:fldCharType="separate"/>
      </w:r>
      <w:r w:rsidR="008A1992">
        <w:rPr>
          <w:noProof/>
        </w:rPr>
        <w:t>55</w:t>
      </w:r>
      <w:r>
        <w:rPr>
          <w:noProof/>
        </w:rPr>
        <w:fldChar w:fldCharType="end"/>
      </w:r>
    </w:p>
    <w:p w14:paraId="572B77A3" w14:textId="77777777" w:rsidR="00C52689" w:rsidRDefault="00C52689" w:rsidP="00C52689">
      <w:pPr>
        <w:pStyle w:val="TOC3"/>
        <w:rPr>
          <w:noProof/>
        </w:rPr>
      </w:pPr>
    </w:p>
    <w:p w14:paraId="4E8C5BCE" w14:textId="77777777" w:rsidR="006E0C96" w:rsidRDefault="006E0C96" w:rsidP="00C52689">
      <w:pPr>
        <w:pStyle w:val="TOC3"/>
        <w:rPr>
          <w:rFonts w:eastAsiaTheme="minorEastAsia" w:cstheme="minorBidi"/>
          <w:noProof/>
          <w:szCs w:val="24"/>
          <w:lang w:eastAsia="ja-JP"/>
        </w:rPr>
      </w:pPr>
      <w:r>
        <w:rPr>
          <w:noProof/>
        </w:rPr>
        <w:t>3.2.3</w:t>
      </w:r>
      <w:r>
        <w:rPr>
          <w:rFonts w:eastAsiaTheme="minorEastAsia" w:cstheme="minorBidi"/>
          <w:noProof/>
          <w:szCs w:val="24"/>
          <w:lang w:eastAsia="ja-JP"/>
        </w:rPr>
        <w:tab/>
      </w:r>
      <w:r>
        <w:rPr>
          <w:noProof/>
        </w:rPr>
        <w:t>Laminate Flexural Strength Results</w:t>
      </w:r>
      <w:r>
        <w:rPr>
          <w:noProof/>
        </w:rPr>
        <w:tab/>
      </w:r>
      <w:r>
        <w:rPr>
          <w:noProof/>
        </w:rPr>
        <w:fldChar w:fldCharType="begin"/>
      </w:r>
      <w:r>
        <w:rPr>
          <w:noProof/>
        </w:rPr>
        <w:instrText xml:space="preserve"> PAGEREF _Toc346310987 \h </w:instrText>
      </w:r>
      <w:r>
        <w:rPr>
          <w:noProof/>
        </w:rPr>
      </w:r>
      <w:r>
        <w:rPr>
          <w:noProof/>
        </w:rPr>
        <w:fldChar w:fldCharType="separate"/>
      </w:r>
      <w:r w:rsidR="008A1992">
        <w:rPr>
          <w:noProof/>
        </w:rPr>
        <w:t>57</w:t>
      </w:r>
      <w:r>
        <w:rPr>
          <w:noProof/>
        </w:rPr>
        <w:fldChar w:fldCharType="end"/>
      </w:r>
    </w:p>
    <w:p w14:paraId="4E59695A" w14:textId="77777777" w:rsidR="00C52689" w:rsidRDefault="00C52689" w:rsidP="00C52689">
      <w:pPr>
        <w:pStyle w:val="TOC3"/>
        <w:rPr>
          <w:noProof/>
        </w:rPr>
      </w:pPr>
    </w:p>
    <w:p w14:paraId="79AAC473" w14:textId="77777777" w:rsidR="006E0C96" w:rsidRDefault="006E0C96" w:rsidP="00C52689">
      <w:pPr>
        <w:pStyle w:val="TOC3"/>
        <w:rPr>
          <w:rFonts w:eastAsiaTheme="minorEastAsia" w:cstheme="minorBidi"/>
          <w:noProof/>
          <w:szCs w:val="24"/>
          <w:lang w:eastAsia="ja-JP"/>
        </w:rPr>
      </w:pPr>
      <w:r>
        <w:rPr>
          <w:noProof/>
        </w:rPr>
        <w:t>3.2.4</w:t>
      </w:r>
      <w:r>
        <w:rPr>
          <w:rFonts w:eastAsiaTheme="minorEastAsia" w:cstheme="minorBidi"/>
          <w:noProof/>
          <w:szCs w:val="24"/>
          <w:lang w:eastAsia="ja-JP"/>
        </w:rPr>
        <w:tab/>
      </w:r>
      <w:r>
        <w:rPr>
          <w:noProof/>
        </w:rPr>
        <w:t>Effect of Prepreg Humidity Exposure on Laminate Flexural Stiffness</w:t>
      </w:r>
      <w:r>
        <w:rPr>
          <w:noProof/>
        </w:rPr>
        <w:tab/>
      </w:r>
      <w:r>
        <w:rPr>
          <w:noProof/>
        </w:rPr>
        <w:fldChar w:fldCharType="begin"/>
      </w:r>
      <w:r>
        <w:rPr>
          <w:noProof/>
        </w:rPr>
        <w:instrText xml:space="preserve"> PAGEREF _Toc346310988 \h </w:instrText>
      </w:r>
      <w:r>
        <w:rPr>
          <w:noProof/>
        </w:rPr>
      </w:r>
      <w:r>
        <w:rPr>
          <w:noProof/>
        </w:rPr>
        <w:fldChar w:fldCharType="separate"/>
      </w:r>
      <w:r w:rsidR="008A1992">
        <w:rPr>
          <w:noProof/>
        </w:rPr>
        <w:t>59</w:t>
      </w:r>
      <w:r>
        <w:rPr>
          <w:noProof/>
        </w:rPr>
        <w:fldChar w:fldCharType="end"/>
      </w:r>
    </w:p>
    <w:p w14:paraId="7C7923A5" w14:textId="77777777" w:rsidR="00C52689" w:rsidRDefault="00C52689" w:rsidP="00C52689">
      <w:pPr>
        <w:pStyle w:val="TOC3"/>
        <w:rPr>
          <w:noProof/>
        </w:rPr>
      </w:pPr>
    </w:p>
    <w:p w14:paraId="273F6F15" w14:textId="77777777" w:rsidR="006E0C96" w:rsidRDefault="006E0C96" w:rsidP="00C52689">
      <w:pPr>
        <w:pStyle w:val="TOC3"/>
        <w:rPr>
          <w:rFonts w:eastAsiaTheme="minorEastAsia" w:cstheme="minorBidi"/>
          <w:noProof/>
          <w:szCs w:val="24"/>
          <w:lang w:eastAsia="ja-JP"/>
        </w:rPr>
      </w:pPr>
      <w:r>
        <w:rPr>
          <w:noProof/>
        </w:rPr>
        <w:t>3.2.5</w:t>
      </w:r>
      <w:r>
        <w:rPr>
          <w:rFonts w:eastAsiaTheme="minorEastAsia" w:cstheme="minorBidi"/>
          <w:noProof/>
          <w:szCs w:val="24"/>
          <w:lang w:eastAsia="ja-JP"/>
        </w:rPr>
        <w:tab/>
      </w:r>
      <w:r>
        <w:rPr>
          <w:noProof/>
        </w:rPr>
        <w:t>Effect of Fabrication Pressure on Laminate Flexural Stiffness</w:t>
      </w:r>
      <w:r>
        <w:rPr>
          <w:noProof/>
        </w:rPr>
        <w:tab/>
      </w:r>
      <w:r>
        <w:rPr>
          <w:noProof/>
        </w:rPr>
        <w:fldChar w:fldCharType="begin"/>
      </w:r>
      <w:r>
        <w:rPr>
          <w:noProof/>
        </w:rPr>
        <w:instrText xml:space="preserve"> PAGEREF _Toc346310989 \h </w:instrText>
      </w:r>
      <w:r>
        <w:rPr>
          <w:noProof/>
        </w:rPr>
      </w:r>
      <w:r>
        <w:rPr>
          <w:noProof/>
        </w:rPr>
        <w:fldChar w:fldCharType="separate"/>
      </w:r>
      <w:r w:rsidR="008A1992">
        <w:rPr>
          <w:noProof/>
        </w:rPr>
        <w:t>61</w:t>
      </w:r>
      <w:r>
        <w:rPr>
          <w:noProof/>
        </w:rPr>
        <w:fldChar w:fldCharType="end"/>
      </w:r>
    </w:p>
    <w:p w14:paraId="641B0AC5" w14:textId="77777777" w:rsidR="00C52689" w:rsidRDefault="00C52689" w:rsidP="00C52689">
      <w:pPr>
        <w:pStyle w:val="TOC3"/>
        <w:rPr>
          <w:noProof/>
        </w:rPr>
      </w:pPr>
    </w:p>
    <w:p w14:paraId="4795437B" w14:textId="77777777" w:rsidR="006E0C96" w:rsidRDefault="006E0C96" w:rsidP="00C52689">
      <w:pPr>
        <w:pStyle w:val="TOC3"/>
        <w:rPr>
          <w:rFonts w:eastAsiaTheme="minorEastAsia" w:cstheme="minorBidi"/>
          <w:noProof/>
          <w:szCs w:val="24"/>
          <w:lang w:eastAsia="ja-JP"/>
        </w:rPr>
      </w:pPr>
      <w:r>
        <w:rPr>
          <w:noProof/>
        </w:rPr>
        <w:t>3.2.6</w:t>
      </w:r>
      <w:r>
        <w:rPr>
          <w:rFonts w:eastAsiaTheme="minorEastAsia" w:cstheme="minorBidi"/>
          <w:noProof/>
          <w:szCs w:val="24"/>
          <w:lang w:eastAsia="ja-JP"/>
        </w:rPr>
        <w:tab/>
      </w:r>
      <w:r>
        <w:rPr>
          <w:noProof/>
        </w:rPr>
        <w:t>Effect of Prepreg Humidity Exposure on Laminate Flexural Strength</w:t>
      </w:r>
      <w:r>
        <w:rPr>
          <w:noProof/>
        </w:rPr>
        <w:tab/>
      </w:r>
      <w:r>
        <w:rPr>
          <w:noProof/>
        </w:rPr>
        <w:fldChar w:fldCharType="begin"/>
      </w:r>
      <w:r>
        <w:rPr>
          <w:noProof/>
        </w:rPr>
        <w:instrText xml:space="preserve"> PAGEREF _Toc346310990 \h </w:instrText>
      </w:r>
      <w:r>
        <w:rPr>
          <w:noProof/>
        </w:rPr>
      </w:r>
      <w:r>
        <w:rPr>
          <w:noProof/>
        </w:rPr>
        <w:fldChar w:fldCharType="separate"/>
      </w:r>
      <w:r w:rsidR="008A1992">
        <w:rPr>
          <w:noProof/>
        </w:rPr>
        <w:t>64</w:t>
      </w:r>
      <w:r>
        <w:rPr>
          <w:noProof/>
        </w:rPr>
        <w:fldChar w:fldCharType="end"/>
      </w:r>
    </w:p>
    <w:p w14:paraId="14BAFA25" w14:textId="77777777" w:rsidR="00C52689" w:rsidRDefault="00C52689" w:rsidP="00C52689">
      <w:pPr>
        <w:pStyle w:val="TOC3"/>
        <w:rPr>
          <w:noProof/>
        </w:rPr>
      </w:pPr>
    </w:p>
    <w:p w14:paraId="444AB121" w14:textId="77777777" w:rsidR="006E0C96" w:rsidRDefault="006E0C96" w:rsidP="00C52689">
      <w:pPr>
        <w:pStyle w:val="TOC3"/>
        <w:rPr>
          <w:rFonts w:eastAsiaTheme="minorEastAsia" w:cstheme="minorBidi"/>
          <w:noProof/>
          <w:szCs w:val="24"/>
          <w:lang w:eastAsia="ja-JP"/>
        </w:rPr>
      </w:pPr>
      <w:r>
        <w:rPr>
          <w:noProof/>
        </w:rPr>
        <w:t>3.2.7</w:t>
      </w:r>
      <w:r>
        <w:rPr>
          <w:rFonts w:eastAsiaTheme="minorEastAsia" w:cstheme="minorBidi"/>
          <w:noProof/>
          <w:szCs w:val="24"/>
          <w:lang w:eastAsia="ja-JP"/>
        </w:rPr>
        <w:tab/>
      </w:r>
      <w:r>
        <w:rPr>
          <w:noProof/>
        </w:rPr>
        <w:t>Effect of Fabrication Pressure on Laminate Flexural Strength</w:t>
      </w:r>
      <w:r>
        <w:rPr>
          <w:noProof/>
        </w:rPr>
        <w:tab/>
      </w:r>
      <w:r>
        <w:rPr>
          <w:noProof/>
        </w:rPr>
        <w:fldChar w:fldCharType="begin"/>
      </w:r>
      <w:r>
        <w:rPr>
          <w:noProof/>
        </w:rPr>
        <w:instrText xml:space="preserve"> PAGEREF _Toc346310991 \h </w:instrText>
      </w:r>
      <w:r>
        <w:rPr>
          <w:noProof/>
        </w:rPr>
      </w:r>
      <w:r>
        <w:rPr>
          <w:noProof/>
        </w:rPr>
        <w:fldChar w:fldCharType="separate"/>
      </w:r>
      <w:r w:rsidR="008A1992">
        <w:rPr>
          <w:noProof/>
        </w:rPr>
        <w:t>67</w:t>
      </w:r>
      <w:r>
        <w:rPr>
          <w:noProof/>
        </w:rPr>
        <w:fldChar w:fldCharType="end"/>
      </w:r>
    </w:p>
    <w:p w14:paraId="55A0CBE5" w14:textId="77777777" w:rsidR="00C52689" w:rsidRDefault="00C52689" w:rsidP="00C52689">
      <w:pPr>
        <w:pStyle w:val="TOC2"/>
        <w:rPr>
          <w:noProof/>
        </w:rPr>
      </w:pPr>
    </w:p>
    <w:p w14:paraId="007A2AF7" w14:textId="77777777" w:rsidR="006E0C96" w:rsidRDefault="006E0C96" w:rsidP="00C52689">
      <w:pPr>
        <w:pStyle w:val="TOC2"/>
        <w:rPr>
          <w:rFonts w:eastAsiaTheme="minorEastAsia" w:cstheme="minorBidi"/>
          <w:noProof/>
          <w:szCs w:val="24"/>
          <w:lang w:eastAsia="ja-JP"/>
        </w:rPr>
      </w:pPr>
      <w:r>
        <w:rPr>
          <w:noProof/>
        </w:rPr>
        <w:t>3.3</w:t>
      </w:r>
      <w:r>
        <w:rPr>
          <w:rFonts w:eastAsiaTheme="minorEastAsia" w:cstheme="minorBidi"/>
          <w:noProof/>
          <w:szCs w:val="24"/>
          <w:lang w:eastAsia="ja-JP"/>
        </w:rPr>
        <w:tab/>
      </w:r>
      <w:r>
        <w:rPr>
          <w:noProof/>
        </w:rPr>
        <w:t>Summary of Laminate Mechanical Properties Chapter</w:t>
      </w:r>
      <w:r>
        <w:rPr>
          <w:noProof/>
        </w:rPr>
        <w:tab/>
      </w:r>
      <w:r>
        <w:rPr>
          <w:noProof/>
        </w:rPr>
        <w:fldChar w:fldCharType="begin"/>
      </w:r>
      <w:r>
        <w:rPr>
          <w:noProof/>
        </w:rPr>
        <w:instrText xml:space="preserve"> PAGEREF _Toc346310992 \h </w:instrText>
      </w:r>
      <w:r>
        <w:rPr>
          <w:noProof/>
        </w:rPr>
      </w:r>
      <w:r>
        <w:rPr>
          <w:noProof/>
        </w:rPr>
        <w:fldChar w:fldCharType="separate"/>
      </w:r>
      <w:r w:rsidR="008A1992">
        <w:rPr>
          <w:noProof/>
        </w:rPr>
        <w:t>70</w:t>
      </w:r>
      <w:r>
        <w:rPr>
          <w:noProof/>
        </w:rPr>
        <w:fldChar w:fldCharType="end"/>
      </w:r>
    </w:p>
    <w:p w14:paraId="10EFABDC" w14:textId="77777777" w:rsidR="00C52689" w:rsidRDefault="00C52689" w:rsidP="00C52689">
      <w:pPr>
        <w:pStyle w:val="TOC1"/>
        <w:tabs>
          <w:tab w:val="clear" w:pos="8460"/>
          <w:tab w:val="right" w:leader="dot" w:pos="8550"/>
        </w:tabs>
        <w:rPr>
          <w:noProof/>
        </w:rPr>
      </w:pPr>
    </w:p>
    <w:p w14:paraId="42C2A8DE" w14:textId="3B06DA40" w:rsidR="006E0C96" w:rsidRDefault="00C52689" w:rsidP="00C52689">
      <w:pPr>
        <w:pStyle w:val="TOC1"/>
        <w:tabs>
          <w:tab w:val="clear" w:pos="8460"/>
          <w:tab w:val="right" w:leader="dot" w:pos="8550"/>
        </w:tabs>
        <w:rPr>
          <w:rFonts w:eastAsiaTheme="minorEastAsia" w:cstheme="minorBidi"/>
          <w:b w:val="0"/>
          <w:bCs w:val="0"/>
          <w:caps w:val="0"/>
          <w:noProof/>
          <w:szCs w:val="24"/>
          <w:lang w:eastAsia="ja-JP"/>
        </w:rPr>
      </w:pPr>
      <w:r>
        <w:rPr>
          <w:noProof/>
        </w:rPr>
        <w:t xml:space="preserve">chapter 4: </w:t>
      </w:r>
      <w:r w:rsidR="006E0C96">
        <w:rPr>
          <w:noProof/>
        </w:rPr>
        <w:t>Contour Plots for Laminate Microstructure and Mechanical Properties – Coupled Effect of Prepreg Humidity Exposure and Fabrication Pressure</w:t>
      </w:r>
      <w:r w:rsidR="006E0C96">
        <w:rPr>
          <w:noProof/>
        </w:rPr>
        <w:tab/>
      </w:r>
      <w:r w:rsidR="006E0C96">
        <w:rPr>
          <w:noProof/>
        </w:rPr>
        <w:fldChar w:fldCharType="begin"/>
      </w:r>
      <w:r w:rsidR="006E0C96">
        <w:rPr>
          <w:noProof/>
        </w:rPr>
        <w:instrText xml:space="preserve"> PAGEREF _Toc346310994 \h </w:instrText>
      </w:r>
      <w:r w:rsidR="006E0C96">
        <w:rPr>
          <w:noProof/>
        </w:rPr>
      </w:r>
      <w:r w:rsidR="006E0C96">
        <w:rPr>
          <w:noProof/>
        </w:rPr>
        <w:fldChar w:fldCharType="separate"/>
      </w:r>
      <w:r w:rsidR="008A1992">
        <w:rPr>
          <w:noProof/>
        </w:rPr>
        <w:t>71</w:t>
      </w:r>
      <w:r w:rsidR="006E0C96">
        <w:rPr>
          <w:noProof/>
        </w:rPr>
        <w:fldChar w:fldCharType="end"/>
      </w:r>
    </w:p>
    <w:p w14:paraId="34EBEA81" w14:textId="77777777" w:rsidR="00C52689" w:rsidRDefault="00C52689" w:rsidP="00C52689">
      <w:pPr>
        <w:pStyle w:val="TOC2"/>
        <w:rPr>
          <w:noProof/>
        </w:rPr>
      </w:pPr>
    </w:p>
    <w:p w14:paraId="40D53446" w14:textId="77777777" w:rsidR="006E0C96" w:rsidRDefault="006E0C96" w:rsidP="00C52689">
      <w:pPr>
        <w:pStyle w:val="TOC2"/>
        <w:rPr>
          <w:rFonts w:eastAsiaTheme="minorEastAsia" w:cstheme="minorBidi"/>
          <w:noProof/>
          <w:szCs w:val="24"/>
          <w:lang w:eastAsia="ja-JP"/>
        </w:rPr>
      </w:pPr>
      <w:r>
        <w:rPr>
          <w:noProof/>
        </w:rPr>
        <w:t>4.1</w:t>
      </w:r>
      <w:r>
        <w:rPr>
          <w:rFonts w:eastAsiaTheme="minorEastAsia" w:cstheme="minorBidi"/>
          <w:noProof/>
          <w:szCs w:val="24"/>
          <w:lang w:eastAsia="ja-JP"/>
        </w:rPr>
        <w:tab/>
      </w:r>
      <w:r>
        <w:rPr>
          <w:noProof/>
        </w:rPr>
        <w:t>Literature Review of Modeling Techniques for Contour Plot Analysis</w:t>
      </w:r>
      <w:r>
        <w:rPr>
          <w:noProof/>
        </w:rPr>
        <w:tab/>
      </w:r>
      <w:r>
        <w:rPr>
          <w:noProof/>
        </w:rPr>
        <w:fldChar w:fldCharType="begin"/>
      </w:r>
      <w:r>
        <w:rPr>
          <w:noProof/>
        </w:rPr>
        <w:instrText xml:space="preserve"> PAGEREF _Toc346310995 \h </w:instrText>
      </w:r>
      <w:r>
        <w:rPr>
          <w:noProof/>
        </w:rPr>
      </w:r>
      <w:r>
        <w:rPr>
          <w:noProof/>
        </w:rPr>
        <w:fldChar w:fldCharType="separate"/>
      </w:r>
      <w:r w:rsidR="008A1992">
        <w:rPr>
          <w:noProof/>
        </w:rPr>
        <w:t>71</w:t>
      </w:r>
      <w:r>
        <w:rPr>
          <w:noProof/>
        </w:rPr>
        <w:fldChar w:fldCharType="end"/>
      </w:r>
    </w:p>
    <w:p w14:paraId="41AD6AED" w14:textId="77777777" w:rsidR="00C52689" w:rsidRDefault="00C52689" w:rsidP="00C52689">
      <w:pPr>
        <w:pStyle w:val="TOC2"/>
        <w:rPr>
          <w:noProof/>
        </w:rPr>
      </w:pPr>
    </w:p>
    <w:p w14:paraId="4E434349" w14:textId="77777777" w:rsidR="006E0C96" w:rsidRDefault="006E0C96" w:rsidP="00C52689">
      <w:pPr>
        <w:pStyle w:val="TOC2"/>
        <w:rPr>
          <w:rFonts w:eastAsiaTheme="minorEastAsia" w:cstheme="minorBidi"/>
          <w:noProof/>
          <w:szCs w:val="24"/>
          <w:lang w:eastAsia="ja-JP"/>
        </w:rPr>
      </w:pPr>
      <w:r>
        <w:rPr>
          <w:noProof/>
        </w:rPr>
        <w:t>4.2</w:t>
      </w:r>
      <w:r>
        <w:rPr>
          <w:rFonts w:eastAsiaTheme="minorEastAsia" w:cstheme="minorBidi"/>
          <w:noProof/>
          <w:szCs w:val="24"/>
          <w:lang w:eastAsia="ja-JP"/>
        </w:rPr>
        <w:tab/>
      </w:r>
      <w:r>
        <w:rPr>
          <w:noProof/>
        </w:rPr>
        <w:t>Formation of Property Function Equations to Generate Contour Plots</w:t>
      </w:r>
      <w:r>
        <w:rPr>
          <w:noProof/>
        </w:rPr>
        <w:tab/>
      </w:r>
      <w:r>
        <w:rPr>
          <w:noProof/>
        </w:rPr>
        <w:fldChar w:fldCharType="begin"/>
      </w:r>
      <w:r>
        <w:rPr>
          <w:noProof/>
        </w:rPr>
        <w:instrText xml:space="preserve"> PAGEREF _Toc346310996 \h </w:instrText>
      </w:r>
      <w:r>
        <w:rPr>
          <w:noProof/>
        </w:rPr>
      </w:r>
      <w:r>
        <w:rPr>
          <w:noProof/>
        </w:rPr>
        <w:fldChar w:fldCharType="separate"/>
      </w:r>
      <w:r w:rsidR="008A1992">
        <w:rPr>
          <w:noProof/>
        </w:rPr>
        <w:t>72</w:t>
      </w:r>
      <w:r>
        <w:rPr>
          <w:noProof/>
        </w:rPr>
        <w:fldChar w:fldCharType="end"/>
      </w:r>
    </w:p>
    <w:p w14:paraId="023FDC11" w14:textId="77777777" w:rsidR="00C52689" w:rsidRDefault="00C52689" w:rsidP="00C52689">
      <w:pPr>
        <w:pStyle w:val="TOC2"/>
        <w:rPr>
          <w:noProof/>
        </w:rPr>
      </w:pPr>
    </w:p>
    <w:p w14:paraId="057929E7" w14:textId="77777777" w:rsidR="006E0C96" w:rsidRDefault="006E0C96" w:rsidP="00C52689">
      <w:pPr>
        <w:pStyle w:val="TOC2"/>
        <w:rPr>
          <w:rFonts w:eastAsiaTheme="minorEastAsia" w:cstheme="minorBidi"/>
          <w:noProof/>
          <w:szCs w:val="24"/>
          <w:lang w:eastAsia="ja-JP"/>
        </w:rPr>
      </w:pPr>
      <w:r>
        <w:rPr>
          <w:noProof/>
        </w:rPr>
        <w:t>4.3</w:t>
      </w:r>
      <w:r>
        <w:rPr>
          <w:rFonts w:eastAsiaTheme="minorEastAsia" w:cstheme="minorBidi"/>
          <w:noProof/>
          <w:szCs w:val="24"/>
          <w:lang w:eastAsia="ja-JP"/>
        </w:rPr>
        <w:tab/>
      </w:r>
      <w:r>
        <w:rPr>
          <w:noProof/>
        </w:rPr>
        <w:t>Identification of Property Functional Equations for Normalized Laminate Properties</w:t>
      </w:r>
      <w:r>
        <w:rPr>
          <w:noProof/>
        </w:rPr>
        <w:tab/>
      </w:r>
      <w:r>
        <w:rPr>
          <w:noProof/>
        </w:rPr>
        <w:fldChar w:fldCharType="begin"/>
      </w:r>
      <w:r>
        <w:rPr>
          <w:noProof/>
        </w:rPr>
        <w:instrText xml:space="preserve"> PAGEREF _Toc346310997 \h </w:instrText>
      </w:r>
      <w:r>
        <w:rPr>
          <w:noProof/>
        </w:rPr>
      </w:r>
      <w:r>
        <w:rPr>
          <w:noProof/>
        </w:rPr>
        <w:fldChar w:fldCharType="separate"/>
      </w:r>
      <w:r w:rsidR="008A1992">
        <w:rPr>
          <w:noProof/>
        </w:rPr>
        <w:t>74</w:t>
      </w:r>
      <w:r>
        <w:rPr>
          <w:noProof/>
        </w:rPr>
        <w:fldChar w:fldCharType="end"/>
      </w:r>
    </w:p>
    <w:p w14:paraId="646B44EB" w14:textId="77777777" w:rsidR="00C52689" w:rsidRDefault="00C52689" w:rsidP="00C52689">
      <w:pPr>
        <w:pStyle w:val="TOC3"/>
        <w:rPr>
          <w:noProof/>
        </w:rPr>
      </w:pPr>
    </w:p>
    <w:p w14:paraId="1449495B" w14:textId="77777777" w:rsidR="006E0C96" w:rsidRDefault="006E0C96" w:rsidP="00C52689">
      <w:pPr>
        <w:pStyle w:val="TOC3"/>
        <w:rPr>
          <w:rFonts w:eastAsiaTheme="minorEastAsia" w:cstheme="minorBidi"/>
          <w:noProof/>
          <w:szCs w:val="24"/>
          <w:lang w:eastAsia="ja-JP"/>
        </w:rPr>
      </w:pPr>
      <w:r>
        <w:rPr>
          <w:noProof/>
        </w:rPr>
        <w:t>4.3.1</w:t>
      </w:r>
      <w:r>
        <w:rPr>
          <w:rFonts w:eastAsiaTheme="minorEastAsia" w:cstheme="minorBidi"/>
          <w:noProof/>
          <w:szCs w:val="24"/>
          <w:lang w:eastAsia="ja-JP"/>
        </w:rPr>
        <w:tab/>
      </w:r>
      <w:r>
        <w:rPr>
          <w:noProof/>
        </w:rPr>
        <w:t>Contour Plots for Normalized Fiber Volume Fraction</w:t>
      </w:r>
      <w:r>
        <w:rPr>
          <w:noProof/>
        </w:rPr>
        <w:tab/>
      </w:r>
      <w:r>
        <w:rPr>
          <w:noProof/>
        </w:rPr>
        <w:fldChar w:fldCharType="begin"/>
      </w:r>
      <w:r>
        <w:rPr>
          <w:noProof/>
        </w:rPr>
        <w:instrText xml:space="preserve"> PAGEREF _Toc346310998 \h </w:instrText>
      </w:r>
      <w:r>
        <w:rPr>
          <w:noProof/>
        </w:rPr>
      </w:r>
      <w:r>
        <w:rPr>
          <w:noProof/>
        </w:rPr>
        <w:fldChar w:fldCharType="separate"/>
      </w:r>
      <w:r w:rsidR="008A1992">
        <w:rPr>
          <w:noProof/>
        </w:rPr>
        <w:t>74</w:t>
      </w:r>
      <w:r>
        <w:rPr>
          <w:noProof/>
        </w:rPr>
        <w:fldChar w:fldCharType="end"/>
      </w:r>
    </w:p>
    <w:p w14:paraId="3034609D" w14:textId="77777777" w:rsidR="00C52689" w:rsidRDefault="00C52689" w:rsidP="00C52689">
      <w:pPr>
        <w:pStyle w:val="TOC3"/>
        <w:rPr>
          <w:noProof/>
        </w:rPr>
      </w:pPr>
    </w:p>
    <w:p w14:paraId="5A8FD1A4" w14:textId="77777777" w:rsidR="006E0C96" w:rsidRDefault="006E0C96" w:rsidP="00C52689">
      <w:pPr>
        <w:pStyle w:val="TOC3"/>
        <w:rPr>
          <w:rFonts w:eastAsiaTheme="minorEastAsia" w:cstheme="minorBidi"/>
          <w:noProof/>
          <w:szCs w:val="24"/>
          <w:lang w:eastAsia="ja-JP"/>
        </w:rPr>
      </w:pPr>
      <w:r>
        <w:rPr>
          <w:noProof/>
        </w:rPr>
        <w:t>4.3.2</w:t>
      </w:r>
      <w:r>
        <w:rPr>
          <w:rFonts w:eastAsiaTheme="minorEastAsia" w:cstheme="minorBidi"/>
          <w:noProof/>
          <w:szCs w:val="24"/>
          <w:lang w:eastAsia="ja-JP"/>
        </w:rPr>
        <w:tab/>
      </w:r>
      <w:r>
        <w:rPr>
          <w:noProof/>
        </w:rPr>
        <w:t>Contour Plots for Normalized Void Volume Fraction</w:t>
      </w:r>
      <w:r>
        <w:rPr>
          <w:noProof/>
        </w:rPr>
        <w:tab/>
      </w:r>
      <w:r>
        <w:rPr>
          <w:noProof/>
        </w:rPr>
        <w:fldChar w:fldCharType="begin"/>
      </w:r>
      <w:r>
        <w:rPr>
          <w:noProof/>
        </w:rPr>
        <w:instrText xml:space="preserve"> PAGEREF _Toc346310999 \h </w:instrText>
      </w:r>
      <w:r>
        <w:rPr>
          <w:noProof/>
        </w:rPr>
      </w:r>
      <w:r>
        <w:rPr>
          <w:noProof/>
        </w:rPr>
        <w:fldChar w:fldCharType="separate"/>
      </w:r>
      <w:r w:rsidR="008A1992">
        <w:rPr>
          <w:noProof/>
        </w:rPr>
        <w:t>76</w:t>
      </w:r>
      <w:r>
        <w:rPr>
          <w:noProof/>
        </w:rPr>
        <w:fldChar w:fldCharType="end"/>
      </w:r>
    </w:p>
    <w:p w14:paraId="67E751A7" w14:textId="77777777" w:rsidR="00C52689" w:rsidRDefault="00C52689" w:rsidP="00C52689">
      <w:pPr>
        <w:pStyle w:val="TOC3"/>
        <w:rPr>
          <w:noProof/>
        </w:rPr>
      </w:pPr>
    </w:p>
    <w:p w14:paraId="5A6A7983" w14:textId="77777777" w:rsidR="006E0C96" w:rsidRDefault="006E0C96" w:rsidP="00C52689">
      <w:pPr>
        <w:pStyle w:val="TOC3"/>
        <w:rPr>
          <w:rFonts w:eastAsiaTheme="minorEastAsia" w:cstheme="minorBidi"/>
          <w:noProof/>
          <w:szCs w:val="24"/>
          <w:lang w:eastAsia="ja-JP"/>
        </w:rPr>
      </w:pPr>
      <w:r>
        <w:rPr>
          <w:noProof/>
        </w:rPr>
        <w:t>4.3.3</w:t>
      </w:r>
      <w:r>
        <w:rPr>
          <w:rFonts w:eastAsiaTheme="minorEastAsia" w:cstheme="minorBidi"/>
          <w:noProof/>
          <w:szCs w:val="24"/>
          <w:lang w:eastAsia="ja-JP"/>
        </w:rPr>
        <w:tab/>
      </w:r>
      <w:r>
        <w:rPr>
          <w:noProof/>
        </w:rPr>
        <w:t>Contour Plots for Normalized Flexural Stiffness</w:t>
      </w:r>
      <w:r>
        <w:rPr>
          <w:noProof/>
        </w:rPr>
        <w:tab/>
      </w:r>
      <w:r>
        <w:rPr>
          <w:noProof/>
        </w:rPr>
        <w:fldChar w:fldCharType="begin"/>
      </w:r>
      <w:r>
        <w:rPr>
          <w:noProof/>
        </w:rPr>
        <w:instrText xml:space="preserve"> PAGEREF _Toc346311000 \h </w:instrText>
      </w:r>
      <w:r>
        <w:rPr>
          <w:noProof/>
        </w:rPr>
      </w:r>
      <w:r>
        <w:rPr>
          <w:noProof/>
        </w:rPr>
        <w:fldChar w:fldCharType="separate"/>
      </w:r>
      <w:r w:rsidR="008A1992">
        <w:rPr>
          <w:noProof/>
        </w:rPr>
        <w:t>79</w:t>
      </w:r>
      <w:r>
        <w:rPr>
          <w:noProof/>
        </w:rPr>
        <w:fldChar w:fldCharType="end"/>
      </w:r>
    </w:p>
    <w:p w14:paraId="63F5CDDC" w14:textId="77777777" w:rsidR="00C52689" w:rsidRDefault="00C52689" w:rsidP="00C52689">
      <w:pPr>
        <w:pStyle w:val="TOC3"/>
        <w:rPr>
          <w:noProof/>
        </w:rPr>
      </w:pPr>
    </w:p>
    <w:p w14:paraId="41C476DF" w14:textId="77777777" w:rsidR="006E0C96" w:rsidRDefault="006E0C96" w:rsidP="00C52689">
      <w:pPr>
        <w:pStyle w:val="TOC3"/>
        <w:rPr>
          <w:rFonts w:eastAsiaTheme="minorEastAsia" w:cstheme="minorBidi"/>
          <w:noProof/>
          <w:szCs w:val="24"/>
          <w:lang w:eastAsia="ja-JP"/>
        </w:rPr>
      </w:pPr>
      <w:r>
        <w:rPr>
          <w:noProof/>
        </w:rPr>
        <w:t>4.3.4</w:t>
      </w:r>
      <w:r>
        <w:rPr>
          <w:rFonts w:eastAsiaTheme="minorEastAsia" w:cstheme="minorBidi"/>
          <w:noProof/>
          <w:szCs w:val="24"/>
          <w:lang w:eastAsia="ja-JP"/>
        </w:rPr>
        <w:tab/>
      </w:r>
      <w:r>
        <w:rPr>
          <w:noProof/>
        </w:rPr>
        <w:t>Contour Plots for Normalized Flexural Strength</w:t>
      </w:r>
      <w:r>
        <w:rPr>
          <w:noProof/>
        </w:rPr>
        <w:tab/>
      </w:r>
      <w:r>
        <w:rPr>
          <w:noProof/>
        </w:rPr>
        <w:fldChar w:fldCharType="begin"/>
      </w:r>
      <w:r>
        <w:rPr>
          <w:noProof/>
        </w:rPr>
        <w:instrText xml:space="preserve"> PAGEREF _Toc346311001 \h </w:instrText>
      </w:r>
      <w:r>
        <w:rPr>
          <w:noProof/>
        </w:rPr>
      </w:r>
      <w:r>
        <w:rPr>
          <w:noProof/>
        </w:rPr>
        <w:fldChar w:fldCharType="separate"/>
      </w:r>
      <w:r w:rsidR="008A1992">
        <w:rPr>
          <w:noProof/>
        </w:rPr>
        <w:t>81</w:t>
      </w:r>
      <w:r>
        <w:rPr>
          <w:noProof/>
        </w:rPr>
        <w:fldChar w:fldCharType="end"/>
      </w:r>
    </w:p>
    <w:p w14:paraId="71C3147C" w14:textId="77777777" w:rsidR="00C52689" w:rsidRDefault="00C52689" w:rsidP="00C52689">
      <w:pPr>
        <w:pStyle w:val="TOC2"/>
        <w:rPr>
          <w:noProof/>
        </w:rPr>
      </w:pPr>
    </w:p>
    <w:p w14:paraId="29113283" w14:textId="77777777" w:rsidR="006E0C96" w:rsidRDefault="006E0C96" w:rsidP="00C52689">
      <w:pPr>
        <w:pStyle w:val="TOC2"/>
        <w:rPr>
          <w:rFonts w:eastAsiaTheme="minorEastAsia" w:cstheme="minorBidi"/>
          <w:noProof/>
          <w:szCs w:val="24"/>
          <w:lang w:eastAsia="ja-JP"/>
        </w:rPr>
      </w:pPr>
      <w:r>
        <w:rPr>
          <w:noProof/>
        </w:rPr>
        <w:t>4.4</w:t>
      </w:r>
      <w:r>
        <w:rPr>
          <w:rFonts w:eastAsiaTheme="minorEastAsia" w:cstheme="minorBidi"/>
          <w:noProof/>
          <w:szCs w:val="24"/>
          <w:lang w:eastAsia="ja-JP"/>
        </w:rPr>
        <w:tab/>
      </w:r>
      <w:r>
        <w:rPr>
          <w:noProof/>
        </w:rPr>
        <w:t>Summary of Contour Plot Chapter</w:t>
      </w:r>
      <w:r>
        <w:rPr>
          <w:noProof/>
        </w:rPr>
        <w:tab/>
      </w:r>
      <w:r>
        <w:rPr>
          <w:noProof/>
        </w:rPr>
        <w:fldChar w:fldCharType="begin"/>
      </w:r>
      <w:r>
        <w:rPr>
          <w:noProof/>
        </w:rPr>
        <w:instrText xml:space="preserve"> PAGEREF _Toc346311002 \h </w:instrText>
      </w:r>
      <w:r>
        <w:rPr>
          <w:noProof/>
        </w:rPr>
      </w:r>
      <w:r>
        <w:rPr>
          <w:noProof/>
        </w:rPr>
        <w:fldChar w:fldCharType="separate"/>
      </w:r>
      <w:r w:rsidR="008A1992">
        <w:rPr>
          <w:noProof/>
        </w:rPr>
        <w:t>84</w:t>
      </w:r>
      <w:r>
        <w:rPr>
          <w:noProof/>
        </w:rPr>
        <w:fldChar w:fldCharType="end"/>
      </w:r>
    </w:p>
    <w:p w14:paraId="42E1F6BA" w14:textId="77777777" w:rsidR="00C52689" w:rsidRDefault="00C52689" w:rsidP="00C17C55">
      <w:pPr>
        <w:pStyle w:val="TOC1"/>
        <w:tabs>
          <w:tab w:val="clear" w:pos="8460"/>
          <w:tab w:val="left" w:pos="382"/>
          <w:tab w:val="right" w:leader="dot" w:pos="8550"/>
        </w:tabs>
        <w:rPr>
          <w:noProof/>
          <w:color w:val="FFFFFF" w:themeColor="background1"/>
        </w:rPr>
      </w:pPr>
    </w:p>
    <w:p w14:paraId="13CB9BD7" w14:textId="32DF7D98" w:rsidR="006E0C96" w:rsidRDefault="006E0C96" w:rsidP="00C17C55">
      <w:pPr>
        <w:pStyle w:val="TOC1"/>
        <w:tabs>
          <w:tab w:val="clear" w:pos="8460"/>
          <w:tab w:val="left" w:pos="382"/>
          <w:tab w:val="right" w:leader="dot" w:pos="8550"/>
        </w:tabs>
        <w:rPr>
          <w:rFonts w:eastAsiaTheme="minorEastAsia" w:cstheme="minorBidi"/>
          <w:b w:val="0"/>
          <w:bCs w:val="0"/>
          <w:caps w:val="0"/>
          <w:noProof/>
          <w:szCs w:val="24"/>
          <w:lang w:eastAsia="ja-JP"/>
        </w:rPr>
      </w:pPr>
      <w:r>
        <w:rPr>
          <w:noProof/>
        </w:rPr>
        <w:t>Part B: Hydraulic Fluid Contamination Effects</w:t>
      </w:r>
      <w:r>
        <w:rPr>
          <w:noProof/>
        </w:rPr>
        <w:tab/>
      </w:r>
      <w:r>
        <w:rPr>
          <w:noProof/>
        </w:rPr>
        <w:fldChar w:fldCharType="begin"/>
      </w:r>
      <w:r>
        <w:rPr>
          <w:noProof/>
        </w:rPr>
        <w:instrText xml:space="preserve"> PAGEREF _Toc346311003 \h </w:instrText>
      </w:r>
      <w:r>
        <w:rPr>
          <w:noProof/>
        </w:rPr>
      </w:r>
      <w:r>
        <w:rPr>
          <w:noProof/>
        </w:rPr>
        <w:fldChar w:fldCharType="separate"/>
      </w:r>
      <w:r w:rsidR="008A1992">
        <w:rPr>
          <w:noProof/>
        </w:rPr>
        <w:t>85</w:t>
      </w:r>
      <w:r>
        <w:rPr>
          <w:noProof/>
        </w:rPr>
        <w:fldChar w:fldCharType="end"/>
      </w:r>
    </w:p>
    <w:p w14:paraId="3AB77C66" w14:textId="77777777" w:rsidR="00C52689" w:rsidRDefault="00C52689" w:rsidP="00C52689">
      <w:pPr>
        <w:pStyle w:val="TOC1"/>
        <w:tabs>
          <w:tab w:val="clear" w:pos="8460"/>
          <w:tab w:val="right" w:leader="dot" w:pos="8550"/>
        </w:tabs>
        <w:rPr>
          <w:noProof/>
        </w:rPr>
      </w:pPr>
    </w:p>
    <w:p w14:paraId="29B8B43D" w14:textId="4FA6527E" w:rsidR="006E0C96" w:rsidRDefault="00C52689" w:rsidP="00C52689">
      <w:pPr>
        <w:pStyle w:val="TOC1"/>
        <w:tabs>
          <w:tab w:val="clear" w:pos="8460"/>
          <w:tab w:val="right" w:leader="dot" w:pos="8550"/>
        </w:tabs>
        <w:rPr>
          <w:rFonts w:eastAsiaTheme="minorEastAsia" w:cstheme="minorBidi"/>
          <w:b w:val="0"/>
          <w:bCs w:val="0"/>
          <w:caps w:val="0"/>
          <w:noProof/>
          <w:szCs w:val="24"/>
          <w:lang w:eastAsia="ja-JP"/>
        </w:rPr>
      </w:pPr>
      <w:r>
        <w:rPr>
          <w:noProof/>
        </w:rPr>
        <w:lastRenderedPageBreak/>
        <w:t xml:space="preserve">chapter 5: </w:t>
      </w:r>
      <w:r w:rsidR="006E0C96">
        <w:rPr>
          <w:noProof/>
        </w:rPr>
        <w:t>Hydraulic Fluid Absorption Behavior of Aerospace-Grade Laminates: Coupled Effect of Prepreg Humidity Exposure and Fabrication Pressure</w:t>
      </w:r>
      <w:r w:rsidR="006E0C96">
        <w:rPr>
          <w:noProof/>
        </w:rPr>
        <w:tab/>
      </w:r>
      <w:r w:rsidR="006E0C96">
        <w:rPr>
          <w:noProof/>
        </w:rPr>
        <w:fldChar w:fldCharType="begin"/>
      </w:r>
      <w:r w:rsidR="006E0C96">
        <w:rPr>
          <w:noProof/>
        </w:rPr>
        <w:instrText xml:space="preserve"> PAGEREF _Toc346311005 \h </w:instrText>
      </w:r>
      <w:r w:rsidR="006E0C96">
        <w:rPr>
          <w:noProof/>
        </w:rPr>
      </w:r>
      <w:r w:rsidR="006E0C96">
        <w:rPr>
          <w:noProof/>
        </w:rPr>
        <w:fldChar w:fldCharType="separate"/>
      </w:r>
      <w:r w:rsidR="008A1992">
        <w:rPr>
          <w:noProof/>
        </w:rPr>
        <w:t>86</w:t>
      </w:r>
      <w:r w:rsidR="006E0C96">
        <w:rPr>
          <w:noProof/>
        </w:rPr>
        <w:fldChar w:fldCharType="end"/>
      </w:r>
    </w:p>
    <w:p w14:paraId="0FC1516B" w14:textId="77777777" w:rsidR="00C52689" w:rsidRDefault="00C52689" w:rsidP="00C52689">
      <w:pPr>
        <w:pStyle w:val="TOC2"/>
        <w:rPr>
          <w:noProof/>
        </w:rPr>
      </w:pPr>
    </w:p>
    <w:p w14:paraId="2DE74CCC" w14:textId="77777777" w:rsidR="006E0C96" w:rsidRDefault="006E0C96" w:rsidP="00C52689">
      <w:pPr>
        <w:pStyle w:val="TOC2"/>
        <w:rPr>
          <w:rFonts w:eastAsiaTheme="minorEastAsia" w:cstheme="minorBidi"/>
          <w:noProof/>
          <w:szCs w:val="24"/>
          <w:lang w:eastAsia="ja-JP"/>
        </w:rPr>
      </w:pPr>
      <w:r>
        <w:rPr>
          <w:noProof/>
        </w:rPr>
        <w:t>5.1</w:t>
      </w:r>
      <w:r>
        <w:rPr>
          <w:rFonts w:eastAsiaTheme="minorEastAsia" w:cstheme="minorBidi"/>
          <w:noProof/>
          <w:szCs w:val="24"/>
          <w:lang w:eastAsia="ja-JP"/>
        </w:rPr>
        <w:tab/>
      </w:r>
      <w:r>
        <w:rPr>
          <w:noProof/>
        </w:rPr>
        <w:t>Literature Review of Modeling Techniques for Fluid Absorption in Composite Materials</w:t>
      </w:r>
      <w:r>
        <w:rPr>
          <w:noProof/>
        </w:rPr>
        <w:tab/>
      </w:r>
      <w:r>
        <w:rPr>
          <w:noProof/>
        </w:rPr>
        <w:fldChar w:fldCharType="begin"/>
      </w:r>
      <w:r>
        <w:rPr>
          <w:noProof/>
        </w:rPr>
        <w:instrText xml:space="preserve"> PAGEREF _Toc346311006 \h </w:instrText>
      </w:r>
      <w:r>
        <w:rPr>
          <w:noProof/>
        </w:rPr>
      </w:r>
      <w:r>
        <w:rPr>
          <w:noProof/>
        </w:rPr>
        <w:fldChar w:fldCharType="separate"/>
      </w:r>
      <w:r w:rsidR="008A1992">
        <w:rPr>
          <w:noProof/>
        </w:rPr>
        <w:t>86</w:t>
      </w:r>
      <w:r>
        <w:rPr>
          <w:noProof/>
        </w:rPr>
        <w:fldChar w:fldCharType="end"/>
      </w:r>
    </w:p>
    <w:p w14:paraId="799CCF15" w14:textId="77777777" w:rsidR="00C52689" w:rsidRDefault="00C52689" w:rsidP="00C52689">
      <w:pPr>
        <w:pStyle w:val="TOC2"/>
        <w:rPr>
          <w:noProof/>
        </w:rPr>
      </w:pPr>
    </w:p>
    <w:p w14:paraId="1D79F046" w14:textId="77777777" w:rsidR="006E0C96" w:rsidRDefault="006E0C96" w:rsidP="00C52689">
      <w:pPr>
        <w:pStyle w:val="TOC2"/>
        <w:rPr>
          <w:rFonts w:eastAsiaTheme="minorEastAsia" w:cstheme="minorBidi"/>
          <w:noProof/>
          <w:szCs w:val="24"/>
          <w:lang w:eastAsia="ja-JP"/>
        </w:rPr>
      </w:pPr>
      <w:r>
        <w:rPr>
          <w:noProof/>
        </w:rPr>
        <w:t>5.2</w:t>
      </w:r>
      <w:r>
        <w:rPr>
          <w:rFonts w:eastAsiaTheme="minorEastAsia" w:cstheme="minorBidi"/>
          <w:noProof/>
          <w:szCs w:val="24"/>
          <w:lang w:eastAsia="ja-JP"/>
        </w:rPr>
        <w:tab/>
      </w:r>
      <w:r w:rsidRPr="00D21BB7">
        <w:rPr>
          <w:rFonts w:eastAsia="MS Mincho"/>
          <w:noProof/>
        </w:rPr>
        <w:t>Experimental Procedure for Liquid Absorption Study</w:t>
      </w:r>
      <w:r>
        <w:rPr>
          <w:noProof/>
        </w:rPr>
        <w:tab/>
      </w:r>
      <w:r>
        <w:rPr>
          <w:noProof/>
        </w:rPr>
        <w:fldChar w:fldCharType="begin"/>
      </w:r>
      <w:r>
        <w:rPr>
          <w:noProof/>
        </w:rPr>
        <w:instrText xml:space="preserve"> PAGEREF _Toc346311007 \h </w:instrText>
      </w:r>
      <w:r>
        <w:rPr>
          <w:noProof/>
        </w:rPr>
      </w:r>
      <w:r>
        <w:rPr>
          <w:noProof/>
        </w:rPr>
        <w:fldChar w:fldCharType="separate"/>
      </w:r>
      <w:r w:rsidR="008A1992">
        <w:rPr>
          <w:noProof/>
        </w:rPr>
        <w:t>88</w:t>
      </w:r>
      <w:r>
        <w:rPr>
          <w:noProof/>
        </w:rPr>
        <w:fldChar w:fldCharType="end"/>
      </w:r>
    </w:p>
    <w:p w14:paraId="1F7F81A1" w14:textId="77777777" w:rsidR="00C52689" w:rsidRDefault="00C52689" w:rsidP="00C52689">
      <w:pPr>
        <w:pStyle w:val="TOC2"/>
        <w:rPr>
          <w:noProof/>
        </w:rPr>
      </w:pPr>
    </w:p>
    <w:p w14:paraId="6A036FD0" w14:textId="77777777" w:rsidR="006E0C96" w:rsidRDefault="006E0C96" w:rsidP="00C52689">
      <w:pPr>
        <w:pStyle w:val="TOC2"/>
        <w:rPr>
          <w:rFonts w:eastAsiaTheme="minorEastAsia" w:cstheme="minorBidi"/>
          <w:noProof/>
          <w:szCs w:val="24"/>
          <w:lang w:eastAsia="ja-JP"/>
        </w:rPr>
      </w:pPr>
      <w:r>
        <w:rPr>
          <w:noProof/>
        </w:rPr>
        <w:t>5.3</w:t>
      </w:r>
      <w:r>
        <w:rPr>
          <w:rFonts w:eastAsiaTheme="minorEastAsia" w:cstheme="minorBidi"/>
          <w:noProof/>
          <w:szCs w:val="24"/>
          <w:lang w:eastAsia="ja-JP"/>
        </w:rPr>
        <w:tab/>
      </w:r>
      <w:r>
        <w:rPr>
          <w:noProof/>
        </w:rPr>
        <w:t>Long-Term Hydraulic Fluid Absorption</w:t>
      </w:r>
      <w:r>
        <w:rPr>
          <w:noProof/>
        </w:rPr>
        <w:tab/>
      </w:r>
      <w:r>
        <w:rPr>
          <w:noProof/>
        </w:rPr>
        <w:fldChar w:fldCharType="begin"/>
      </w:r>
      <w:r>
        <w:rPr>
          <w:noProof/>
        </w:rPr>
        <w:instrText xml:space="preserve"> PAGEREF _Toc346311008 \h </w:instrText>
      </w:r>
      <w:r>
        <w:rPr>
          <w:noProof/>
        </w:rPr>
      </w:r>
      <w:r>
        <w:rPr>
          <w:noProof/>
        </w:rPr>
        <w:fldChar w:fldCharType="separate"/>
      </w:r>
      <w:r w:rsidR="008A1992">
        <w:rPr>
          <w:noProof/>
        </w:rPr>
        <w:t>89</w:t>
      </w:r>
      <w:r>
        <w:rPr>
          <w:noProof/>
        </w:rPr>
        <w:fldChar w:fldCharType="end"/>
      </w:r>
    </w:p>
    <w:p w14:paraId="0FF40564" w14:textId="77777777" w:rsidR="00C52689" w:rsidRDefault="00C52689" w:rsidP="00C52689">
      <w:pPr>
        <w:pStyle w:val="TOC3"/>
        <w:rPr>
          <w:noProof/>
        </w:rPr>
      </w:pPr>
    </w:p>
    <w:p w14:paraId="20E57C38" w14:textId="77777777" w:rsidR="006E0C96" w:rsidRDefault="006E0C96" w:rsidP="00C52689">
      <w:pPr>
        <w:pStyle w:val="TOC3"/>
        <w:rPr>
          <w:rFonts w:eastAsiaTheme="minorEastAsia" w:cstheme="minorBidi"/>
          <w:noProof/>
          <w:szCs w:val="24"/>
          <w:lang w:eastAsia="ja-JP"/>
        </w:rPr>
      </w:pPr>
      <w:r>
        <w:rPr>
          <w:noProof/>
        </w:rPr>
        <w:t>5.3.1</w:t>
      </w:r>
      <w:r>
        <w:rPr>
          <w:rFonts w:eastAsiaTheme="minorEastAsia" w:cstheme="minorBidi"/>
          <w:noProof/>
          <w:szCs w:val="24"/>
          <w:lang w:eastAsia="ja-JP"/>
        </w:rPr>
        <w:tab/>
      </w:r>
      <w:r>
        <w:rPr>
          <w:noProof/>
        </w:rPr>
        <w:t>Quartz/BMI (AQIII/BMI) Absorption</w:t>
      </w:r>
      <w:r>
        <w:rPr>
          <w:noProof/>
        </w:rPr>
        <w:tab/>
      </w:r>
      <w:r>
        <w:rPr>
          <w:noProof/>
        </w:rPr>
        <w:fldChar w:fldCharType="begin"/>
      </w:r>
      <w:r>
        <w:rPr>
          <w:noProof/>
        </w:rPr>
        <w:instrText xml:space="preserve"> PAGEREF _Toc346311009 \h </w:instrText>
      </w:r>
      <w:r>
        <w:rPr>
          <w:noProof/>
        </w:rPr>
      </w:r>
      <w:r>
        <w:rPr>
          <w:noProof/>
        </w:rPr>
        <w:fldChar w:fldCharType="separate"/>
      </w:r>
      <w:r w:rsidR="008A1992">
        <w:rPr>
          <w:noProof/>
        </w:rPr>
        <w:t>89</w:t>
      </w:r>
      <w:r>
        <w:rPr>
          <w:noProof/>
        </w:rPr>
        <w:fldChar w:fldCharType="end"/>
      </w:r>
    </w:p>
    <w:p w14:paraId="17897902" w14:textId="77777777" w:rsidR="00C52689" w:rsidRDefault="00C52689" w:rsidP="00C52689">
      <w:pPr>
        <w:pStyle w:val="TOC3"/>
        <w:rPr>
          <w:noProof/>
        </w:rPr>
      </w:pPr>
    </w:p>
    <w:p w14:paraId="1EDB3B46" w14:textId="77777777" w:rsidR="006E0C96" w:rsidRDefault="006E0C96" w:rsidP="00C52689">
      <w:pPr>
        <w:pStyle w:val="TOC3"/>
        <w:rPr>
          <w:rFonts w:eastAsiaTheme="minorEastAsia" w:cstheme="minorBidi"/>
          <w:noProof/>
          <w:szCs w:val="24"/>
          <w:lang w:eastAsia="ja-JP"/>
        </w:rPr>
      </w:pPr>
      <w:r>
        <w:rPr>
          <w:noProof/>
        </w:rPr>
        <w:t>5.3.2</w:t>
      </w:r>
      <w:r>
        <w:rPr>
          <w:rFonts w:eastAsiaTheme="minorEastAsia" w:cstheme="minorBidi"/>
          <w:noProof/>
          <w:szCs w:val="24"/>
          <w:lang w:eastAsia="ja-JP"/>
        </w:rPr>
        <w:tab/>
      </w:r>
      <w:r>
        <w:rPr>
          <w:noProof/>
        </w:rPr>
        <w:t>Quartz/Epoxy (AQIII/EX-1522) Absorption</w:t>
      </w:r>
      <w:r>
        <w:rPr>
          <w:noProof/>
        </w:rPr>
        <w:tab/>
      </w:r>
      <w:r>
        <w:rPr>
          <w:noProof/>
        </w:rPr>
        <w:fldChar w:fldCharType="begin"/>
      </w:r>
      <w:r>
        <w:rPr>
          <w:noProof/>
        </w:rPr>
        <w:instrText xml:space="preserve"> PAGEREF _Toc346311010 \h </w:instrText>
      </w:r>
      <w:r>
        <w:rPr>
          <w:noProof/>
        </w:rPr>
      </w:r>
      <w:r>
        <w:rPr>
          <w:noProof/>
        </w:rPr>
        <w:fldChar w:fldCharType="separate"/>
      </w:r>
      <w:r w:rsidR="008A1992">
        <w:rPr>
          <w:noProof/>
        </w:rPr>
        <w:t>92</w:t>
      </w:r>
      <w:r>
        <w:rPr>
          <w:noProof/>
        </w:rPr>
        <w:fldChar w:fldCharType="end"/>
      </w:r>
    </w:p>
    <w:p w14:paraId="5ED47496" w14:textId="77777777" w:rsidR="00C52689" w:rsidRDefault="00C52689" w:rsidP="00C52689">
      <w:pPr>
        <w:pStyle w:val="TOC3"/>
        <w:rPr>
          <w:noProof/>
        </w:rPr>
      </w:pPr>
    </w:p>
    <w:p w14:paraId="5B7DB87B" w14:textId="77777777" w:rsidR="006E0C96" w:rsidRDefault="006E0C96" w:rsidP="00C52689">
      <w:pPr>
        <w:pStyle w:val="TOC3"/>
        <w:rPr>
          <w:rFonts w:eastAsiaTheme="minorEastAsia" w:cstheme="minorBidi"/>
          <w:noProof/>
          <w:szCs w:val="24"/>
          <w:lang w:eastAsia="ja-JP"/>
        </w:rPr>
      </w:pPr>
      <w:r>
        <w:rPr>
          <w:noProof/>
        </w:rPr>
        <w:t>5.3.3</w:t>
      </w:r>
      <w:r>
        <w:rPr>
          <w:rFonts w:eastAsiaTheme="minorEastAsia" w:cstheme="minorBidi"/>
          <w:noProof/>
          <w:szCs w:val="24"/>
          <w:lang w:eastAsia="ja-JP"/>
        </w:rPr>
        <w:tab/>
      </w:r>
      <w:r>
        <w:rPr>
          <w:noProof/>
        </w:rPr>
        <w:t>Carbon/Epoxy (IM7/EX-1522) Absorption</w:t>
      </w:r>
      <w:r>
        <w:rPr>
          <w:noProof/>
        </w:rPr>
        <w:tab/>
      </w:r>
      <w:r>
        <w:rPr>
          <w:noProof/>
        </w:rPr>
        <w:fldChar w:fldCharType="begin"/>
      </w:r>
      <w:r>
        <w:rPr>
          <w:noProof/>
        </w:rPr>
        <w:instrText xml:space="preserve"> PAGEREF _Toc346311011 \h </w:instrText>
      </w:r>
      <w:r>
        <w:rPr>
          <w:noProof/>
        </w:rPr>
      </w:r>
      <w:r>
        <w:rPr>
          <w:noProof/>
        </w:rPr>
        <w:fldChar w:fldCharType="separate"/>
      </w:r>
      <w:r w:rsidR="008A1992">
        <w:rPr>
          <w:noProof/>
        </w:rPr>
        <w:t>93</w:t>
      </w:r>
      <w:r>
        <w:rPr>
          <w:noProof/>
        </w:rPr>
        <w:fldChar w:fldCharType="end"/>
      </w:r>
    </w:p>
    <w:p w14:paraId="52D209F2" w14:textId="77777777" w:rsidR="00C52689" w:rsidRDefault="00C52689" w:rsidP="00C52689">
      <w:pPr>
        <w:pStyle w:val="TOC2"/>
        <w:rPr>
          <w:noProof/>
        </w:rPr>
      </w:pPr>
    </w:p>
    <w:p w14:paraId="011B2E8A" w14:textId="77777777" w:rsidR="006E0C96" w:rsidRDefault="006E0C96" w:rsidP="00C52689">
      <w:pPr>
        <w:pStyle w:val="TOC2"/>
        <w:rPr>
          <w:rFonts w:eastAsiaTheme="minorEastAsia" w:cstheme="minorBidi"/>
          <w:noProof/>
          <w:szCs w:val="24"/>
          <w:lang w:eastAsia="ja-JP"/>
        </w:rPr>
      </w:pPr>
      <w:r>
        <w:rPr>
          <w:noProof/>
        </w:rPr>
        <w:t>5.4</w:t>
      </w:r>
      <w:r>
        <w:rPr>
          <w:rFonts w:eastAsiaTheme="minorEastAsia" w:cstheme="minorBidi"/>
          <w:noProof/>
          <w:szCs w:val="24"/>
          <w:lang w:eastAsia="ja-JP"/>
        </w:rPr>
        <w:tab/>
      </w:r>
      <w:r>
        <w:rPr>
          <w:noProof/>
        </w:rPr>
        <w:t>Foundation for applying the Hindered Diffusion Model to Hydraulic Fluid Absorption</w:t>
      </w:r>
      <w:r>
        <w:rPr>
          <w:noProof/>
        </w:rPr>
        <w:tab/>
      </w:r>
      <w:r>
        <w:rPr>
          <w:noProof/>
        </w:rPr>
        <w:fldChar w:fldCharType="begin"/>
      </w:r>
      <w:r>
        <w:rPr>
          <w:noProof/>
        </w:rPr>
        <w:instrText xml:space="preserve"> PAGEREF _Toc346311012 \h </w:instrText>
      </w:r>
      <w:r>
        <w:rPr>
          <w:noProof/>
        </w:rPr>
      </w:r>
      <w:r>
        <w:rPr>
          <w:noProof/>
        </w:rPr>
        <w:fldChar w:fldCharType="separate"/>
      </w:r>
      <w:r w:rsidR="008A1992">
        <w:rPr>
          <w:noProof/>
        </w:rPr>
        <w:t>95</w:t>
      </w:r>
      <w:r>
        <w:rPr>
          <w:noProof/>
        </w:rPr>
        <w:fldChar w:fldCharType="end"/>
      </w:r>
    </w:p>
    <w:p w14:paraId="4CD2ECC4" w14:textId="77777777" w:rsidR="00C52689" w:rsidRDefault="00C52689" w:rsidP="00C52689">
      <w:pPr>
        <w:pStyle w:val="TOC2"/>
        <w:rPr>
          <w:noProof/>
        </w:rPr>
      </w:pPr>
    </w:p>
    <w:p w14:paraId="0AD50E2C" w14:textId="77777777" w:rsidR="006E0C96" w:rsidRDefault="006E0C96" w:rsidP="00C52689">
      <w:pPr>
        <w:pStyle w:val="TOC2"/>
        <w:rPr>
          <w:rFonts w:eastAsiaTheme="minorEastAsia" w:cstheme="minorBidi"/>
          <w:noProof/>
          <w:szCs w:val="24"/>
          <w:lang w:eastAsia="ja-JP"/>
        </w:rPr>
      </w:pPr>
      <w:r>
        <w:rPr>
          <w:noProof/>
        </w:rPr>
        <w:t>5.5</w:t>
      </w:r>
      <w:r>
        <w:rPr>
          <w:rFonts w:eastAsiaTheme="minorEastAsia" w:cstheme="minorBidi"/>
          <w:noProof/>
          <w:szCs w:val="24"/>
          <w:lang w:eastAsia="ja-JP"/>
        </w:rPr>
        <w:tab/>
      </w:r>
      <w:r>
        <w:rPr>
          <w:noProof/>
        </w:rPr>
        <w:t>Hindered Diffusion Model Prediction</w:t>
      </w:r>
      <w:r>
        <w:rPr>
          <w:noProof/>
        </w:rPr>
        <w:tab/>
      </w:r>
      <w:r>
        <w:rPr>
          <w:noProof/>
        </w:rPr>
        <w:fldChar w:fldCharType="begin"/>
      </w:r>
      <w:r>
        <w:rPr>
          <w:noProof/>
        </w:rPr>
        <w:instrText xml:space="preserve"> PAGEREF _Toc346311013 \h </w:instrText>
      </w:r>
      <w:r>
        <w:rPr>
          <w:noProof/>
        </w:rPr>
      </w:r>
      <w:r>
        <w:rPr>
          <w:noProof/>
        </w:rPr>
        <w:fldChar w:fldCharType="separate"/>
      </w:r>
      <w:r w:rsidR="008A1992">
        <w:rPr>
          <w:noProof/>
        </w:rPr>
        <w:t>98</w:t>
      </w:r>
      <w:r>
        <w:rPr>
          <w:noProof/>
        </w:rPr>
        <w:fldChar w:fldCharType="end"/>
      </w:r>
    </w:p>
    <w:p w14:paraId="65C4E004" w14:textId="77777777" w:rsidR="00C52689" w:rsidRDefault="00C52689" w:rsidP="00C52689">
      <w:pPr>
        <w:pStyle w:val="TOC3"/>
        <w:rPr>
          <w:noProof/>
        </w:rPr>
      </w:pPr>
    </w:p>
    <w:p w14:paraId="2A8D5DA4" w14:textId="77777777" w:rsidR="006E0C96" w:rsidRDefault="006E0C96" w:rsidP="00C52689">
      <w:pPr>
        <w:pStyle w:val="TOC3"/>
        <w:rPr>
          <w:rFonts w:eastAsiaTheme="minorEastAsia" w:cstheme="minorBidi"/>
          <w:noProof/>
          <w:szCs w:val="24"/>
          <w:lang w:eastAsia="ja-JP"/>
        </w:rPr>
      </w:pPr>
      <w:r>
        <w:rPr>
          <w:noProof/>
        </w:rPr>
        <w:t>5.5.1</w:t>
      </w:r>
      <w:r>
        <w:rPr>
          <w:rFonts w:eastAsiaTheme="minorEastAsia" w:cstheme="minorBidi"/>
          <w:noProof/>
          <w:szCs w:val="24"/>
          <w:lang w:eastAsia="ja-JP"/>
        </w:rPr>
        <w:tab/>
      </w:r>
      <w:r>
        <w:rPr>
          <w:noProof/>
        </w:rPr>
        <w:t>Quartz/BMI (AQIII/BMI) Absorption Model and Equilibrium Fluid Content</w:t>
      </w:r>
      <w:r>
        <w:rPr>
          <w:noProof/>
        </w:rPr>
        <w:tab/>
      </w:r>
      <w:r>
        <w:rPr>
          <w:noProof/>
        </w:rPr>
        <w:fldChar w:fldCharType="begin"/>
      </w:r>
      <w:r>
        <w:rPr>
          <w:noProof/>
        </w:rPr>
        <w:instrText xml:space="preserve"> PAGEREF _Toc346311014 \h </w:instrText>
      </w:r>
      <w:r>
        <w:rPr>
          <w:noProof/>
        </w:rPr>
      </w:r>
      <w:r>
        <w:rPr>
          <w:noProof/>
        </w:rPr>
        <w:fldChar w:fldCharType="separate"/>
      </w:r>
      <w:r w:rsidR="008A1992">
        <w:rPr>
          <w:noProof/>
        </w:rPr>
        <w:t>98</w:t>
      </w:r>
      <w:r>
        <w:rPr>
          <w:noProof/>
        </w:rPr>
        <w:fldChar w:fldCharType="end"/>
      </w:r>
    </w:p>
    <w:p w14:paraId="6D656447" w14:textId="77777777" w:rsidR="00C52689" w:rsidRDefault="00C52689" w:rsidP="00C52689">
      <w:pPr>
        <w:pStyle w:val="TOC3"/>
        <w:rPr>
          <w:noProof/>
        </w:rPr>
      </w:pPr>
    </w:p>
    <w:p w14:paraId="0C4E2FA4" w14:textId="77777777" w:rsidR="006E0C96" w:rsidRDefault="006E0C96" w:rsidP="00C52689">
      <w:pPr>
        <w:pStyle w:val="TOC3"/>
        <w:rPr>
          <w:rFonts w:eastAsiaTheme="minorEastAsia" w:cstheme="minorBidi"/>
          <w:noProof/>
          <w:szCs w:val="24"/>
          <w:lang w:eastAsia="ja-JP"/>
        </w:rPr>
      </w:pPr>
      <w:r>
        <w:rPr>
          <w:noProof/>
        </w:rPr>
        <w:t>5.5.2</w:t>
      </w:r>
      <w:r>
        <w:rPr>
          <w:rFonts w:eastAsiaTheme="minorEastAsia" w:cstheme="minorBidi"/>
          <w:noProof/>
          <w:szCs w:val="24"/>
          <w:lang w:eastAsia="ja-JP"/>
        </w:rPr>
        <w:tab/>
      </w:r>
      <w:r>
        <w:rPr>
          <w:noProof/>
        </w:rPr>
        <w:t>Quartz/Epoxy (AQIII/EX-1522) Absorption Model and Equilibrium Fluid Content</w:t>
      </w:r>
      <w:r>
        <w:rPr>
          <w:noProof/>
        </w:rPr>
        <w:tab/>
      </w:r>
      <w:r>
        <w:rPr>
          <w:noProof/>
        </w:rPr>
        <w:fldChar w:fldCharType="begin"/>
      </w:r>
      <w:r>
        <w:rPr>
          <w:noProof/>
        </w:rPr>
        <w:instrText xml:space="preserve"> PAGEREF _Toc346311015 \h </w:instrText>
      </w:r>
      <w:r>
        <w:rPr>
          <w:noProof/>
        </w:rPr>
      </w:r>
      <w:r>
        <w:rPr>
          <w:noProof/>
        </w:rPr>
        <w:fldChar w:fldCharType="separate"/>
      </w:r>
      <w:r w:rsidR="008A1992">
        <w:rPr>
          <w:noProof/>
        </w:rPr>
        <w:t>101</w:t>
      </w:r>
      <w:r>
        <w:rPr>
          <w:noProof/>
        </w:rPr>
        <w:fldChar w:fldCharType="end"/>
      </w:r>
    </w:p>
    <w:p w14:paraId="6FD5853D" w14:textId="77777777" w:rsidR="00C52689" w:rsidRDefault="00C52689" w:rsidP="00C52689">
      <w:pPr>
        <w:pStyle w:val="TOC3"/>
        <w:rPr>
          <w:noProof/>
        </w:rPr>
      </w:pPr>
    </w:p>
    <w:p w14:paraId="2E865440" w14:textId="77777777" w:rsidR="006E0C96" w:rsidRDefault="006E0C96" w:rsidP="00C52689">
      <w:pPr>
        <w:pStyle w:val="TOC3"/>
        <w:rPr>
          <w:rFonts w:eastAsiaTheme="minorEastAsia" w:cstheme="minorBidi"/>
          <w:noProof/>
          <w:szCs w:val="24"/>
          <w:lang w:eastAsia="ja-JP"/>
        </w:rPr>
      </w:pPr>
      <w:r>
        <w:rPr>
          <w:noProof/>
        </w:rPr>
        <w:t>5.5.3</w:t>
      </w:r>
      <w:r>
        <w:rPr>
          <w:rFonts w:eastAsiaTheme="minorEastAsia" w:cstheme="minorBidi"/>
          <w:noProof/>
          <w:szCs w:val="24"/>
          <w:lang w:eastAsia="ja-JP"/>
        </w:rPr>
        <w:tab/>
      </w:r>
      <w:r>
        <w:rPr>
          <w:noProof/>
        </w:rPr>
        <w:t>Carbon/Epoxy (IM7/EX-1522) Absorption Model and Equilibrium Fluid Content</w:t>
      </w:r>
      <w:r>
        <w:rPr>
          <w:noProof/>
        </w:rPr>
        <w:tab/>
      </w:r>
      <w:r>
        <w:rPr>
          <w:noProof/>
        </w:rPr>
        <w:fldChar w:fldCharType="begin"/>
      </w:r>
      <w:r>
        <w:rPr>
          <w:noProof/>
        </w:rPr>
        <w:instrText xml:space="preserve"> PAGEREF _Toc346311016 \h </w:instrText>
      </w:r>
      <w:r>
        <w:rPr>
          <w:noProof/>
        </w:rPr>
      </w:r>
      <w:r>
        <w:rPr>
          <w:noProof/>
        </w:rPr>
        <w:fldChar w:fldCharType="separate"/>
      </w:r>
      <w:r w:rsidR="008A1992">
        <w:rPr>
          <w:noProof/>
        </w:rPr>
        <w:t>103</w:t>
      </w:r>
      <w:r>
        <w:rPr>
          <w:noProof/>
        </w:rPr>
        <w:fldChar w:fldCharType="end"/>
      </w:r>
    </w:p>
    <w:p w14:paraId="6EE2048D" w14:textId="77777777" w:rsidR="00C52689" w:rsidRDefault="00C52689" w:rsidP="00C52689">
      <w:pPr>
        <w:pStyle w:val="TOC2"/>
        <w:rPr>
          <w:noProof/>
        </w:rPr>
      </w:pPr>
    </w:p>
    <w:p w14:paraId="725AD6C7" w14:textId="77777777" w:rsidR="006E0C96" w:rsidRDefault="006E0C96" w:rsidP="00C52689">
      <w:pPr>
        <w:pStyle w:val="TOC2"/>
        <w:rPr>
          <w:rFonts w:eastAsiaTheme="minorEastAsia" w:cstheme="minorBidi"/>
          <w:noProof/>
          <w:szCs w:val="24"/>
          <w:lang w:eastAsia="ja-JP"/>
        </w:rPr>
      </w:pPr>
      <w:r>
        <w:rPr>
          <w:noProof/>
        </w:rPr>
        <w:t>5.6</w:t>
      </w:r>
      <w:r>
        <w:rPr>
          <w:rFonts w:eastAsiaTheme="minorEastAsia" w:cstheme="minorBidi"/>
          <w:noProof/>
          <w:szCs w:val="24"/>
          <w:lang w:eastAsia="ja-JP"/>
        </w:rPr>
        <w:tab/>
      </w:r>
      <w:r>
        <w:rPr>
          <w:noProof/>
        </w:rPr>
        <w:t>Comparison of Equilibrium Fluid Content for Quartz-Reinforced Laminates</w:t>
      </w:r>
      <w:r>
        <w:rPr>
          <w:noProof/>
        </w:rPr>
        <w:tab/>
      </w:r>
      <w:r>
        <w:rPr>
          <w:noProof/>
        </w:rPr>
        <w:fldChar w:fldCharType="begin"/>
      </w:r>
      <w:r>
        <w:rPr>
          <w:noProof/>
        </w:rPr>
        <w:instrText xml:space="preserve"> PAGEREF _Toc346311017 \h </w:instrText>
      </w:r>
      <w:r>
        <w:rPr>
          <w:noProof/>
        </w:rPr>
      </w:r>
      <w:r>
        <w:rPr>
          <w:noProof/>
        </w:rPr>
        <w:fldChar w:fldCharType="separate"/>
      </w:r>
      <w:r w:rsidR="008A1992">
        <w:rPr>
          <w:noProof/>
        </w:rPr>
        <w:t>105</w:t>
      </w:r>
      <w:r>
        <w:rPr>
          <w:noProof/>
        </w:rPr>
        <w:fldChar w:fldCharType="end"/>
      </w:r>
    </w:p>
    <w:p w14:paraId="6E312840" w14:textId="77777777" w:rsidR="00C52689" w:rsidRDefault="00C52689" w:rsidP="00C52689">
      <w:pPr>
        <w:pStyle w:val="TOC3"/>
        <w:rPr>
          <w:noProof/>
        </w:rPr>
      </w:pPr>
    </w:p>
    <w:p w14:paraId="21EE8957" w14:textId="77777777" w:rsidR="006E0C96" w:rsidRDefault="006E0C96" w:rsidP="00C52689">
      <w:pPr>
        <w:pStyle w:val="TOC3"/>
        <w:rPr>
          <w:rFonts w:eastAsiaTheme="minorEastAsia" w:cstheme="minorBidi"/>
          <w:noProof/>
          <w:szCs w:val="24"/>
          <w:lang w:eastAsia="ja-JP"/>
        </w:rPr>
      </w:pPr>
      <w:r>
        <w:rPr>
          <w:noProof/>
        </w:rPr>
        <w:t>5.6.1</w:t>
      </w:r>
      <w:r>
        <w:rPr>
          <w:rFonts w:eastAsiaTheme="minorEastAsia" w:cstheme="minorBidi"/>
          <w:noProof/>
          <w:szCs w:val="24"/>
          <w:lang w:eastAsia="ja-JP"/>
        </w:rPr>
        <w:tab/>
      </w:r>
      <w:r>
        <w:rPr>
          <w:noProof/>
        </w:rPr>
        <w:t>Effect of Humidity Exposure on Equilibrium Fluid Content</w:t>
      </w:r>
      <w:r>
        <w:rPr>
          <w:noProof/>
        </w:rPr>
        <w:tab/>
      </w:r>
      <w:r>
        <w:rPr>
          <w:noProof/>
        </w:rPr>
        <w:fldChar w:fldCharType="begin"/>
      </w:r>
      <w:r>
        <w:rPr>
          <w:noProof/>
        </w:rPr>
        <w:instrText xml:space="preserve"> PAGEREF _Toc346311018 \h </w:instrText>
      </w:r>
      <w:r>
        <w:rPr>
          <w:noProof/>
        </w:rPr>
      </w:r>
      <w:r>
        <w:rPr>
          <w:noProof/>
        </w:rPr>
        <w:fldChar w:fldCharType="separate"/>
      </w:r>
      <w:r w:rsidR="008A1992">
        <w:rPr>
          <w:noProof/>
        </w:rPr>
        <w:t>105</w:t>
      </w:r>
      <w:r>
        <w:rPr>
          <w:noProof/>
        </w:rPr>
        <w:fldChar w:fldCharType="end"/>
      </w:r>
    </w:p>
    <w:p w14:paraId="5BA54411" w14:textId="77777777" w:rsidR="00C52689" w:rsidRDefault="00C52689" w:rsidP="00C52689">
      <w:pPr>
        <w:pStyle w:val="TOC3"/>
        <w:rPr>
          <w:noProof/>
        </w:rPr>
      </w:pPr>
    </w:p>
    <w:p w14:paraId="5717A632" w14:textId="77777777" w:rsidR="006E0C96" w:rsidRDefault="006E0C96" w:rsidP="00C52689">
      <w:pPr>
        <w:pStyle w:val="TOC3"/>
        <w:rPr>
          <w:rFonts w:eastAsiaTheme="minorEastAsia" w:cstheme="minorBidi"/>
          <w:noProof/>
          <w:szCs w:val="24"/>
          <w:lang w:eastAsia="ja-JP"/>
        </w:rPr>
      </w:pPr>
      <w:r>
        <w:rPr>
          <w:noProof/>
        </w:rPr>
        <w:t>5.6.2</w:t>
      </w:r>
      <w:r>
        <w:rPr>
          <w:rFonts w:eastAsiaTheme="minorEastAsia" w:cstheme="minorBidi"/>
          <w:noProof/>
          <w:szCs w:val="24"/>
          <w:lang w:eastAsia="ja-JP"/>
        </w:rPr>
        <w:tab/>
      </w:r>
      <w:r>
        <w:rPr>
          <w:noProof/>
        </w:rPr>
        <w:t>Effect of Fabrication Pressure on Equilibrium Fluid Content</w:t>
      </w:r>
      <w:r>
        <w:rPr>
          <w:noProof/>
        </w:rPr>
        <w:tab/>
      </w:r>
      <w:r>
        <w:rPr>
          <w:noProof/>
        </w:rPr>
        <w:fldChar w:fldCharType="begin"/>
      </w:r>
      <w:r>
        <w:rPr>
          <w:noProof/>
        </w:rPr>
        <w:instrText xml:space="preserve"> PAGEREF _Toc346311019 \h </w:instrText>
      </w:r>
      <w:r>
        <w:rPr>
          <w:noProof/>
        </w:rPr>
      </w:r>
      <w:r>
        <w:rPr>
          <w:noProof/>
        </w:rPr>
        <w:fldChar w:fldCharType="separate"/>
      </w:r>
      <w:r w:rsidR="008A1992">
        <w:rPr>
          <w:noProof/>
        </w:rPr>
        <w:t>107</w:t>
      </w:r>
      <w:r>
        <w:rPr>
          <w:noProof/>
        </w:rPr>
        <w:fldChar w:fldCharType="end"/>
      </w:r>
    </w:p>
    <w:p w14:paraId="7F5E31B1" w14:textId="77777777" w:rsidR="00C52689" w:rsidRDefault="00C52689" w:rsidP="00C52689">
      <w:pPr>
        <w:pStyle w:val="TOC2"/>
        <w:rPr>
          <w:noProof/>
        </w:rPr>
      </w:pPr>
    </w:p>
    <w:p w14:paraId="414FB2F7" w14:textId="77777777" w:rsidR="006E0C96" w:rsidRDefault="006E0C96" w:rsidP="00C52689">
      <w:pPr>
        <w:pStyle w:val="TOC2"/>
        <w:rPr>
          <w:rFonts w:eastAsiaTheme="minorEastAsia" w:cstheme="minorBidi"/>
          <w:noProof/>
          <w:szCs w:val="24"/>
          <w:lang w:eastAsia="ja-JP"/>
        </w:rPr>
      </w:pPr>
      <w:r>
        <w:rPr>
          <w:noProof/>
        </w:rPr>
        <w:t>5.7</w:t>
      </w:r>
      <w:r>
        <w:rPr>
          <w:rFonts w:eastAsiaTheme="minorEastAsia" w:cstheme="minorBidi"/>
          <w:noProof/>
          <w:szCs w:val="24"/>
          <w:lang w:eastAsia="ja-JP"/>
        </w:rPr>
        <w:tab/>
      </w:r>
      <w:r>
        <w:rPr>
          <w:noProof/>
        </w:rPr>
        <w:t>summary of Liquid Absorption Behavior Chapter</w:t>
      </w:r>
      <w:r>
        <w:rPr>
          <w:noProof/>
        </w:rPr>
        <w:tab/>
      </w:r>
      <w:r>
        <w:rPr>
          <w:noProof/>
        </w:rPr>
        <w:fldChar w:fldCharType="begin"/>
      </w:r>
      <w:r>
        <w:rPr>
          <w:noProof/>
        </w:rPr>
        <w:instrText xml:space="preserve"> PAGEREF _Toc346311020 \h </w:instrText>
      </w:r>
      <w:r>
        <w:rPr>
          <w:noProof/>
        </w:rPr>
      </w:r>
      <w:r>
        <w:rPr>
          <w:noProof/>
        </w:rPr>
        <w:fldChar w:fldCharType="separate"/>
      </w:r>
      <w:r w:rsidR="008A1992">
        <w:rPr>
          <w:noProof/>
        </w:rPr>
        <w:t>108</w:t>
      </w:r>
      <w:r>
        <w:rPr>
          <w:noProof/>
        </w:rPr>
        <w:fldChar w:fldCharType="end"/>
      </w:r>
    </w:p>
    <w:p w14:paraId="2047D90B" w14:textId="77777777" w:rsidR="00C52689" w:rsidRDefault="00C52689" w:rsidP="00C52689">
      <w:pPr>
        <w:pStyle w:val="TOC1"/>
        <w:tabs>
          <w:tab w:val="clear" w:pos="8460"/>
          <w:tab w:val="right" w:leader="dot" w:pos="8550"/>
        </w:tabs>
        <w:rPr>
          <w:noProof/>
        </w:rPr>
      </w:pPr>
    </w:p>
    <w:p w14:paraId="50412FBE" w14:textId="257F50B4" w:rsidR="006E0C96" w:rsidRDefault="00C52689" w:rsidP="00C52689">
      <w:pPr>
        <w:pStyle w:val="TOC1"/>
        <w:tabs>
          <w:tab w:val="clear" w:pos="8460"/>
          <w:tab w:val="right" w:leader="dot" w:pos="8550"/>
        </w:tabs>
        <w:rPr>
          <w:rFonts w:eastAsiaTheme="minorEastAsia" w:cstheme="minorBidi"/>
          <w:b w:val="0"/>
          <w:bCs w:val="0"/>
          <w:caps w:val="0"/>
          <w:noProof/>
          <w:szCs w:val="24"/>
          <w:lang w:eastAsia="ja-JP"/>
        </w:rPr>
      </w:pPr>
      <w:r>
        <w:rPr>
          <w:noProof/>
        </w:rPr>
        <w:t xml:space="preserve">chapter 6: </w:t>
      </w:r>
      <w:r w:rsidR="006E0C96">
        <w:rPr>
          <w:noProof/>
        </w:rPr>
        <w:t>The Effect of Long-term Hydraulic Fluid Contamination on Flexural Properties for Quartz-Reinforced Laminates</w:t>
      </w:r>
      <w:r w:rsidR="006E0C96">
        <w:rPr>
          <w:noProof/>
        </w:rPr>
        <w:tab/>
      </w:r>
      <w:r w:rsidR="006E0C96">
        <w:rPr>
          <w:noProof/>
        </w:rPr>
        <w:fldChar w:fldCharType="begin"/>
      </w:r>
      <w:r w:rsidR="006E0C96">
        <w:rPr>
          <w:noProof/>
        </w:rPr>
        <w:instrText xml:space="preserve"> PAGEREF _Toc346311022 \h </w:instrText>
      </w:r>
      <w:r w:rsidR="006E0C96">
        <w:rPr>
          <w:noProof/>
        </w:rPr>
      </w:r>
      <w:r w:rsidR="006E0C96">
        <w:rPr>
          <w:noProof/>
        </w:rPr>
        <w:fldChar w:fldCharType="separate"/>
      </w:r>
      <w:r w:rsidR="008A1992">
        <w:rPr>
          <w:noProof/>
        </w:rPr>
        <w:t>110</w:t>
      </w:r>
      <w:r w:rsidR="006E0C96">
        <w:rPr>
          <w:noProof/>
        </w:rPr>
        <w:fldChar w:fldCharType="end"/>
      </w:r>
    </w:p>
    <w:p w14:paraId="6801E7CE" w14:textId="77777777" w:rsidR="00313244" w:rsidRDefault="00313244" w:rsidP="00C52689">
      <w:pPr>
        <w:pStyle w:val="TOC2"/>
        <w:rPr>
          <w:noProof/>
        </w:rPr>
      </w:pPr>
    </w:p>
    <w:p w14:paraId="6FD174B2" w14:textId="77777777" w:rsidR="006E0C96" w:rsidRDefault="006E0C96" w:rsidP="00C52689">
      <w:pPr>
        <w:pStyle w:val="TOC2"/>
        <w:rPr>
          <w:rFonts w:eastAsiaTheme="minorEastAsia" w:cstheme="minorBidi"/>
          <w:noProof/>
          <w:szCs w:val="24"/>
          <w:lang w:eastAsia="ja-JP"/>
        </w:rPr>
      </w:pPr>
      <w:r>
        <w:rPr>
          <w:noProof/>
        </w:rPr>
        <w:lastRenderedPageBreak/>
        <w:t>6.1</w:t>
      </w:r>
      <w:r>
        <w:rPr>
          <w:rFonts w:eastAsiaTheme="minorEastAsia" w:cstheme="minorBidi"/>
          <w:noProof/>
          <w:szCs w:val="24"/>
          <w:lang w:eastAsia="ja-JP"/>
        </w:rPr>
        <w:tab/>
      </w:r>
      <w:r>
        <w:rPr>
          <w:noProof/>
        </w:rPr>
        <w:t>Experimental Procedure for Hydraulic Fluid Absorption of Quartz-Reinforced Flexural Specimens</w:t>
      </w:r>
      <w:r>
        <w:rPr>
          <w:noProof/>
        </w:rPr>
        <w:tab/>
      </w:r>
      <w:r>
        <w:rPr>
          <w:noProof/>
        </w:rPr>
        <w:fldChar w:fldCharType="begin"/>
      </w:r>
      <w:r>
        <w:rPr>
          <w:noProof/>
        </w:rPr>
        <w:instrText xml:space="preserve"> PAGEREF _Toc346311023 \h </w:instrText>
      </w:r>
      <w:r>
        <w:rPr>
          <w:noProof/>
        </w:rPr>
      </w:r>
      <w:r>
        <w:rPr>
          <w:noProof/>
        </w:rPr>
        <w:fldChar w:fldCharType="separate"/>
      </w:r>
      <w:r w:rsidR="008A1992">
        <w:rPr>
          <w:noProof/>
        </w:rPr>
        <w:t>111</w:t>
      </w:r>
      <w:r>
        <w:rPr>
          <w:noProof/>
        </w:rPr>
        <w:fldChar w:fldCharType="end"/>
      </w:r>
    </w:p>
    <w:p w14:paraId="62D3877E" w14:textId="77777777" w:rsidR="00313244" w:rsidRDefault="00313244" w:rsidP="00C52689">
      <w:pPr>
        <w:pStyle w:val="TOC2"/>
        <w:rPr>
          <w:noProof/>
        </w:rPr>
      </w:pPr>
    </w:p>
    <w:p w14:paraId="5176C75A" w14:textId="77777777" w:rsidR="006E0C96" w:rsidRDefault="006E0C96" w:rsidP="00C52689">
      <w:pPr>
        <w:pStyle w:val="TOC2"/>
        <w:rPr>
          <w:rFonts w:eastAsiaTheme="minorEastAsia" w:cstheme="minorBidi"/>
          <w:noProof/>
          <w:szCs w:val="24"/>
          <w:lang w:eastAsia="ja-JP"/>
        </w:rPr>
      </w:pPr>
      <w:r>
        <w:rPr>
          <w:noProof/>
        </w:rPr>
        <w:t>6.2</w:t>
      </w:r>
      <w:r>
        <w:rPr>
          <w:rFonts w:eastAsiaTheme="minorEastAsia" w:cstheme="minorBidi"/>
          <w:noProof/>
          <w:szCs w:val="24"/>
          <w:lang w:eastAsia="ja-JP"/>
        </w:rPr>
        <w:tab/>
      </w:r>
      <w:r>
        <w:rPr>
          <w:noProof/>
        </w:rPr>
        <w:t>Hydraulic Fluid Absorption for Quartz-Reinforced Laminates</w:t>
      </w:r>
      <w:r>
        <w:rPr>
          <w:noProof/>
        </w:rPr>
        <w:tab/>
      </w:r>
      <w:r>
        <w:rPr>
          <w:noProof/>
        </w:rPr>
        <w:fldChar w:fldCharType="begin"/>
      </w:r>
      <w:r>
        <w:rPr>
          <w:noProof/>
        </w:rPr>
        <w:instrText xml:space="preserve"> PAGEREF _Toc346311024 \h </w:instrText>
      </w:r>
      <w:r>
        <w:rPr>
          <w:noProof/>
        </w:rPr>
      </w:r>
      <w:r>
        <w:rPr>
          <w:noProof/>
        </w:rPr>
        <w:fldChar w:fldCharType="separate"/>
      </w:r>
      <w:r w:rsidR="008A1992">
        <w:rPr>
          <w:noProof/>
        </w:rPr>
        <w:t>113</w:t>
      </w:r>
      <w:r>
        <w:rPr>
          <w:noProof/>
        </w:rPr>
        <w:fldChar w:fldCharType="end"/>
      </w:r>
    </w:p>
    <w:p w14:paraId="4C43DF1F" w14:textId="77777777" w:rsidR="00313244" w:rsidRDefault="00313244" w:rsidP="00C52689">
      <w:pPr>
        <w:pStyle w:val="TOC3"/>
        <w:rPr>
          <w:noProof/>
        </w:rPr>
      </w:pPr>
    </w:p>
    <w:p w14:paraId="54CA96BE" w14:textId="77777777" w:rsidR="006E0C96" w:rsidRDefault="006E0C96" w:rsidP="00C52689">
      <w:pPr>
        <w:pStyle w:val="TOC3"/>
        <w:rPr>
          <w:rFonts w:eastAsiaTheme="minorEastAsia" w:cstheme="minorBidi"/>
          <w:noProof/>
          <w:szCs w:val="24"/>
          <w:lang w:eastAsia="ja-JP"/>
        </w:rPr>
      </w:pPr>
      <w:r>
        <w:rPr>
          <w:noProof/>
        </w:rPr>
        <w:t>6.2.1</w:t>
      </w:r>
      <w:r>
        <w:rPr>
          <w:rFonts w:eastAsiaTheme="minorEastAsia" w:cstheme="minorBidi"/>
          <w:noProof/>
          <w:szCs w:val="24"/>
          <w:lang w:eastAsia="ja-JP"/>
        </w:rPr>
        <w:tab/>
      </w:r>
      <w:r>
        <w:rPr>
          <w:noProof/>
        </w:rPr>
        <w:t>Long-term Hydraulic Fluid Absorption for Quartz/BMI (AQIII/BMI) Flexural Specimens</w:t>
      </w:r>
      <w:r>
        <w:rPr>
          <w:noProof/>
        </w:rPr>
        <w:tab/>
      </w:r>
      <w:r>
        <w:rPr>
          <w:noProof/>
        </w:rPr>
        <w:fldChar w:fldCharType="begin"/>
      </w:r>
      <w:r>
        <w:rPr>
          <w:noProof/>
        </w:rPr>
        <w:instrText xml:space="preserve"> PAGEREF _Toc346311025 \h </w:instrText>
      </w:r>
      <w:r>
        <w:rPr>
          <w:noProof/>
        </w:rPr>
      </w:r>
      <w:r>
        <w:rPr>
          <w:noProof/>
        </w:rPr>
        <w:fldChar w:fldCharType="separate"/>
      </w:r>
      <w:r w:rsidR="008A1992">
        <w:rPr>
          <w:noProof/>
        </w:rPr>
        <w:t>113</w:t>
      </w:r>
      <w:r>
        <w:rPr>
          <w:noProof/>
        </w:rPr>
        <w:fldChar w:fldCharType="end"/>
      </w:r>
    </w:p>
    <w:p w14:paraId="72268EDE" w14:textId="77777777" w:rsidR="00313244" w:rsidRDefault="00313244" w:rsidP="00C52689">
      <w:pPr>
        <w:pStyle w:val="TOC3"/>
        <w:rPr>
          <w:noProof/>
        </w:rPr>
      </w:pPr>
    </w:p>
    <w:p w14:paraId="7B05E910" w14:textId="77777777" w:rsidR="006E0C96" w:rsidRDefault="006E0C96" w:rsidP="00C52689">
      <w:pPr>
        <w:pStyle w:val="TOC3"/>
        <w:rPr>
          <w:rFonts w:eastAsiaTheme="minorEastAsia" w:cstheme="minorBidi"/>
          <w:noProof/>
          <w:szCs w:val="24"/>
          <w:lang w:eastAsia="ja-JP"/>
        </w:rPr>
      </w:pPr>
      <w:r>
        <w:rPr>
          <w:noProof/>
        </w:rPr>
        <w:t>6.2.2</w:t>
      </w:r>
      <w:r>
        <w:rPr>
          <w:rFonts w:eastAsiaTheme="minorEastAsia" w:cstheme="minorBidi"/>
          <w:noProof/>
          <w:szCs w:val="24"/>
          <w:lang w:eastAsia="ja-JP"/>
        </w:rPr>
        <w:tab/>
      </w:r>
      <w:r>
        <w:rPr>
          <w:noProof/>
        </w:rPr>
        <w:t>Long-term Hydraulic Fluid Absorption for Quartz/Epoxy (AQIII/EX-1522) Flexural Specimens</w:t>
      </w:r>
      <w:r>
        <w:rPr>
          <w:noProof/>
        </w:rPr>
        <w:tab/>
      </w:r>
      <w:r>
        <w:rPr>
          <w:noProof/>
        </w:rPr>
        <w:fldChar w:fldCharType="begin"/>
      </w:r>
      <w:r>
        <w:rPr>
          <w:noProof/>
        </w:rPr>
        <w:instrText xml:space="preserve"> PAGEREF _Toc346311026 \h </w:instrText>
      </w:r>
      <w:r>
        <w:rPr>
          <w:noProof/>
        </w:rPr>
      </w:r>
      <w:r>
        <w:rPr>
          <w:noProof/>
        </w:rPr>
        <w:fldChar w:fldCharType="separate"/>
      </w:r>
      <w:r w:rsidR="008A1992">
        <w:rPr>
          <w:noProof/>
        </w:rPr>
        <w:t>115</w:t>
      </w:r>
      <w:r>
        <w:rPr>
          <w:noProof/>
        </w:rPr>
        <w:fldChar w:fldCharType="end"/>
      </w:r>
    </w:p>
    <w:p w14:paraId="0E1C639F" w14:textId="77777777" w:rsidR="00313244" w:rsidRDefault="00313244" w:rsidP="00C52689">
      <w:pPr>
        <w:pStyle w:val="TOC2"/>
        <w:rPr>
          <w:noProof/>
        </w:rPr>
      </w:pPr>
    </w:p>
    <w:p w14:paraId="2CCAF630" w14:textId="77777777" w:rsidR="006E0C96" w:rsidRDefault="006E0C96" w:rsidP="00C52689">
      <w:pPr>
        <w:pStyle w:val="TOC2"/>
        <w:rPr>
          <w:rFonts w:eastAsiaTheme="minorEastAsia" w:cstheme="minorBidi"/>
          <w:noProof/>
          <w:szCs w:val="24"/>
          <w:lang w:eastAsia="ja-JP"/>
        </w:rPr>
      </w:pPr>
      <w:r>
        <w:rPr>
          <w:noProof/>
        </w:rPr>
        <w:t>6.3</w:t>
      </w:r>
      <w:r>
        <w:rPr>
          <w:rFonts w:eastAsiaTheme="minorEastAsia" w:cstheme="minorBidi"/>
          <w:noProof/>
          <w:szCs w:val="24"/>
          <w:lang w:eastAsia="ja-JP"/>
        </w:rPr>
        <w:tab/>
      </w:r>
      <w:r>
        <w:rPr>
          <w:noProof/>
        </w:rPr>
        <w:t>Evaluation of Hydraulic Fluid Contamination on Laminate Flexural Property</w:t>
      </w:r>
      <w:r>
        <w:rPr>
          <w:noProof/>
        </w:rPr>
        <w:tab/>
      </w:r>
      <w:r>
        <w:rPr>
          <w:noProof/>
        </w:rPr>
        <w:fldChar w:fldCharType="begin"/>
      </w:r>
      <w:r>
        <w:rPr>
          <w:noProof/>
        </w:rPr>
        <w:instrText xml:space="preserve"> PAGEREF _Toc346311027 \h </w:instrText>
      </w:r>
      <w:r>
        <w:rPr>
          <w:noProof/>
        </w:rPr>
      </w:r>
      <w:r>
        <w:rPr>
          <w:noProof/>
        </w:rPr>
        <w:fldChar w:fldCharType="separate"/>
      </w:r>
      <w:r w:rsidR="008A1992">
        <w:rPr>
          <w:noProof/>
        </w:rPr>
        <w:t>117</w:t>
      </w:r>
      <w:r>
        <w:rPr>
          <w:noProof/>
        </w:rPr>
        <w:fldChar w:fldCharType="end"/>
      </w:r>
    </w:p>
    <w:p w14:paraId="78C73A81" w14:textId="77777777" w:rsidR="00313244" w:rsidRDefault="00313244" w:rsidP="00C52689">
      <w:pPr>
        <w:pStyle w:val="TOC3"/>
        <w:rPr>
          <w:noProof/>
        </w:rPr>
      </w:pPr>
    </w:p>
    <w:p w14:paraId="01534E28" w14:textId="77777777" w:rsidR="006E0C96" w:rsidRDefault="006E0C96" w:rsidP="00C52689">
      <w:pPr>
        <w:pStyle w:val="TOC3"/>
        <w:rPr>
          <w:rFonts w:eastAsiaTheme="minorEastAsia" w:cstheme="minorBidi"/>
          <w:noProof/>
          <w:szCs w:val="24"/>
          <w:lang w:eastAsia="ja-JP"/>
        </w:rPr>
      </w:pPr>
      <w:r>
        <w:rPr>
          <w:noProof/>
        </w:rPr>
        <w:t>6.3.1</w:t>
      </w:r>
      <w:r>
        <w:rPr>
          <w:rFonts w:eastAsiaTheme="minorEastAsia" w:cstheme="minorBidi"/>
          <w:noProof/>
          <w:szCs w:val="24"/>
          <w:lang w:eastAsia="ja-JP"/>
        </w:rPr>
        <w:tab/>
      </w:r>
      <w:r>
        <w:rPr>
          <w:noProof/>
        </w:rPr>
        <w:t>Effect of Humidity Exposure, Processing Pressure, and Hydraulic Fluid on Laminate Flexural Stiffness</w:t>
      </w:r>
      <w:r>
        <w:rPr>
          <w:noProof/>
        </w:rPr>
        <w:tab/>
      </w:r>
      <w:r>
        <w:rPr>
          <w:noProof/>
        </w:rPr>
        <w:fldChar w:fldCharType="begin"/>
      </w:r>
      <w:r>
        <w:rPr>
          <w:noProof/>
        </w:rPr>
        <w:instrText xml:space="preserve"> PAGEREF _Toc346311028 \h </w:instrText>
      </w:r>
      <w:r>
        <w:rPr>
          <w:noProof/>
        </w:rPr>
      </w:r>
      <w:r>
        <w:rPr>
          <w:noProof/>
        </w:rPr>
        <w:fldChar w:fldCharType="separate"/>
      </w:r>
      <w:r w:rsidR="008A1992">
        <w:rPr>
          <w:noProof/>
        </w:rPr>
        <w:t>117</w:t>
      </w:r>
      <w:r>
        <w:rPr>
          <w:noProof/>
        </w:rPr>
        <w:fldChar w:fldCharType="end"/>
      </w:r>
    </w:p>
    <w:p w14:paraId="276F6D77" w14:textId="77777777" w:rsidR="00313244" w:rsidRDefault="00313244" w:rsidP="00C52689">
      <w:pPr>
        <w:pStyle w:val="TOC3"/>
        <w:rPr>
          <w:noProof/>
        </w:rPr>
      </w:pPr>
    </w:p>
    <w:p w14:paraId="73EA0947" w14:textId="77777777" w:rsidR="006E0C96" w:rsidRDefault="006E0C96" w:rsidP="00C52689">
      <w:pPr>
        <w:pStyle w:val="TOC3"/>
        <w:rPr>
          <w:rFonts w:eastAsiaTheme="minorEastAsia" w:cstheme="minorBidi"/>
          <w:noProof/>
          <w:szCs w:val="24"/>
          <w:lang w:eastAsia="ja-JP"/>
        </w:rPr>
      </w:pPr>
      <w:r>
        <w:rPr>
          <w:noProof/>
        </w:rPr>
        <w:t>6.3.2</w:t>
      </w:r>
      <w:r>
        <w:rPr>
          <w:rFonts w:eastAsiaTheme="minorEastAsia" w:cstheme="minorBidi"/>
          <w:noProof/>
          <w:szCs w:val="24"/>
          <w:lang w:eastAsia="ja-JP"/>
        </w:rPr>
        <w:tab/>
      </w:r>
      <w:r>
        <w:rPr>
          <w:noProof/>
        </w:rPr>
        <w:t>Effect of Humidity Exposure, Processing Pressure, and Hydraulic Fluid on Laminate Flexural Strength</w:t>
      </w:r>
      <w:r>
        <w:rPr>
          <w:noProof/>
        </w:rPr>
        <w:tab/>
      </w:r>
      <w:r>
        <w:rPr>
          <w:noProof/>
        </w:rPr>
        <w:fldChar w:fldCharType="begin"/>
      </w:r>
      <w:r>
        <w:rPr>
          <w:noProof/>
        </w:rPr>
        <w:instrText xml:space="preserve"> PAGEREF _Toc346311029 \h </w:instrText>
      </w:r>
      <w:r>
        <w:rPr>
          <w:noProof/>
        </w:rPr>
      </w:r>
      <w:r>
        <w:rPr>
          <w:noProof/>
        </w:rPr>
        <w:fldChar w:fldCharType="separate"/>
      </w:r>
      <w:r w:rsidR="008A1992">
        <w:rPr>
          <w:noProof/>
        </w:rPr>
        <w:t>118</w:t>
      </w:r>
      <w:r>
        <w:rPr>
          <w:noProof/>
        </w:rPr>
        <w:fldChar w:fldCharType="end"/>
      </w:r>
    </w:p>
    <w:p w14:paraId="2F9CA4EA" w14:textId="77777777" w:rsidR="00313244" w:rsidRDefault="00313244" w:rsidP="00C52689">
      <w:pPr>
        <w:pStyle w:val="TOC2"/>
        <w:rPr>
          <w:noProof/>
        </w:rPr>
      </w:pPr>
    </w:p>
    <w:p w14:paraId="7472E433" w14:textId="77777777" w:rsidR="006E0C96" w:rsidRDefault="006E0C96" w:rsidP="00C52689">
      <w:pPr>
        <w:pStyle w:val="TOC2"/>
        <w:rPr>
          <w:rFonts w:eastAsiaTheme="minorEastAsia" w:cstheme="minorBidi"/>
          <w:noProof/>
          <w:szCs w:val="24"/>
          <w:lang w:eastAsia="ja-JP"/>
        </w:rPr>
      </w:pPr>
      <w:r>
        <w:rPr>
          <w:noProof/>
        </w:rPr>
        <w:t>6.4</w:t>
      </w:r>
      <w:r>
        <w:rPr>
          <w:rFonts w:eastAsiaTheme="minorEastAsia" w:cstheme="minorBidi"/>
          <w:noProof/>
          <w:szCs w:val="24"/>
          <w:lang w:eastAsia="ja-JP"/>
        </w:rPr>
        <w:tab/>
      </w:r>
      <w:r>
        <w:rPr>
          <w:noProof/>
        </w:rPr>
        <w:t>Percent Reduction of Flexural Properties due to Long-Term Hydraulic Fluid Contamination</w:t>
      </w:r>
      <w:r>
        <w:rPr>
          <w:noProof/>
        </w:rPr>
        <w:tab/>
      </w:r>
      <w:r>
        <w:rPr>
          <w:noProof/>
        </w:rPr>
        <w:fldChar w:fldCharType="begin"/>
      </w:r>
      <w:r>
        <w:rPr>
          <w:noProof/>
        </w:rPr>
        <w:instrText xml:space="preserve"> PAGEREF _Toc346311030 \h </w:instrText>
      </w:r>
      <w:r>
        <w:rPr>
          <w:noProof/>
        </w:rPr>
      </w:r>
      <w:r>
        <w:rPr>
          <w:noProof/>
        </w:rPr>
        <w:fldChar w:fldCharType="separate"/>
      </w:r>
      <w:r w:rsidR="008A1992">
        <w:rPr>
          <w:noProof/>
        </w:rPr>
        <w:t>121</w:t>
      </w:r>
      <w:r>
        <w:rPr>
          <w:noProof/>
        </w:rPr>
        <w:fldChar w:fldCharType="end"/>
      </w:r>
    </w:p>
    <w:p w14:paraId="6C4F0C6D" w14:textId="77777777" w:rsidR="00313244" w:rsidRDefault="00313244" w:rsidP="00C52689">
      <w:pPr>
        <w:pStyle w:val="TOC3"/>
        <w:rPr>
          <w:noProof/>
        </w:rPr>
      </w:pPr>
    </w:p>
    <w:p w14:paraId="76A96432" w14:textId="77777777" w:rsidR="006E0C96" w:rsidRDefault="006E0C96" w:rsidP="00C52689">
      <w:pPr>
        <w:pStyle w:val="TOC3"/>
        <w:rPr>
          <w:rFonts w:eastAsiaTheme="minorEastAsia" w:cstheme="minorBidi"/>
          <w:noProof/>
          <w:szCs w:val="24"/>
          <w:lang w:eastAsia="ja-JP"/>
        </w:rPr>
      </w:pPr>
      <w:r>
        <w:rPr>
          <w:noProof/>
        </w:rPr>
        <w:t>6.4.1</w:t>
      </w:r>
      <w:r>
        <w:rPr>
          <w:rFonts w:eastAsiaTheme="minorEastAsia" w:cstheme="minorBidi"/>
          <w:noProof/>
          <w:szCs w:val="24"/>
          <w:lang w:eastAsia="ja-JP"/>
        </w:rPr>
        <w:tab/>
      </w:r>
      <w:r>
        <w:rPr>
          <w:noProof/>
        </w:rPr>
        <w:t>Effect of Prepreg Humidity Exposure on Flexural Stiffness Percent Reduction</w:t>
      </w:r>
      <w:r>
        <w:rPr>
          <w:noProof/>
        </w:rPr>
        <w:tab/>
      </w:r>
      <w:r>
        <w:rPr>
          <w:noProof/>
        </w:rPr>
        <w:fldChar w:fldCharType="begin"/>
      </w:r>
      <w:r>
        <w:rPr>
          <w:noProof/>
        </w:rPr>
        <w:instrText xml:space="preserve"> PAGEREF _Toc346311031 \h </w:instrText>
      </w:r>
      <w:r>
        <w:rPr>
          <w:noProof/>
        </w:rPr>
      </w:r>
      <w:r>
        <w:rPr>
          <w:noProof/>
        </w:rPr>
        <w:fldChar w:fldCharType="separate"/>
      </w:r>
      <w:r w:rsidR="008A1992">
        <w:rPr>
          <w:noProof/>
        </w:rPr>
        <w:t>121</w:t>
      </w:r>
      <w:r>
        <w:rPr>
          <w:noProof/>
        </w:rPr>
        <w:fldChar w:fldCharType="end"/>
      </w:r>
    </w:p>
    <w:p w14:paraId="2E6B7AB4" w14:textId="77777777" w:rsidR="00313244" w:rsidRDefault="00313244" w:rsidP="00C52689">
      <w:pPr>
        <w:pStyle w:val="TOC3"/>
        <w:rPr>
          <w:noProof/>
        </w:rPr>
      </w:pPr>
    </w:p>
    <w:p w14:paraId="5B75D31D" w14:textId="77777777" w:rsidR="006E0C96" w:rsidRDefault="006E0C96" w:rsidP="00C52689">
      <w:pPr>
        <w:pStyle w:val="TOC3"/>
        <w:rPr>
          <w:rFonts w:eastAsiaTheme="minorEastAsia" w:cstheme="minorBidi"/>
          <w:noProof/>
          <w:szCs w:val="24"/>
          <w:lang w:eastAsia="ja-JP"/>
        </w:rPr>
      </w:pPr>
      <w:r>
        <w:rPr>
          <w:noProof/>
        </w:rPr>
        <w:t>6.4.2</w:t>
      </w:r>
      <w:r>
        <w:rPr>
          <w:rFonts w:eastAsiaTheme="minorEastAsia" w:cstheme="minorBidi"/>
          <w:noProof/>
          <w:szCs w:val="24"/>
          <w:lang w:eastAsia="ja-JP"/>
        </w:rPr>
        <w:tab/>
      </w:r>
      <w:r>
        <w:rPr>
          <w:noProof/>
        </w:rPr>
        <w:t>Effect of Fabrication Pressure on Flexural Stiffness Percent Reduction</w:t>
      </w:r>
      <w:r>
        <w:rPr>
          <w:noProof/>
        </w:rPr>
        <w:tab/>
      </w:r>
      <w:r>
        <w:rPr>
          <w:noProof/>
        </w:rPr>
        <w:fldChar w:fldCharType="begin"/>
      </w:r>
      <w:r>
        <w:rPr>
          <w:noProof/>
        </w:rPr>
        <w:instrText xml:space="preserve"> PAGEREF _Toc346311032 \h </w:instrText>
      </w:r>
      <w:r>
        <w:rPr>
          <w:noProof/>
        </w:rPr>
      </w:r>
      <w:r>
        <w:rPr>
          <w:noProof/>
        </w:rPr>
        <w:fldChar w:fldCharType="separate"/>
      </w:r>
      <w:r w:rsidR="008A1992">
        <w:rPr>
          <w:noProof/>
        </w:rPr>
        <w:t>122</w:t>
      </w:r>
      <w:r>
        <w:rPr>
          <w:noProof/>
        </w:rPr>
        <w:fldChar w:fldCharType="end"/>
      </w:r>
    </w:p>
    <w:p w14:paraId="454CCD44" w14:textId="77777777" w:rsidR="00313244" w:rsidRDefault="00313244" w:rsidP="00C52689">
      <w:pPr>
        <w:pStyle w:val="TOC3"/>
        <w:rPr>
          <w:noProof/>
        </w:rPr>
      </w:pPr>
    </w:p>
    <w:p w14:paraId="5230F09A" w14:textId="77777777" w:rsidR="006E0C96" w:rsidRDefault="006E0C96" w:rsidP="00C52689">
      <w:pPr>
        <w:pStyle w:val="TOC3"/>
        <w:rPr>
          <w:rFonts w:eastAsiaTheme="minorEastAsia" w:cstheme="minorBidi"/>
          <w:noProof/>
          <w:szCs w:val="24"/>
          <w:lang w:eastAsia="ja-JP"/>
        </w:rPr>
      </w:pPr>
      <w:r>
        <w:rPr>
          <w:noProof/>
        </w:rPr>
        <w:t>6.4.3</w:t>
      </w:r>
      <w:r>
        <w:rPr>
          <w:rFonts w:eastAsiaTheme="minorEastAsia" w:cstheme="minorBidi"/>
          <w:noProof/>
          <w:szCs w:val="24"/>
          <w:lang w:eastAsia="ja-JP"/>
        </w:rPr>
        <w:tab/>
      </w:r>
      <w:r>
        <w:rPr>
          <w:noProof/>
        </w:rPr>
        <w:t>Effect of Prepreg Humidity Exposure on Flexural Strength Percent Reduction</w:t>
      </w:r>
      <w:r>
        <w:rPr>
          <w:noProof/>
        </w:rPr>
        <w:tab/>
      </w:r>
      <w:r>
        <w:rPr>
          <w:noProof/>
        </w:rPr>
        <w:fldChar w:fldCharType="begin"/>
      </w:r>
      <w:r>
        <w:rPr>
          <w:noProof/>
        </w:rPr>
        <w:instrText xml:space="preserve"> PAGEREF _Toc346311033 \h </w:instrText>
      </w:r>
      <w:r>
        <w:rPr>
          <w:noProof/>
        </w:rPr>
      </w:r>
      <w:r>
        <w:rPr>
          <w:noProof/>
        </w:rPr>
        <w:fldChar w:fldCharType="separate"/>
      </w:r>
      <w:r w:rsidR="008A1992">
        <w:rPr>
          <w:noProof/>
        </w:rPr>
        <w:t>123</w:t>
      </w:r>
      <w:r>
        <w:rPr>
          <w:noProof/>
        </w:rPr>
        <w:fldChar w:fldCharType="end"/>
      </w:r>
    </w:p>
    <w:p w14:paraId="25F109E1" w14:textId="77777777" w:rsidR="00313244" w:rsidRDefault="00313244" w:rsidP="00C52689">
      <w:pPr>
        <w:pStyle w:val="TOC3"/>
        <w:rPr>
          <w:noProof/>
        </w:rPr>
      </w:pPr>
    </w:p>
    <w:p w14:paraId="2B14CB0A" w14:textId="77777777" w:rsidR="00313244" w:rsidRDefault="006E0C96" w:rsidP="00C52689">
      <w:pPr>
        <w:pStyle w:val="TOC3"/>
        <w:rPr>
          <w:noProof/>
        </w:rPr>
      </w:pPr>
      <w:r>
        <w:rPr>
          <w:noProof/>
        </w:rPr>
        <w:t>6.4.4</w:t>
      </w:r>
      <w:r>
        <w:rPr>
          <w:rFonts w:eastAsiaTheme="minorEastAsia" w:cstheme="minorBidi"/>
          <w:noProof/>
          <w:szCs w:val="24"/>
          <w:lang w:eastAsia="ja-JP"/>
        </w:rPr>
        <w:tab/>
      </w:r>
      <w:r>
        <w:rPr>
          <w:noProof/>
        </w:rPr>
        <w:t>Effect of Fabrication Pressure on Flexural Strength Percent Reduction</w:t>
      </w:r>
      <w:r>
        <w:rPr>
          <w:noProof/>
        </w:rPr>
        <w:tab/>
      </w:r>
    </w:p>
    <w:p w14:paraId="3A8B2175" w14:textId="31AC97EB" w:rsidR="006E0C96" w:rsidRDefault="00313244" w:rsidP="00C52689">
      <w:pPr>
        <w:pStyle w:val="TOC3"/>
        <w:rPr>
          <w:rFonts w:eastAsiaTheme="minorEastAsia" w:cstheme="minorBidi"/>
          <w:noProof/>
          <w:szCs w:val="24"/>
          <w:lang w:eastAsia="ja-JP"/>
        </w:rPr>
      </w:pPr>
      <w:r>
        <w:rPr>
          <w:noProof/>
        </w:rPr>
        <w:tab/>
      </w:r>
      <w:r>
        <w:rPr>
          <w:noProof/>
        </w:rPr>
        <w:tab/>
      </w:r>
      <w:r>
        <w:rPr>
          <w:noProof/>
        </w:rPr>
        <w:tab/>
      </w:r>
      <w:r w:rsidR="006E0C96">
        <w:rPr>
          <w:noProof/>
        </w:rPr>
        <w:fldChar w:fldCharType="begin"/>
      </w:r>
      <w:r w:rsidR="006E0C96">
        <w:rPr>
          <w:noProof/>
        </w:rPr>
        <w:instrText xml:space="preserve"> PAGEREF _Toc346311034 \h </w:instrText>
      </w:r>
      <w:r w:rsidR="006E0C96">
        <w:rPr>
          <w:noProof/>
        </w:rPr>
      </w:r>
      <w:r w:rsidR="006E0C96">
        <w:rPr>
          <w:noProof/>
        </w:rPr>
        <w:fldChar w:fldCharType="separate"/>
      </w:r>
      <w:r w:rsidR="008A1992">
        <w:rPr>
          <w:noProof/>
        </w:rPr>
        <w:t>124</w:t>
      </w:r>
      <w:r w:rsidR="006E0C96">
        <w:rPr>
          <w:noProof/>
        </w:rPr>
        <w:fldChar w:fldCharType="end"/>
      </w:r>
    </w:p>
    <w:p w14:paraId="77E5ED4B" w14:textId="77777777" w:rsidR="006E0C96" w:rsidRDefault="006E0C96" w:rsidP="00C52689">
      <w:pPr>
        <w:pStyle w:val="TOC2"/>
        <w:rPr>
          <w:noProof/>
        </w:rPr>
      </w:pPr>
    </w:p>
    <w:p w14:paraId="068F535C" w14:textId="77777777" w:rsidR="006E0C96" w:rsidRDefault="006E0C96" w:rsidP="00C52689">
      <w:pPr>
        <w:pStyle w:val="TOC2"/>
        <w:rPr>
          <w:rFonts w:eastAsiaTheme="minorEastAsia" w:cstheme="minorBidi"/>
          <w:noProof/>
          <w:szCs w:val="24"/>
          <w:lang w:eastAsia="ja-JP"/>
        </w:rPr>
      </w:pPr>
      <w:r>
        <w:rPr>
          <w:noProof/>
        </w:rPr>
        <w:t>6.5</w:t>
      </w:r>
      <w:r>
        <w:rPr>
          <w:rFonts w:eastAsiaTheme="minorEastAsia" w:cstheme="minorBidi"/>
          <w:noProof/>
          <w:szCs w:val="24"/>
          <w:lang w:eastAsia="ja-JP"/>
        </w:rPr>
        <w:tab/>
      </w:r>
      <w:r>
        <w:rPr>
          <w:noProof/>
        </w:rPr>
        <w:t>Contribution of Equilibrium Fluid Content on Flexural Properties of Quartz-Reinforced Laminates</w:t>
      </w:r>
      <w:r>
        <w:rPr>
          <w:noProof/>
        </w:rPr>
        <w:tab/>
      </w:r>
      <w:r>
        <w:rPr>
          <w:noProof/>
        </w:rPr>
        <w:fldChar w:fldCharType="begin"/>
      </w:r>
      <w:r>
        <w:rPr>
          <w:noProof/>
        </w:rPr>
        <w:instrText xml:space="preserve"> PAGEREF _Toc346311035 \h </w:instrText>
      </w:r>
      <w:r>
        <w:rPr>
          <w:noProof/>
        </w:rPr>
      </w:r>
      <w:r>
        <w:rPr>
          <w:noProof/>
        </w:rPr>
        <w:fldChar w:fldCharType="separate"/>
      </w:r>
      <w:r w:rsidR="008A1992">
        <w:rPr>
          <w:noProof/>
        </w:rPr>
        <w:t>125</w:t>
      </w:r>
      <w:r>
        <w:rPr>
          <w:noProof/>
        </w:rPr>
        <w:fldChar w:fldCharType="end"/>
      </w:r>
    </w:p>
    <w:p w14:paraId="402186A1" w14:textId="77777777" w:rsidR="006E0C96" w:rsidRDefault="006E0C96" w:rsidP="00C52689">
      <w:pPr>
        <w:pStyle w:val="TOC3"/>
        <w:rPr>
          <w:noProof/>
        </w:rPr>
      </w:pPr>
    </w:p>
    <w:p w14:paraId="437D9955" w14:textId="77777777" w:rsidR="006E0C96" w:rsidRDefault="006E0C96" w:rsidP="00C52689">
      <w:pPr>
        <w:pStyle w:val="TOC3"/>
        <w:rPr>
          <w:rFonts w:eastAsiaTheme="minorEastAsia" w:cstheme="minorBidi"/>
          <w:noProof/>
          <w:szCs w:val="24"/>
          <w:lang w:eastAsia="ja-JP"/>
        </w:rPr>
      </w:pPr>
      <w:r>
        <w:rPr>
          <w:noProof/>
        </w:rPr>
        <w:t>6.5.1</w:t>
      </w:r>
      <w:r>
        <w:rPr>
          <w:rFonts w:eastAsiaTheme="minorEastAsia" w:cstheme="minorBidi"/>
          <w:noProof/>
          <w:szCs w:val="24"/>
          <w:lang w:eastAsia="ja-JP"/>
        </w:rPr>
        <w:tab/>
      </w:r>
      <w:r>
        <w:rPr>
          <w:noProof/>
        </w:rPr>
        <w:t>Effect of Equilibrium Fluid Content on Flexural Stiffness Percent Reduction</w:t>
      </w:r>
      <w:r>
        <w:rPr>
          <w:noProof/>
        </w:rPr>
        <w:tab/>
      </w:r>
      <w:r>
        <w:rPr>
          <w:noProof/>
        </w:rPr>
        <w:fldChar w:fldCharType="begin"/>
      </w:r>
      <w:r>
        <w:rPr>
          <w:noProof/>
        </w:rPr>
        <w:instrText xml:space="preserve"> PAGEREF _Toc346311036 \h </w:instrText>
      </w:r>
      <w:r>
        <w:rPr>
          <w:noProof/>
        </w:rPr>
      </w:r>
      <w:r>
        <w:rPr>
          <w:noProof/>
        </w:rPr>
        <w:fldChar w:fldCharType="separate"/>
      </w:r>
      <w:r w:rsidR="008A1992">
        <w:rPr>
          <w:noProof/>
        </w:rPr>
        <w:t>125</w:t>
      </w:r>
      <w:r>
        <w:rPr>
          <w:noProof/>
        </w:rPr>
        <w:fldChar w:fldCharType="end"/>
      </w:r>
    </w:p>
    <w:p w14:paraId="4ACD46CA" w14:textId="77777777" w:rsidR="006E0C96" w:rsidRDefault="006E0C96" w:rsidP="00C52689">
      <w:pPr>
        <w:pStyle w:val="TOC3"/>
        <w:rPr>
          <w:noProof/>
        </w:rPr>
      </w:pPr>
    </w:p>
    <w:p w14:paraId="44703276" w14:textId="77777777" w:rsidR="006E0C96" w:rsidRDefault="006E0C96" w:rsidP="00C52689">
      <w:pPr>
        <w:pStyle w:val="TOC3"/>
        <w:rPr>
          <w:rFonts w:eastAsiaTheme="minorEastAsia" w:cstheme="minorBidi"/>
          <w:noProof/>
          <w:szCs w:val="24"/>
          <w:lang w:eastAsia="ja-JP"/>
        </w:rPr>
      </w:pPr>
      <w:r>
        <w:rPr>
          <w:noProof/>
        </w:rPr>
        <w:t>6.5.2</w:t>
      </w:r>
      <w:r>
        <w:rPr>
          <w:rFonts w:eastAsiaTheme="minorEastAsia" w:cstheme="minorBidi"/>
          <w:noProof/>
          <w:szCs w:val="24"/>
          <w:lang w:eastAsia="ja-JP"/>
        </w:rPr>
        <w:tab/>
      </w:r>
      <w:r>
        <w:rPr>
          <w:noProof/>
        </w:rPr>
        <w:t>Effect of Equilibrium Fluid Content on Flexural Strength Percent Reduction</w:t>
      </w:r>
      <w:r>
        <w:rPr>
          <w:noProof/>
        </w:rPr>
        <w:tab/>
      </w:r>
      <w:r>
        <w:rPr>
          <w:noProof/>
        </w:rPr>
        <w:fldChar w:fldCharType="begin"/>
      </w:r>
      <w:r>
        <w:rPr>
          <w:noProof/>
        </w:rPr>
        <w:instrText xml:space="preserve"> PAGEREF _Toc346311037 \h </w:instrText>
      </w:r>
      <w:r>
        <w:rPr>
          <w:noProof/>
        </w:rPr>
      </w:r>
      <w:r>
        <w:rPr>
          <w:noProof/>
        </w:rPr>
        <w:fldChar w:fldCharType="separate"/>
      </w:r>
      <w:r w:rsidR="008A1992">
        <w:rPr>
          <w:noProof/>
        </w:rPr>
        <w:t>127</w:t>
      </w:r>
      <w:r>
        <w:rPr>
          <w:noProof/>
        </w:rPr>
        <w:fldChar w:fldCharType="end"/>
      </w:r>
    </w:p>
    <w:p w14:paraId="0DFE82A0" w14:textId="77777777" w:rsidR="006E0C96" w:rsidRDefault="006E0C96" w:rsidP="00C52689">
      <w:pPr>
        <w:pStyle w:val="TOC2"/>
        <w:rPr>
          <w:noProof/>
        </w:rPr>
      </w:pPr>
    </w:p>
    <w:p w14:paraId="1F4CB7E1" w14:textId="77777777" w:rsidR="006E0C96" w:rsidRDefault="006E0C96" w:rsidP="00C52689">
      <w:pPr>
        <w:pStyle w:val="TOC2"/>
        <w:rPr>
          <w:rFonts w:eastAsiaTheme="minorEastAsia" w:cstheme="minorBidi"/>
          <w:noProof/>
          <w:szCs w:val="24"/>
          <w:lang w:eastAsia="ja-JP"/>
        </w:rPr>
      </w:pPr>
      <w:r>
        <w:rPr>
          <w:noProof/>
        </w:rPr>
        <w:t>6.6</w:t>
      </w:r>
      <w:r>
        <w:rPr>
          <w:rFonts w:eastAsiaTheme="minorEastAsia" w:cstheme="minorBidi"/>
          <w:noProof/>
          <w:szCs w:val="24"/>
          <w:lang w:eastAsia="ja-JP"/>
        </w:rPr>
        <w:tab/>
      </w:r>
      <w:r>
        <w:rPr>
          <w:noProof/>
        </w:rPr>
        <w:t>summary of Hydraulic Fluid Contamination Effect on Laminate Flexural Properties Chapter</w:t>
      </w:r>
      <w:r>
        <w:rPr>
          <w:noProof/>
        </w:rPr>
        <w:tab/>
      </w:r>
      <w:r>
        <w:rPr>
          <w:noProof/>
        </w:rPr>
        <w:fldChar w:fldCharType="begin"/>
      </w:r>
      <w:r>
        <w:rPr>
          <w:noProof/>
        </w:rPr>
        <w:instrText xml:space="preserve"> PAGEREF _Toc346311038 \h </w:instrText>
      </w:r>
      <w:r>
        <w:rPr>
          <w:noProof/>
        </w:rPr>
      </w:r>
      <w:r>
        <w:rPr>
          <w:noProof/>
        </w:rPr>
        <w:fldChar w:fldCharType="separate"/>
      </w:r>
      <w:r w:rsidR="008A1992">
        <w:rPr>
          <w:noProof/>
        </w:rPr>
        <w:t>129</w:t>
      </w:r>
      <w:r>
        <w:rPr>
          <w:noProof/>
        </w:rPr>
        <w:fldChar w:fldCharType="end"/>
      </w:r>
    </w:p>
    <w:p w14:paraId="6761E8EC" w14:textId="77777777" w:rsidR="006E0C96" w:rsidRDefault="006E0C96" w:rsidP="00C17C55">
      <w:pPr>
        <w:pStyle w:val="TOC1"/>
        <w:tabs>
          <w:tab w:val="clear" w:pos="8460"/>
          <w:tab w:val="right" w:leader="dot" w:pos="8550"/>
        </w:tabs>
        <w:rPr>
          <w:noProof/>
        </w:rPr>
      </w:pPr>
    </w:p>
    <w:p w14:paraId="20020872" w14:textId="39124C1B" w:rsidR="006E0C96" w:rsidRDefault="006E0C96" w:rsidP="00C17C55">
      <w:pPr>
        <w:pStyle w:val="TOC1"/>
        <w:tabs>
          <w:tab w:val="clear" w:pos="8460"/>
          <w:tab w:val="right" w:leader="dot" w:pos="8550"/>
        </w:tabs>
        <w:rPr>
          <w:rFonts w:eastAsiaTheme="minorEastAsia" w:cstheme="minorBidi"/>
          <w:b w:val="0"/>
          <w:bCs w:val="0"/>
          <w:caps w:val="0"/>
          <w:noProof/>
          <w:szCs w:val="24"/>
          <w:lang w:eastAsia="ja-JP"/>
        </w:rPr>
      </w:pPr>
      <w:r>
        <w:rPr>
          <w:noProof/>
        </w:rPr>
        <w:lastRenderedPageBreak/>
        <w:t>chapter 7: Concluding Remarks and Recommendations</w:t>
      </w:r>
      <w:r>
        <w:rPr>
          <w:noProof/>
        </w:rPr>
        <w:tab/>
      </w:r>
      <w:r>
        <w:rPr>
          <w:noProof/>
        </w:rPr>
        <w:fldChar w:fldCharType="begin"/>
      </w:r>
      <w:r>
        <w:rPr>
          <w:noProof/>
        </w:rPr>
        <w:instrText xml:space="preserve"> PAGEREF _Toc346311040 \h </w:instrText>
      </w:r>
      <w:r>
        <w:rPr>
          <w:noProof/>
        </w:rPr>
      </w:r>
      <w:r>
        <w:rPr>
          <w:noProof/>
        </w:rPr>
        <w:fldChar w:fldCharType="separate"/>
      </w:r>
      <w:r w:rsidR="008A1992">
        <w:rPr>
          <w:noProof/>
        </w:rPr>
        <w:t>131</w:t>
      </w:r>
      <w:r>
        <w:rPr>
          <w:noProof/>
        </w:rPr>
        <w:fldChar w:fldCharType="end"/>
      </w:r>
    </w:p>
    <w:p w14:paraId="2D531539" w14:textId="77777777" w:rsidR="006E0C96" w:rsidRDefault="006E0C96" w:rsidP="00C52689">
      <w:pPr>
        <w:pStyle w:val="TOC2"/>
        <w:rPr>
          <w:noProof/>
        </w:rPr>
      </w:pPr>
    </w:p>
    <w:p w14:paraId="090ABF21" w14:textId="77777777" w:rsidR="006E0C96" w:rsidRDefault="006E0C96" w:rsidP="00C52689">
      <w:pPr>
        <w:pStyle w:val="TOC2"/>
        <w:rPr>
          <w:rFonts w:eastAsiaTheme="minorEastAsia" w:cstheme="minorBidi"/>
          <w:noProof/>
          <w:szCs w:val="24"/>
          <w:lang w:eastAsia="ja-JP"/>
        </w:rPr>
      </w:pPr>
      <w:r>
        <w:rPr>
          <w:noProof/>
        </w:rPr>
        <w:t>7.1</w:t>
      </w:r>
      <w:r>
        <w:rPr>
          <w:rFonts w:eastAsiaTheme="minorEastAsia" w:cstheme="minorBidi"/>
          <w:noProof/>
          <w:szCs w:val="24"/>
          <w:lang w:eastAsia="ja-JP"/>
        </w:rPr>
        <w:tab/>
      </w:r>
      <w:r>
        <w:rPr>
          <w:noProof/>
        </w:rPr>
        <w:t>Summary of Dissertation</w:t>
      </w:r>
      <w:r>
        <w:rPr>
          <w:noProof/>
        </w:rPr>
        <w:tab/>
      </w:r>
      <w:r>
        <w:rPr>
          <w:noProof/>
        </w:rPr>
        <w:fldChar w:fldCharType="begin"/>
      </w:r>
      <w:r>
        <w:rPr>
          <w:noProof/>
        </w:rPr>
        <w:instrText xml:space="preserve"> PAGEREF _Toc346311041 \h </w:instrText>
      </w:r>
      <w:r>
        <w:rPr>
          <w:noProof/>
        </w:rPr>
      </w:r>
      <w:r>
        <w:rPr>
          <w:noProof/>
        </w:rPr>
        <w:fldChar w:fldCharType="separate"/>
      </w:r>
      <w:r w:rsidR="008A1992">
        <w:rPr>
          <w:noProof/>
        </w:rPr>
        <w:t>131</w:t>
      </w:r>
      <w:r>
        <w:rPr>
          <w:noProof/>
        </w:rPr>
        <w:fldChar w:fldCharType="end"/>
      </w:r>
    </w:p>
    <w:p w14:paraId="13BF2DBE" w14:textId="77777777" w:rsidR="006E0C96" w:rsidRDefault="006E0C96" w:rsidP="00C52689">
      <w:pPr>
        <w:pStyle w:val="TOC2"/>
        <w:rPr>
          <w:noProof/>
        </w:rPr>
      </w:pPr>
    </w:p>
    <w:p w14:paraId="7C5313ED" w14:textId="77777777" w:rsidR="006E0C96" w:rsidRDefault="006E0C96" w:rsidP="00C52689">
      <w:pPr>
        <w:pStyle w:val="TOC2"/>
        <w:rPr>
          <w:rFonts w:eastAsiaTheme="minorEastAsia" w:cstheme="minorBidi"/>
          <w:noProof/>
          <w:szCs w:val="24"/>
          <w:lang w:eastAsia="ja-JP"/>
        </w:rPr>
      </w:pPr>
      <w:r>
        <w:rPr>
          <w:noProof/>
        </w:rPr>
        <w:t>7.2</w:t>
      </w:r>
      <w:r>
        <w:rPr>
          <w:rFonts w:eastAsiaTheme="minorEastAsia" w:cstheme="minorBidi"/>
          <w:noProof/>
          <w:szCs w:val="24"/>
          <w:lang w:eastAsia="ja-JP"/>
        </w:rPr>
        <w:tab/>
      </w:r>
      <w:r>
        <w:rPr>
          <w:noProof/>
        </w:rPr>
        <w:t>Addressing Research Objective 1</w:t>
      </w:r>
      <w:r>
        <w:rPr>
          <w:noProof/>
        </w:rPr>
        <w:tab/>
      </w:r>
      <w:r>
        <w:rPr>
          <w:noProof/>
        </w:rPr>
        <w:fldChar w:fldCharType="begin"/>
      </w:r>
      <w:r>
        <w:rPr>
          <w:noProof/>
        </w:rPr>
        <w:instrText xml:space="preserve"> PAGEREF _Toc346311042 \h </w:instrText>
      </w:r>
      <w:r>
        <w:rPr>
          <w:noProof/>
        </w:rPr>
      </w:r>
      <w:r>
        <w:rPr>
          <w:noProof/>
        </w:rPr>
        <w:fldChar w:fldCharType="separate"/>
      </w:r>
      <w:r w:rsidR="008A1992">
        <w:rPr>
          <w:noProof/>
        </w:rPr>
        <w:t>145</w:t>
      </w:r>
      <w:r>
        <w:rPr>
          <w:noProof/>
        </w:rPr>
        <w:fldChar w:fldCharType="end"/>
      </w:r>
    </w:p>
    <w:p w14:paraId="72B88F01" w14:textId="77777777" w:rsidR="006E0C96" w:rsidRDefault="006E0C96" w:rsidP="00C52689">
      <w:pPr>
        <w:pStyle w:val="TOC3"/>
        <w:rPr>
          <w:noProof/>
        </w:rPr>
      </w:pPr>
    </w:p>
    <w:p w14:paraId="1A305B1E" w14:textId="77777777" w:rsidR="006E0C96" w:rsidRDefault="006E0C96" w:rsidP="00C52689">
      <w:pPr>
        <w:pStyle w:val="TOC3"/>
        <w:rPr>
          <w:rFonts w:eastAsiaTheme="minorEastAsia" w:cstheme="minorBidi"/>
          <w:noProof/>
          <w:szCs w:val="24"/>
          <w:lang w:eastAsia="ja-JP"/>
        </w:rPr>
      </w:pPr>
      <w:r>
        <w:rPr>
          <w:noProof/>
        </w:rPr>
        <w:t>7.2.1</w:t>
      </w:r>
      <w:r>
        <w:rPr>
          <w:rFonts w:eastAsiaTheme="minorEastAsia" w:cstheme="minorBidi"/>
          <w:noProof/>
          <w:szCs w:val="24"/>
          <w:lang w:eastAsia="ja-JP"/>
        </w:rPr>
        <w:tab/>
      </w:r>
      <w:r>
        <w:rPr>
          <w:noProof/>
        </w:rPr>
        <w:t>Limitations and Future Work Associated with Research Objective 1</w:t>
      </w:r>
      <w:r>
        <w:rPr>
          <w:noProof/>
        </w:rPr>
        <w:tab/>
      </w:r>
      <w:r>
        <w:rPr>
          <w:noProof/>
        </w:rPr>
        <w:fldChar w:fldCharType="begin"/>
      </w:r>
      <w:r>
        <w:rPr>
          <w:noProof/>
        </w:rPr>
        <w:instrText xml:space="preserve"> PAGEREF _Toc346311043 \h </w:instrText>
      </w:r>
      <w:r>
        <w:rPr>
          <w:noProof/>
        </w:rPr>
      </w:r>
      <w:r>
        <w:rPr>
          <w:noProof/>
        </w:rPr>
        <w:fldChar w:fldCharType="separate"/>
      </w:r>
      <w:r w:rsidR="008A1992">
        <w:rPr>
          <w:noProof/>
        </w:rPr>
        <w:t>148</w:t>
      </w:r>
      <w:r>
        <w:rPr>
          <w:noProof/>
        </w:rPr>
        <w:fldChar w:fldCharType="end"/>
      </w:r>
    </w:p>
    <w:p w14:paraId="28099C55" w14:textId="77777777" w:rsidR="006E0C96" w:rsidRDefault="006E0C96" w:rsidP="00C52689">
      <w:pPr>
        <w:pStyle w:val="TOC2"/>
        <w:rPr>
          <w:noProof/>
        </w:rPr>
      </w:pPr>
    </w:p>
    <w:p w14:paraId="4C2456A7" w14:textId="77777777" w:rsidR="006E0C96" w:rsidRDefault="006E0C96" w:rsidP="00C52689">
      <w:pPr>
        <w:pStyle w:val="TOC2"/>
        <w:rPr>
          <w:rFonts w:eastAsiaTheme="minorEastAsia" w:cstheme="minorBidi"/>
          <w:noProof/>
          <w:szCs w:val="24"/>
          <w:lang w:eastAsia="ja-JP"/>
        </w:rPr>
      </w:pPr>
      <w:r>
        <w:rPr>
          <w:noProof/>
        </w:rPr>
        <w:t>7.3</w:t>
      </w:r>
      <w:r>
        <w:rPr>
          <w:rFonts w:eastAsiaTheme="minorEastAsia" w:cstheme="minorBidi"/>
          <w:noProof/>
          <w:szCs w:val="24"/>
          <w:lang w:eastAsia="ja-JP"/>
        </w:rPr>
        <w:tab/>
      </w:r>
      <w:r>
        <w:rPr>
          <w:noProof/>
        </w:rPr>
        <w:t>Addressing Research Objective 2</w:t>
      </w:r>
      <w:r>
        <w:rPr>
          <w:noProof/>
        </w:rPr>
        <w:tab/>
      </w:r>
      <w:r>
        <w:rPr>
          <w:noProof/>
        </w:rPr>
        <w:fldChar w:fldCharType="begin"/>
      </w:r>
      <w:r>
        <w:rPr>
          <w:noProof/>
        </w:rPr>
        <w:instrText xml:space="preserve"> PAGEREF _Toc346311044 \h </w:instrText>
      </w:r>
      <w:r>
        <w:rPr>
          <w:noProof/>
        </w:rPr>
      </w:r>
      <w:r>
        <w:rPr>
          <w:noProof/>
        </w:rPr>
        <w:fldChar w:fldCharType="separate"/>
      </w:r>
      <w:r w:rsidR="008A1992">
        <w:rPr>
          <w:noProof/>
        </w:rPr>
        <w:t>149</w:t>
      </w:r>
      <w:r>
        <w:rPr>
          <w:noProof/>
        </w:rPr>
        <w:fldChar w:fldCharType="end"/>
      </w:r>
    </w:p>
    <w:p w14:paraId="4FE080C3" w14:textId="77777777" w:rsidR="006E0C96" w:rsidRDefault="006E0C96" w:rsidP="00C52689">
      <w:pPr>
        <w:pStyle w:val="TOC3"/>
        <w:rPr>
          <w:noProof/>
        </w:rPr>
      </w:pPr>
    </w:p>
    <w:p w14:paraId="291D2CD2" w14:textId="77777777" w:rsidR="006E0C96" w:rsidRDefault="006E0C96" w:rsidP="00C52689">
      <w:pPr>
        <w:pStyle w:val="TOC3"/>
        <w:rPr>
          <w:rFonts w:eastAsiaTheme="minorEastAsia" w:cstheme="minorBidi"/>
          <w:noProof/>
          <w:szCs w:val="24"/>
          <w:lang w:eastAsia="ja-JP"/>
        </w:rPr>
      </w:pPr>
      <w:r>
        <w:rPr>
          <w:noProof/>
        </w:rPr>
        <w:t>7.3.1</w:t>
      </w:r>
      <w:r>
        <w:rPr>
          <w:rFonts w:eastAsiaTheme="minorEastAsia" w:cstheme="minorBidi"/>
          <w:noProof/>
          <w:szCs w:val="24"/>
          <w:lang w:eastAsia="ja-JP"/>
        </w:rPr>
        <w:tab/>
      </w:r>
      <w:r>
        <w:rPr>
          <w:noProof/>
        </w:rPr>
        <w:t>Limitations and Future Work Associated with Research Objective 2</w:t>
      </w:r>
      <w:r>
        <w:rPr>
          <w:noProof/>
        </w:rPr>
        <w:tab/>
      </w:r>
      <w:r>
        <w:rPr>
          <w:noProof/>
        </w:rPr>
        <w:fldChar w:fldCharType="begin"/>
      </w:r>
      <w:r>
        <w:rPr>
          <w:noProof/>
        </w:rPr>
        <w:instrText xml:space="preserve"> PAGEREF _Toc346311045 \h </w:instrText>
      </w:r>
      <w:r>
        <w:rPr>
          <w:noProof/>
        </w:rPr>
      </w:r>
      <w:r>
        <w:rPr>
          <w:noProof/>
        </w:rPr>
        <w:fldChar w:fldCharType="separate"/>
      </w:r>
      <w:r w:rsidR="008A1992">
        <w:rPr>
          <w:noProof/>
        </w:rPr>
        <w:t>154</w:t>
      </w:r>
      <w:r>
        <w:rPr>
          <w:noProof/>
        </w:rPr>
        <w:fldChar w:fldCharType="end"/>
      </w:r>
    </w:p>
    <w:p w14:paraId="6F86F8F4" w14:textId="77777777" w:rsidR="006E0C96" w:rsidRDefault="006E0C96" w:rsidP="00C52689">
      <w:pPr>
        <w:pStyle w:val="TOC2"/>
        <w:rPr>
          <w:noProof/>
        </w:rPr>
      </w:pPr>
    </w:p>
    <w:p w14:paraId="5F4D3A32" w14:textId="77777777" w:rsidR="006E0C96" w:rsidRDefault="006E0C96" w:rsidP="00C52689">
      <w:pPr>
        <w:pStyle w:val="TOC2"/>
        <w:rPr>
          <w:rFonts w:eastAsiaTheme="minorEastAsia" w:cstheme="minorBidi"/>
          <w:noProof/>
          <w:szCs w:val="24"/>
          <w:lang w:eastAsia="ja-JP"/>
        </w:rPr>
      </w:pPr>
      <w:r>
        <w:rPr>
          <w:noProof/>
        </w:rPr>
        <w:t>7.4</w:t>
      </w:r>
      <w:r>
        <w:rPr>
          <w:rFonts w:eastAsiaTheme="minorEastAsia" w:cstheme="minorBidi"/>
          <w:noProof/>
          <w:szCs w:val="24"/>
          <w:lang w:eastAsia="ja-JP"/>
        </w:rPr>
        <w:tab/>
      </w:r>
      <w:r>
        <w:rPr>
          <w:noProof/>
        </w:rPr>
        <w:t>Addressing Research Objective 3</w:t>
      </w:r>
      <w:r>
        <w:rPr>
          <w:noProof/>
        </w:rPr>
        <w:tab/>
      </w:r>
      <w:r>
        <w:rPr>
          <w:noProof/>
        </w:rPr>
        <w:fldChar w:fldCharType="begin"/>
      </w:r>
      <w:r>
        <w:rPr>
          <w:noProof/>
        </w:rPr>
        <w:instrText xml:space="preserve"> PAGEREF _Toc346311046 \h </w:instrText>
      </w:r>
      <w:r>
        <w:rPr>
          <w:noProof/>
        </w:rPr>
      </w:r>
      <w:r>
        <w:rPr>
          <w:noProof/>
        </w:rPr>
        <w:fldChar w:fldCharType="separate"/>
      </w:r>
      <w:r w:rsidR="008A1992">
        <w:rPr>
          <w:noProof/>
        </w:rPr>
        <w:t>155</w:t>
      </w:r>
      <w:r>
        <w:rPr>
          <w:noProof/>
        </w:rPr>
        <w:fldChar w:fldCharType="end"/>
      </w:r>
    </w:p>
    <w:p w14:paraId="6136A0C2" w14:textId="77777777" w:rsidR="006E0C96" w:rsidRDefault="006E0C96" w:rsidP="00C52689">
      <w:pPr>
        <w:pStyle w:val="TOC3"/>
        <w:rPr>
          <w:noProof/>
        </w:rPr>
      </w:pPr>
    </w:p>
    <w:p w14:paraId="30BE7C10" w14:textId="77777777" w:rsidR="006E0C96" w:rsidRDefault="006E0C96" w:rsidP="00C52689">
      <w:pPr>
        <w:pStyle w:val="TOC3"/>
        <w:rPr>
          <w:rFonts w:eastAsiaTheme="minorEastAsia" w:cstheme="minorBidi"/>
          <w:noProof/>
          <w:szCs w:val="24"/>
          <w:lang w:eastAsia="ja-JP"/>
        </w:rPr>
      </w:pPr>
      <w:r>
        <w:rPr>
          <w:noProof/>
        </w:rPr>
        <w:t>7.4.1</w:t>
      </w:r>
      <w:r>
        <w:rPr>
          <w:rFonts w:eastAsiaTheme="minorEastAsia" w:cstheme="minorBidi"/>
          <w:noProof/>
          <w:szCs w:val="24"/>
          <w:lang w:eastAsia="ja-JP"/>
        </w:rPr>
        <w:tab/>
      </w:r>
      <w:r>
        <w:rPr>
          <w:noProof/>
        </w:rPr>
        <w:t>Limitations and Future Work Associated with Research Objective 3</w:t>
      </w:r>
      <w:r>
        <w:rPr>
          <w:noProof/>
        </w:rPr>
        <w:tab/>
      </w:r>
      <w:r>
        <w:rPr>
          <w:noProof/>
        </w:rPr>
        <w:fldChar w:fldCharType="begin"/>
      </w:r>
      <w:r>
        <w:rPr>
          <w:noProof/>
        </w:rPr>
        <w:instrText xml:space="preserve"> PAGEREF _Toc346311047 \h </w:instrText>
      </w:r>
      <w:r>
        <w:rPr>
          <w:noProof/>
        </w:rPr>
      </w:r>
      <w:r>
        <w:rPr>
          <w:noProof/>
        </w:rPr>
        <w:fldChar w:fldCharType="separate"/>
      </w:r>
      <w:r w:rsidR="008A1992">
        <w:rPr>
          <w:noProof/>
        </w:rPr>
        <w:t>157</w:t>
      </w:r>
      <w:r>
        <w:rPr>
          <w:noProof/>
        </w:rPr>
        <w:fldChar w:fldCharType="end"/>
      </w:r>
    </w:p>
    <w:p w14:paraId="07C21D41" w14:textId="77777777" w:rsidR="006E0C96" w:rsidRDefault="006E0C96" w:rsidP="00C17C55">
      <w:pPr>
        <w:pStyle w:val="TOC1"/>
        <w:tabs>
          <w:tab w:val="clear" w:pos="8460"/>
          <w:tab w:val="left" w:pos="382"/>
          <w:tab w:val="right" w:leader="dot" w:pos="8550"/>
        </w:tabs>
        <w:rPr>
          <w:noProof/>
        </w:rPr>
      </w:pPr>
    </w:p>
    <w:p w14:paraId="16AA3ADF" w14:textId="619A1791" w:rsidR="006E0C96" w:rsidRDefault="006E0C96" w:rsidP="00C17C55">
      <w:pPr>
        <w:pStyle w:val="TOC1"/>
        <w:tabs>
          <w:tab w:val="clear" w:pos="8460"/>
          <w:tab w:val="left" w:pos="382"/>
          <w:tab w:val="right" w:leader="dot" w:pos="8550"/>
        </w:tabs>
        <w:rPr>
          <w:rFonts w:eastAsiaTheme="minorEastAsia" w:cstheme="minorBidi"/>
          <w:b w:val="0"/>
          <w:bCs w:val="0"/>
          <w:caps w:val="0"/>
          <w:noProof/>
          <w:szCs w:val="24"/>
          <w:lang w:eastAsia="ja-JP"/>
        </w:rPr>
      </w:pPr>
      <w:r>
        <w:rPr>
          <w:noProof/>
        </w:rPr>
        <w:t>references</w:t>
      </w:r>
      <w:r>
        <w:rPr>
          <w:noProof/>
        </w:rPr>
        <w:tab/>
      </w:r>
      <w:r>
        <w:rPr>
          <w:noProof/>
        </w:rPr>
        <w:fldChar w:fldCharType="begin"/>
      </w:r>
      <w:r>
        <w:rPr>
          <w:noProof/>
        </w:rPr>
        <w:instrText xml:space="preserve"> PAGEREF _Toc346311048 \h </w:instrText>
      </w:r>
      <w:r>
        <w:rPr>
          <w:noProof/>
        </w:rPr>
      </w:r>
      <w:r>
        <w:rPr>
          <w:noProof/>
        </w:rPr>
        <w:fldChar w:fldCharType="separate"/>
      </w:r>
      <w:r w:rsidR="008A1992">
        <w:rPr>
          <w:noProof/>
        </w:rPr>
        <w:t>159</w:t>
      </w:r>
      <w:r>
        <w:rPr>
          <w:noProof/>
        </w:rPr>
        <w:fldChar w:fldCharType="end"/>
      </w:r>
    </w:p>
    <w:p w14:paraId="3CE8F3DF" w14:textId="1758AD3D" w:rsidR="006E0C96" w:rsidRDefault="006E0C96" w:rsidP="00C17C55">
      <w:pPr>
        <w:pStyle w:val="TOC1"/>
        <w:tabs>
          <w:tab w:val="clear" w:pos="8460"/>
          <w:tab w:val="left" w:pos="382"/>
          <w:tab w:val="right" w:leader="dot" w:pos="8550"/>
        </w:tabs>
        <w:rPr>
          <w:noProof/>
        </w:rPr>
      </w:pPr>
    </w:p>
    <w:p w14:paraId="1BA13450" w14:textId="1E7A0072" w:rsidR="006E0C96" w:rsidRDefault="006E0C96" w:rsidP="00C17C55">
      <w:pPr>
        <w:pStyle w:val="TOC1"/>
        <w:tabs>
          <w:tab w:val="clear" w:pos="8460"/>
          <w:tab w:val="left" w:pos="382"/>
          <w:tab w:val="right" w:leader="dot" w:pos="8550"/>
        </w:tabs>
        <w:rPr>
          <w:rFonts w:eastAsiaTheme="minorEastAsia" w:cstheme="minorBidi"/>
          <w:b w:val="0"/>
          <w:bCs w:val="0"/>
          <w:caps w:val="0"/>
          <w:noProof/>
          <w:szCs w:val="24"/>
          <w:lang w:eastAsia="ja-JP"/>
        </w:rPr>
      </w:pPr>
      <w:r>
        <w:rPr>
          <w:noProof/>
        </w:rPr>
        <w:t>appendix a: Specimen Averages for Property Functions</w:t>
      </w:r>
      <w:r>
        <w:rPr>
          <w:noProof/>
        </w:rPr>
        <w:tab/>
      </w:r>
      <w:r>
        <w:rPr>
          <w:noProof/>
        </w:rPr>
        <w:fldChar w:fldCharType="begin"/>
      </w:r>
      <w:r>
        <w:rPr>
          <w:noProof/>
        </w:rPr>
        <w:instrText xml:space="preserve"> PAGEREF _Toc346311049 \h </w:instrText>
      </w:r>
      <w:r>
        <w:rPr>
          <w:noProof/>
        </w:rPr>
      </w:r>
      <w:r>
        <w:rPr>
          <w:noProof/>
        </w:rPr>
        <w:fldChar w:fldCharType="separate"/>
      </w:r>
      <w:r w:rsidR="008A1992">
        <w:rPr>
          <w:noProof/>
        </w:rPr>
        <w:t>165</w:t>
      </w:r>
      <w:r>
        <w:rPr>
          <w:noProof/>
        </w:rPr>
        <w:fldChar w:fldCharType="end"/>
      </w:r>
    </w:p>
    <w:p w14:paraId="5B69EB57" w14:textId="77777777" w:rsidR="00CE161F" w:rsidRPr="00907557" w:rsidRDefault="00CF0651" w:rsidP="00784540">
      <w:pPr>
        <w:spacing w:line="240" w:lineRule="auto"/>
        <w:jc w:val="left"/>
        <w:rPr>
          <w:b/>
          <w:bCs/>
          <w:caps/>
        </w:rPr>
      </w:pPr>
      <w:r>
        <w:rPr>
          <w:rFonts w:asciiTheme="minorHAnsi" w:hAnsiTheme="minorHAnsi"/>
          <w:b/>
          <w:szCs w:val="20"/>
        </w:rPr>
        <w:fldChar w:fldCharType="end"/>
      </w:r>
      <w:r w:rsidR="007E19C3">
        <w:br w:type="page"/>
      </w:r>
    </w:p>
    <w:p w14:paraId="09764CA3" w14:textId="77777777" w:rsidR="00CE161F" w:rsidRPr="00276CD1" w:rsidRDefault="00CE161F" w:rsidP="0012190A">
      <w:pPr>
        <w:pStyle w:val="Headingwo"/>
        <w:numPr>
          <w:ilvl w:val="0"/>
          <w:numId w:val="0"/>
        </w:numPr>
        <w:jc w:val="both"/>
        <w:rPr>
          <w:rFonts w:asciiTheme="minorHAnsi" w:hAnsiTheme="minorHAnsi" w:cstheme="minorHAnsi"/>
          <w:szCs w:val="28"/>
        </w:rPr>
      </w:pPr>
      <w:bookmarkStart w:id="2" w:name="_Toc346310947"/>
      <w:r w:rsidRPr="00276CD1">
        <w:rPr>
          <w:rFonts w:asciiTheme="minorHAnsi" w:hAnsiTheme="minorHAnsi" w:cstheme="minorHAnsi"/>
          <w:szCs w:val="28"/>
        </w:rPr>
        <w:lastRenderedPageBreak/>
        <w:t>list of tables</w:t>
      </w:r>
      <w:bookmarkEnd w:id="2"/>
    </w:p>
    <w:p w14:paraId="37C4C529" w14:textId="77777777" w:rsidR="006E0C96" w:rsidRDefault="00CF0651" w:rsidP="006E0C96">
      <w:pPr>
        <w:pStyle w:val="TableofFigures"/>
        <w:tabs>
          <w:tab w:val="right" w:leader="dot" w:pos="8486"/>
        </w:tabs>
        <w:spacing w:line="240" w:lineRule="auto"/>
        <w:rPr>
          <w:rFonts w:eastAsiaTheme="minorEastAsia" w:cstheme="minorBidi"/>
          <w:smallCaps w:val="0"/>
          <w:noProof/>
          <w:szCs w:val="24"/>
          <w:lang w:eastAsia="ja-JP"/>
        </w:rPr>
      </w:pPr>
      <w:r>
        <w:fldChar w:fldCharType="begin"/>
      </w:r>
      <w:r w:rsidR="00DE1512">
        <w:instrText xml:space="preserve"> TOC \f T \h \z \c "Table" </w:instrText>
      </w:r>
      <w:r>
        <w:fldChar w:fldCharType="separate"/>
      </w:r>
      <w:r w:rsidR="006E0C96">
        <w:rPr>
          <w:noProof/>
        </w:rPr>
        <w:t>Table 2.1 Product specifications for prepreg materials</w:t>
      </w:r>
      <w:r w:rsidR="006E0C96">
        <w:rPr>
          <w:noProof/>
        </w:rPr>
        <w:tab/>
      </w:r>
      <w:r w:rsidR="006E0C96">
        <w:rPr>
          <w:noProof/>
        </w:rPr>
        <w:fldChar w:fldCharType="begin"/>
      </w:r>
      <w:r w:rsidR="006E0C96">
        <w:rPr>
          <w:noProof/>
        </w:rPr>
        <w:instrText xml:space="preserve"> PAGEREF _Toc346310843 \h </w:instrText>
      </w:r>
      <w:r w:rsidR="006E0C96">
        <w:rPr>
          <w:noProof/>
        </w:rPr>
      </w:r>
      <w:r w:rsidR="006E0C96">
        <w:rPr>
          <w:noProof/>
        </w:rPr>
        <w:fldChar w:fldCharType="separate"/>
      </w:r>
      <w:r w:rsidR="008A1992">
        <w:rPr>
          <w:noProof/>
        </w:rPr>
        <w:t>11</w:t>
      </w:r>
      <w:r w:rsidR="006E0C96">
        <w:rPr>
          <w:noProof/>
        </w:rPr>
        <w:fldChar w:fldCharType="end"/>
      </w:r>
    </w:p>
    <w:p w14:paraId="3F884B7C" w14:textId="77777777" w:rsidR="006E0C96" w:rsidRDefault="006E0C96" w:rsidP="006E0C96">
      <w:pPr>
        <w:pStyle w:val="TableofFigures"/>
        <w:tabs>
          <w:tab w:val="right" w:leader="dot" w:pos="8486"/>
        </w:tabs>
        <w:spacing w:line="240" w:lineRule="auto"/>
        <w:rPr>
          <w:noProof/>
        </w:rPr>
      </w:pPr>
    </w:p>
    <w:p w14:paraId="12CC90C9"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2.2 Prepreg moisture content after 24 hours exposure in environmental chamber for varying levels of relative humidity exposure. Intervals associated with 95% confidence for n=5 samples</w:t>
      </w:r>
      <w:r>
        <w:rPr>
          <w:noProof/>
        </w:rPr>
        <w:tab/>
      </w:r>
      <w:r>
        <w:rPr>
          <w:noProof/>
        </w:rPr>
        <w:fldChar w:fldCharType="begin"/>
      </w:r>
      <w:r>
        <w:rPr>
          <w:noProof/>
        </w:rPr>
        <w:instrText xml:space="preserve"> PAGEREF _Toc346310844 \h </w:instrText>
      </w:r>
      <w:r>
        <w:rPr>
          <w:noProof/>
        </w:rPr>
      </w:r>
      <w:r>
        <w:rPr>
          <w:noProof/>
        </w:rPr>
        <w:fldChar w:fldCharType="separate"/>
      </w:r>
      <w:r w:rsidR="008A1992">
        <w:rPr>
          <w:noProof/>
        </w:rPr>
        <w:t>13</w:t>
      </w:r>
      <w:r>
        <w:rPr>
          <w:noProof/>
        </w:rPr>
        <w:fldChar w:fldCharType="end"/>
      </w:r>
    </w:p>
    <w:p w14:paraId="3BB8E725" w14:textId="77777777" w:rsidR="006E0C96" w:rsidRDefault="006E0C96" w:rsidP="006E0C96">
      <w:pPr>
        <w:pStyle w:val="TableofFigures"/>
        <w:tabs>
          <w:tab w:val="right" w:leader="dot" w:pos="8486"/>
        </w:tabs>
        <w:spacing w:line="240" w:lineRule="auto"/>
        <w:rPr>
          <w:noProof/>
        </w:rPr>
      </w:pPr>
    </w:p>
    <w:p w14:paraId="4CDB2F28"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2.3 Model of best fit trend line for prepreg moisture content after 24 hours</w:t>
      </w:r>
      <w:r>
        <w:rPr>
          <w:noProof/>
        </w:rPr>
        <w:tab/>
      </w:r>
      <w:r>
        <w:rPr>
          <w:noProof/>
        </w:rPr>
        <w:fldChar w:fldCharType="begin"/>
      </w:r>
      <w:r>
        <w:rPr>
          <w:noProof/>
        </w:rPr>
        <w:instrText xml:space="preserve"> PAGEREF _Toc346310845 \h </w:instrText>
      </w:r>
      <w:r>
        <w:rPr>
          <w:noProof/>
        </w:rPr>
      </w:r>
      <w:r>
        <w:rPr>
          <w:noProof/>
        </w:rPr>
        <w:fldChar w:fldCharType="separate"/>
      </w:r>
      <w:r w:rsidR="008A1992">
        <w:rPr>
          <w:noProof/>
        </w:rPr>
        <w:t>14</w:t>
      </w:r>
      <w:r>
        <w:rPr>
          <w:noProof/>
        </w:rPr>
        <w:fldChar w:fldCharType="end"/>
      </w:r>
    </w:p>
    <w:p w14:paraId="76126BA7" w14:textId="77777777" w:rsidR="006E0C96" w:rsidRDefault="006E0C96" w:rsidP="006E0C96">
      <w:pPr>
        <w:pStyle w:val="TableofFigures"/>
        <w:tabs>
          <w:tab w:val="right" w:leader="dot" w:pos="8486"/>
        </w:tabs>
        <w:spacing w:line="240" w:lineRule="auto"/>
        <w:rPr>
          <w:noProof/>
        </w:rPr>
      </w:pPr>
    </w:p>
    <w:p w14:paraId="0FACFDF5"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2.4 Model of best fit trend line for laminate thickness</w:t>
      </w:r>
      <w:r>
        <w:rPr>
          <w:noProof/>
        </w:rPr>
        <w:tab/>
      </w:r>
      <w:r>
        <w:rPr>
          <w:noProof/>
        </w:rPr>
        <w:fldChar w:fldCharType="begin"/>
      </w:r>
      <w:r>
        <w:rPr>
          <w:noProof/>
        </w:rPr>
        <w:instrText xml:space="preserve"> PAGEREF _Toc346310846 \h </w:instrText>
      </w:r>
      <w:r>
        <w:rPr>
          <w:noProof/>
        </w:rPr>
      </w:r>
      <w:r>
        <w:rPr>
          <w:noProof/>
        </w:rPr>
        <w:fldChar w:fldCharType="separate"/>
      </w:r>
      <w:r w:rsidR="008A1992">
        <w:rPr>
          <w:noProof/>
        </w:rPr>
        <w:t>18</w:t>
      </w:r>
      <w:r>
        <w:rPr>
          <w:noProof/>
        </w:rPr>
        <w:fldChar w:fldCharType="end"/>
      </w:r>
    </w:p>
    <w:p w14:paraId="258B8FA5" w14:textId="77777777" w:rsidR="006E0C96" w:rsidRDefault="006E0C96" w:rsidP="006E0C96">
      <w:pPr>
        <w:pStyle w:val="TableofFigures"/>
        <w:tabs>
          <w:tab w:val="right" w:leader="dot" w:pos="8486"/>
        </w:tabs>
        <w:spacing w:line="240" w:lineRule="auto"/>
        <w:rPr>
          <w:noProof/>
        </w:rPr>
      </w:pPr>
    </w:p>
    <w:p w14:paraId="7A974D1C"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2.5 Specimen allocation and dimensions used for each Research Task. Note: Specimen quantities are for a single laminate (i.e. one humidity exposure and one cure pressure)</w:t>
      </w:r>
      <w:r>
        <w:rPr>
          <w:noProof/>
        </w:rPr>
        <w:tab/>
      </w:r>
      <w:r>
        <w:rPr>
          <w:noProof/>
        </w:rPr>
        <w:fldChar w:fldCharType="begin"/>
      </w:r>
      <w:r>
        <w:rPr>
          <w:noProof/>
        </w:rPr>
        <w:instrText xml:space="preserve"> PAGEREF _Toc346310847 \h </w:instrText>
      </w:r>
      <w:r>
        <w:rPr>
          <w:noProof/>
        </w:rPr>
      </w:r>
      <w:r>
        <w:rPr>
          <w:noProof/>
        </w:rPr>
        <w:fldChar w:fldCharType="separate"/>
      </w:r>
      <w:r w:rsidR="008A1992">
        <w:rPr>
          <w:noProof/>
        </w:rPr>
        <w:t>20</w:t>
      </w:r>
      <w:r>
        <w:rPr>
          <w:noProof/>
        </w:rPr>
        <w:fldChar w:fldCharType="end"/>
      </w:r>
    </w:p>
    <w:p w14:paraId="41D1B7F8" w14:textId="77777777" w:rsidR="006E0C96" w:rsidRDefault="006E0C96" w:rsidP="006E0C96">
      <w:pPr>
        <w:pStyle w:val="TableofFigures"/>
        <w:tabs>
          <w:tab w:val="right" w:leader="dot" w:pos="8486"/>
        </w:tabs>
        <w:spacing w:line="240" w:lineRule="auto"/>
        <w:rPr>
          <w:noProof/>
        </w:rPr>
      </w:pPr>
    </w:p>
    <w:p w14:paraId="1976125A"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2.6 Trend line equations for prepreg humidity conditioning effect on laminate fiber volume fraction</w:t>
      </w:r>
      <w:r>
        <w:rPr>
          <w:noProof/>
        </w:rPr>
        <w:tab/>
      </w:r>
      <w:r>
        <w:rPr>
          <w:noProof/>
        </w:rPr>
        <w:fldChar w:fldCharType="begin"/>
      </w:r>
      <w:r>
        <w:rPr>
          <w:noProof/>
        </w:rPr>
        <w:instrText xml:space="preserve"> PAGEREF _Toc346310848 \h </w:instrText>
      </w:r>
      <w:r>
        <w:rPr>
          <w:noProof/>
        </w:rPr>
      </w:r>
      <w:r>
        <w:rPr>
          <w:noProof/>
        </w:rPr>
        <w:fldChar w:fldCharType="separate"/>
      </w:r>
      <w:r w:rsidR="008A1992">
        <w:rPr>
          <w:noProof/>
        </w:rPr>
        <w:t>32</w:t>
      </w:r>
      <w:r>
        <w:rPr>
          <w:noProof/>
        </w:rPr>
        <w:fldChar w:fldCharType="end"/>
      </w:r>
    </w:p>
    <w:p w14:paraId="16908883" w14:textId="77777777" w:rsidR="006E0C96" w:rsidRDefault="006E0C96" w:rsidP="006E0C96">
      <w:pPr>
        <w:pStyle w:val="TableofFigures"/>
        <w:tabs>
          <w:tab w:val="right" w:leader="dot" w:pos="8486"/>
        </w:tabs>
        <w:spacing w:line="240" w:lineRule="auto"/>
        <w:rPr>
          <w:noProof/>
        </w:rPr>
      </w:pPr>
    </w:p>
    <w:p w14:paraId="61AABED1"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2.7 Trend line equations for fabrication pressure effect on laminate fiber volume fraction</w:t>
      </w:r>
      <w:r>
        <w:rPr>
          <w:noProof/>
        </w:rPr>
        <w:tab/>
      </w:r>
      <w:r>
        <w:rPr>
          <w:noProof/>
        </w:rPr>
        <w:fldChar w:fldCharType="begin"/>
      </w:r>
      <w:r>
        <w:rPr>
          <w:noProof/>
        </w:rPr>
        <w:instrText xml:space="preserve"> PAGEREF _Toc346310849 \h </w:instrText>
      </w:r>
      <w:r>
        <w:rPr>
          <w:noProof/>
        </w:rPr>
      </w:r>
      <w:r>
        <w:rPr>
          <w:noProof/>
        </w:rPr>
        <w:fldChar w:fldCharType="separate"/>
      </w:r>
      <w:r w:rsidR="008A1992">
        <w:rPr>
          <w:noProof/>
        </w:rPr>
        <w:t>35</w:t>
      </w:r>
      <w:r>
        <w:rPr>
          <w:noProof/>
        </w:rPr>
        <w:fldChar w:fldCharType="end"/>
      </w:r>
    </w:p>
    <w:p w14:paraId="79D25EEC" w14:textId="77777777" w:rsidR="006E0C96" w:rsidRDefault="006E0C96" w:rsidP="006E0C96">
      <w:pPr>
        <w:pStyle w:val="TableofFigures"/>
        <w:tabs>
          <w:tab w:val="right" w:leader="dot" w:pos="8486"/>
        </w:tabs>
        <w:spacing w:line="240" w:lineRule="auto"/>
        <w:rPr>
          <w:noProof/>
        </w:rPr>
      </w:pPr>
    </w:p>
    <w:p w14:paraId="6E6733A3"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2.8 Trend line equations for prepreg humidity conditioning effect on void volume fraction</w:t>
      </w:r>
      <w:r>
        <w:rPr>
          <w:noProof/>
        </w:rPr>
        <w:tab/>
      </w:r>
      <w:r>
        <w:rPr>
          <w:noProof/>
        </w:rPr>
        <w:fldChar w:fldCharType="begin"/>
      </w:r>
      <w:r>
        <w:rPr>
          <w:noProof/>
        </w:rPr>
        <w:instrText xml:space="preserve"> PAGEREF _Toc346310850 \h </w:instrText>
      </w:r>
      <w:r>
        <w:rPr>
          <w:noProof/>
        </w:rPr>
      </w:r>
      <w:r>
        <w:rPr>
          <w:noProof/>
        </w:rPr>
        <w:fldChar w:fldCharType="separate"/>
      </w:r>
      <w:r w:rsidR="008A1992">
        <w:rPr>
          <w:noProof/>
        </w:rPr>
        <w:t>38</w:t>
      </w:r>
      <w:r>
        <w:rPr>
          <w:noProof/>
        </w:rPr>
        <w:fldChar w:fldCharType="end"/>
      </w:r>
    </w:p>
    <w:p w14:paraId="2B1C5AC1" w14:textId="77777777" w:rsidR="006E0C96" w:rsidRDefault="006E0C96" w:rsidP="006E0C96">
      <w:pPr>
        <w:pStyle w:val="TableofFigures"/>
        <w:tabs>
          <w:tab w:val="right" w:leader="dot" w:pos="8486"/>
        </w:tabs>
        <w:spacing w:line="240" w:lineRule="auto"/>
        <w:rPr>
          <w:noProof/>
        </w:rPr>
      </w:pPr>
    </w:p>
    <w:p w14:paraId="0834DAA5"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2.9 Trend line equations for fabrication pressure effect on void volume fraction</w:t>
      </w:r>
      <w:r>
        <w:rPr>
          <w:noProof/>
        </w:rPr>
        <w:tab/>
      </w:r>
      <w:r>
        <w:rPr>
          <w:noProof/>
        </w:rPr>
        <w:fldChar w:fldCharType="begin"/>
      </w:r>
      <w:r>
        <w:rPr>
          <w:noProof/>
        </w:rPr>
        <w:instrText xml:space="preserve"> PAGEREF _Toc346310851 \h </w:instrText>
      </w:r>
      <w:r>
        <w:rPr>
          <w:noProof/>
        </w:rPr>
      </w:r>
      <w:r>
        <w:rPr>
          <w:noProof/>
        </w:rPr>
        <w:fldChar w:fldCharType="separate"/>
      </w:r>
      <w:r w:rsidR="008A1992">
        <w:rPr>
          <w:noProof/>
        </w:rPr>
        <w:t>40</w:t>
      </w:r>
      <w:r>
        <w:rPr>
          <w:noProof/>
        </w:rPr>
        <w:fldChar w:fldCharType="end"/>
      </w:r>
    </w:p>
    <w:p w14:paraId="04ED9FE9" w14:textId="77777777" w:rsidR="006E0C96" w:rsidRDefault="006E0C96" w:rsidP="006E0C96">
      <w:pPr>
        <w:pStyle w:val="TableofFigures"/>
        <w:tabs>
          <w:tab w:val="right" w:leader="dot" w:pos="8486"/>
        </w:tabs>
        <w:spacing w:line="240" w:lineRule="auto"/>
        <w:rPr>
          <w:noProof/>
        </w:rPr>
      </w:pPr>
    </w:p>
    <w:p w14:paraId="6EB4AB1A"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3.1 Trend line equations for prepreg humidity conditioning effect on flexural stiffness</w:t>
      </w:r>
      <w:r>
        <w:rPr>
          <w:noProof/>
        </w:rPr>
        <w:tab/>
      </w:r>
      <w:r>
        <w:rPr>
          <w:noProof/>
        </w:rPr>
        <w:fldChar w:fldCharType="begin"/>
      </w:r>
      <w:r>
        <w:rPr>
          <w:noProof/>
        </w:rPr>
        <w:instrText xml:space="preserve"> PAGEREF _Toc346310852 \h </w:instrText>
      </w:r>
      <w:r>
        <w:rPr>
          <w:noProof/>
        </w:rPr>
      </w:r>
      <w:r>
        <w:rPr>
          <w:noProof/>
        </w:rPr>
        <w:fldChar w:fldCharType="separate"/>
      </w:r>
      <w:r w:rsidR="008A1992">
        <w:rPr>
          <w:noProof/>
        </w:rPr>
        <w:t>61</w:t>
      </w:r>
      <w:r>
        <w:rPr>
          <w:noProof/>
        </w:rPr>
        <w:fldChar w:fldCharType="end"/>
      </w:r>
    </w:p>
    <w:p w14:paraId="42F9D1AD" w14:textId="77777777" w:rsidR="006E0C96" w:rsidRDefault="006E0C96" w:rsidP="006E0C96">
      <w:pPr>
        <w:pStyle w:val="TableofFigures"/>
        <w:tabs>
          <w:tab w:val="right" w:leader="dot" w:pos="8486"/>
        </w:tabs>
        <w:spacing w:line="240" w:lineRule="auto"/>
        <w:rPr>
          <w:noProof/>
        </w:rPr>
      </w:pPr>
    </w:p>
    <w:p w14:paraId="2415095F"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3.2 Trend line equations for fabrication pressure effect on flexural stiffness</w:t>
      </w:r>
      <w:r>
        <w:rPr>
          <w:noProof/>
        </w:rPr>
        <w:tab/>
      </w:r>
      <w:r>
        <w:rPr>
          <w:noProof/>
        </w:rPr>
        <w:fldChar w:fldCharType="begin"/>
      </w:r>
      <w:r>
        <w:rPr>
          <w:noProof/>
        </w:rPr>
        <w:instrText xml:space="preserve"> PAGEREF _Toc346310853 \h </w:instrText>
      </w:r>
      <w:r>
        <w:rPr>
          <w:noProof/>
        </w:rPr>
      </w:r>
      <w:r>
        <w:rPr>
          <w:noProof/>
        </w:rPr>
        <w:fldChar w:fldCharType="separate"/>
      </w:r>
      <w:r w:rsidR="008A1992">
        <w:rPr>
          <w:noProof/>
        </w:rPr>
        <w:t>64</w:t>
      </w:r>
      <w:r>
        <w:rPr>
          <w:noProof/>
        </w:rPr>
        <w:fldChar w:fldCharType="end"/>
      </w:r>
    </w:p>
    <w:p w14:paraId="6C1A2B3E" w14:textId="77777777" w:rsidR="006E0C96" w:rsidRDefault="006E0C96" w:rsidP="006E0C96">
      <w:pPr>
        <w:pStyle w:val="TableofFigures"/>
        <w:tabs>
          <w:tab w:val="right" w:leader="dot" w:pos="8486"/>
        </w:tabs>
        <w:spacing w:line="240" w:lineRule="auto"/>
        <w:rPr>
          <w:noProof/>
        </w:rPr>
      </w:pPr>
    </w:p>
    <w:p w14:paraId="56153DFA"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3.3 Trend line equations for prepreg humidity conditioning effect on flexural strength</w:t>
      </w:r>
      <w:r>
        <w:rPr>
          <w:noProof/>
        </w:rPr>
        <w:tab/>
      </w:r>
      <w:r>
        <w:rPr>
          <w:noProof/>
        </w:rPr>
        <w:fldChar w:fldCharType="begin"/>
      </w:r>
      <w:r>
        <w:rPr>
          <w:noProof/>
        </w:rPr>
        <w:instrText xml:space="preserve"> PAGEREF _Toc346310854 \h </w:instrText>
      </w:r>
      <w:r>
        <w:rPr>
          <w:noProof/>
        </w:rPr>
      </w:r>
      <w:r>
        <w:rPr>
          <w:noProof/>
        </w:rPr>
        <w:fldChar w:fldCharType="separate"/>
      </w:r>
      <w:r w:rsidR="008A1992">
        <w:rPr>
          <w:noProof/>
        </w:rPr>
        <w:t>67</w:t>
      </w:r>
      <w:r>
        <w:rPr>
          <w:noProof/>
        </w:rPr>
        <w:fldChar w:fldCharType="end"/>
      </w:r>
    </w:p>
    <w:p w14:paraId="36B22AA1" w14:textId="77777777" w:rsidR="006E0C96" w:rsidRDefault="006E0C96" w:rsidP="006E0C96">
      <w:pPr>
        <w:pStyle w:val="TableofFigures"/>
        <w:tabs>
          <w:tab w:val="right" w:leader="dot" w:pos="8486"/>
        </w:tabs>
        <w:spacing w:line="240" w:lineRule="auto"/>
        <w:rPr>
          <w:noProof/>
        </w:rPr>
      </w:pPr>
    </w:p>
    <w:p w14:paraId="07F79011"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3.4 Trend line equations for fabrication pressure effect on flexural strength</w:t>
      </w:r>
      <w:r>
        <w:rPr>
          <w:noProof/>
        </w:rPr>
        <w:tab/>
      </w:r>
      <w:r>
        <w:rPr>
          <w:noProof/>
        </w:rPr>
        <w:fldChar w:fldCharType="begin"/>
      </w:r>
      <w:r>
        <w:rPr>
          <w:noProof/>
        </w:rPr>
        <w:instrText xml:space="preserve"> PAGEREF _Toc346310855 \h </w:instrText>
      </w:r>
      <w:r>
        <w:rPr>
          <w:noProof/>
        </w:rPr>
      </w:r>
      <w:r>
        <w:rPr>
          <w:noProof/>
        </w:rPr>
        <w:fldChar w:fldCharType="separate"/>
      </w:r>
      <w:r w:rsidR="008A1992">
        <w:rPr>
          <w:noProof/>
        </w:rPr>
        <w:t>70</w:t>
      </w:r>
      <w:r>
        <w:rPr>
          <w:noProof/>
        </w:rPr>
        <w:fldChar w:fldCharType="end"/>
      </w:r>
    </w:p>
    <w:p w14:paraId="52FFB43B" w14:textId="77777777" w:rsidR="006E0C96" w:rsidRDefault="006E0C96" w:rsidP="006E0C96">
      <w:pPr>
        <w:pStyle w:val="TableofFigures"/>
        <w:tabs>
          <w:tab w:val="right" w:leader="dot" w:pos="8486"/>
        </w:tabs>
        <w:spacing w:line="240" w:lineRule="auto"/>
        <w:rPr>
          <w:noProof/>
        </w:rPr>
      </w:pPr>
    </w:p>
    <w:p w14:paraId="3F5E9366"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5.1 Equilibrium fluid content for AQIII/BMI hydraulic fluid absorption</w:t>
      </w:r>
      <w:r>
        <w:rPr>
          <w:noProof/>
        </w:rPr>
        <w:tab/>
      </w:r>
      <w:r>
        <w:rPr>
          <w:noProof/>
        </w:rPr>
        <w:fldChar w:fldCharType="begin"/>
      </w:r>
      <w:r>
        <w:rPr>
          <w:noProof/>
        </w:rPr>
        <w:instrText xml:space="preserve"> PAGEREF _Toc346310856 \h </w:instrText>
      </w:r>
      <w:r>
        <w:rPr>
          <w:noProof/>
        </w:rPr>
      </w:r>
      <w:r>
        <w:rPr>
          <w:noProof/>
        </w:rPr>
        <w:fldChar w:fldCharType="separate"/>
      </w:r>
      <w:r w:rsidR="008A1992">
        <w:rPr>
          <w:noProof/>
        </w:rPr>
        <w:t>100</w:t>
      </w:r>
      <w:r>
        <w:rPr>
          <w:noProof/>
        </w:rPr>
        <w:fldChar w:fldCharType="end"/>
      </w:r>
    </w:p>
    <w:p w14:paraId="2E642582" w14:textId="77777777" w:rsidR="006E0C96" w:rsidRDefault="006E0C96" w:rsidP="006E0C96">
      <w:pPr>
        <w:pStyle w:val="TableofFigures"/>
        <w:tabs>
          <w:tab w:val="right" w:leader="dot" w:pos="8486"/>
        </w:tabs>
        <w:spacing w:line="240" w:lineRule="auto"/>
        <w:rPr>
          <w:noProof/>
        </w:rPr>
      </w:pPr>
    </w:p>
    <w:p w14:paraId="2A4984E0"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lastRenderedPageBreak/>
        <w:t>Table 5.2 Equilibrium fluid content for AQIII/EX-1522 hydraulic fluid absorption</w:t>
      </w:r>
      <w:r>
        <w:rPr>
          <w:noProof/>
        </w:rPr>
        <w:tab/>
      </w:r>
      <w:r>
        <w:rPr>
          <w:noProof/>
        </w:rPr>
        <w:fldChar w:fldCharType="begin"/>
      </w:r>
      <w:r>
        <w:rPr>
          <w:noProof/>
        </w:rPr>
        <w:instrText xml:space="preserve"> PAGEREF _Toc346310857 \h </w:instrText>
      </w:r>
      <w:r>
        <w:rPr>
          <w:noProof/>
        </w:rPr>
      </w:r>
      <w:r>
        <w:rPr>
          <w:noProof/>
        </w:rPr>
        <w:fldChar w:fldCharType="separate"/>
      </w:r>
      <w:r w:rsidR="008A1992">
        <w:rPr>
          <w:noProof/>
        </w:rPr>
        <w:t>102</w:t>
      </w:r>
      <w:r>
        <w:rPr>
          <w:noProof/>
        </w:rPr>
        <w:fldChar w:fldCharType="end"/>
      </w:r>
    </w:p>
    <w:p w14:paraId="75DCB04B" w14:textId="77777777" w:rsidR="006E0C96" w:rsidRDefault="006E0C96" w:rsidP="006E0C96">
      <w:pPr>
        <w:pStyle w:val="TableofFigures"/>
        <w:tabs>
          <w:tab w:val="right" w:leader="dot" w:pos="8486"/>
        </w:tabs>
        <w:spacing w:line="240" w:lineRule="auto"/>
        <w:rPr>
          <w:noProof/>
        </w:rPr>
      </w:pPr>
    </w:p>
    <w:p w14:paraId="617B5087"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5.3 Equilibrium fluid content for IM7/EX-1522 hydraulic fluid absorption</w:t>
      </w:r>
      <w:r>
        <w:rPr>
          <w:noProof/>
        </w:rPr>
        <w:tab/>
      </w:r>
      <w:r>
        <w:rPr>
          <w:noProof/>
        </w:rPr>
        <w:fldChar w:fldCharType="begin"/>
      </w:r>
      <w:r>
        <w:rPr>
          <w:noProof/>
        </w:rPr>
        <w:instrText xml:space="preserve"> PAGEREF _Toc346310858 \h </w:instrText>
      </w:r>
      <w:r>
        <w:rPr>
          <w:noProof/>
        </w:rPr>
      </w:r>
      <w:r>
        <w:rPr>
          <w:noProof/>
        </w:rPr>
        <w:fldChar w:fldCharType="separate"/>
      </w:r>
      <w:r w:rsidR="008A1992">
        <w:rPr>
          <w:noProof/>
        </w:rPr>
        <w:t>104</w:t>
      </w:r>
      <w:r>
        <w:rPr>
          <w:noProof/>
        </w:rPr>
        <w:fldChar w:fldCharType="end"/>
      </w:r>
    </w:p>
    <w:p w14:paraId="2A5E11C6" w14:textId="77777777" w:rsidR="006E0C96" w:rsidRDefault="006E0C96" w:rsidP="006E0C96">
      <w:pPr>
        <w:pStyle w:val="TableofFigures"/>
        <w:tabs>
          <w:tab w:val="right" w:leader="dot" w:pos="8486"/>
        </w:tabs>
        <w:spacing w:line="240" w:lineRule="auto"/>
        <w:rPr>
          <w:noProof/>
        </w:rPr>
      </w:pPr>
    </w:p>
    <w:p w14:paraId="52CD2C00"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5.4 Trend line equations for effect of humidity exposure on equilibrium fluid content of quartz-reinforced laminates</w:t>
      </w:r>
      <w:r>
        <w:rPr>
          <w:noProof/>
        </w:rPr>
        <w:tab/>
      </w:r>
      <w:r>
        <w:rPr>
          <w:noProof/>
        </w:rPr>
        <w:fldChar w:fldCharType="begin"/>
      </w:r>
      <w:r>
        <w:rPr>
          <w:noProof/>
        </w:rPr>
        <w:instrText xml:space="preserve"> PAGEREF _Toc346310859 \h </w:instrText>
      </w:r>
      <w:r>
        <w:rPr>
          <w:noProof/>
        </w:rPr>
      </w:r>
      <w:r>
        <w:rPr>
          <w:noProof/>
        </w:rPr>
        <w:fldChar w:fldCharType="separate"/>
      </w:r>
      <w:r w:rsidR="008A1992">
        <w:rPr>
          <w:noProof/>
        </w:rPr>
        <w:t>106</w:t>
      </w:r>
      <w:r>
        <w:rPr>
          <w:noProof/>
        </w:rPr>
        <w:fldChar w:fldCharType="end"/>
      </w:r>
    </w:p>
    <w:p w14:paraId="5C8661AD" w14:textId="77777777" w:rsidR="006E0C96" w:rsidRDefault="006E0C96" w:rsidP="006E0C96">
      <w:pPr>
        <w:pStyle w:val="TableofFigures"/>
        <w:tabs>
          <w:tab w:val="right" w:leader="dot" w:pos="8486"/>
        </w:tabs>
        <w:spacing w:line="240" w:lineRule="auto"/>
        <w:rPr>
          <w:noProof/>
        </w:rPr>
      </w:pPr>
    </w:p>
    <w:p w14:paraId="241DD77D"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5.5 Trend line equations for effect of fabrication pressure on equilibrium fluid content of quartz-reinforced laminates</w:t>
      </w:r>
      <w:r>
        <w:rPr>
          <w:noProof/>
        </w:rPr>
        <w:tab/>
      </w:r>
      <w:r>
        <w:rPr>
          <w:noProof/>
        </w:rPr>
        <w:fldChar w:fldCharType="begin"/>
      </w:r>
      <w:r>
        <w:rPr>
          <w:noProof/>
        </w:rPr>
        <w:instrText xml:space="preserve"> PAGEREF _Toc346310860 \h </w:instrText>
      </w:r>
      <w:r>
        <w:rPr>
          <w:noProof/>
        </w:rPr>
      </w:r>
      <w:r>
        <w:rPr>
          <w:noProof/>
        </w:rPr>
        <w:fldChar w:fldCharType="separate"/>
      </w:r>
      <w:r w:rsidR="008A1992">
        <w:rPr>
          <w:noProof/>
        </w:rPr>
        <w:t>108</w:t>
      </w:r>
      <w:r>
        <w:rPr>
          <w:noProof/>
        </w:rPr>
        <w:fldChar w:fldCharType="end"/>
      </w:r>
    </w:p>
    <w:p w14:paraId="2451430F" w14:textId="77777777" w:rsidR="006E0C96" w:rsidRDefault="006E0C96" w:rsidP="006E0C96">
      <w:pPr>
        <w:pStyle w:val="TableofFigures"/>
        <w:tabs>
          <w:tab w:val="right" w:leader="dot" w:pos="8486"/>
        </w:tabs>
        <w:spacing w:line="240" w:lineRule="auto"/>
        <w:rPr>
          <w:noProof/>
        </w:rPr>
      </w:pPr>
    </w:p>
    <w:p w14:paraId="27E0A7EF"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A.1 Average fiber volume fraction and 95% confidence interval for the three prepreg materials</w:t>
      </w:r>
      <w:r>
        <w:rPr>
          <w:noProof/>
        </w:rPr>
        <w:tab/>
      </w:r>
      <w:r>
        <w:rPr>
          <w:noProof/>
        </w:rPr>
        <w:fldChar w:fldCharType="begin"/>
      </w:r>
      <w:r>
        <w:rPr>
          <w:noProof/>
        </w:rPr>
        <w:instrText xml:space="preserve"> PAGEREF _Toc346310861 \h </w:instrText>
      </w:r>
      <w:r>
        <w:rPr>
          <w:noProof/>
        </w:rPr>
      </w:r>
      <w:r>
        <w:rPr>
          <w:noProof/>
        </w:rPr>
        <w:fldChar w:fldCharType="separate"/>
      </w:r>
      <w:r w:rsidR="008A1992">
        <w:rPr>
          <w:noProof/>
        </w:rPr>
        <w:t>165</w:t>
      </w:r>
      <w:r>
        <w:rPr>
          <w:noProof/>
        </w:rPr>
        <w:fldChar w:fldCharType="end"/>
      </w:r>
    </w:p>
    <w:p w14:paraId="3F6F1A50" w14:textId="77777777" w:rsidR="006E0C96" w:rsidRDefault="006E0C96" w:rsidP="006E0C96">
      <w:pPr>
        <w:pStyle w:val="TableofFigures"/>
        <w:tabs>
          <w:tab w:val="right" w:leader="dot" w:pos="8486"/>
        </w:tabs>
        <w:spacing w:line="240" w:lineRule="auto"/>
        <w:rPr>
          <w:noProof/>
        </w:rPr>
      </w:pPr>
    </w:p>
    <w:p w14:paraId="70974746"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A.2 Average void content and 95% confidence interval for three composite prepreg materials</w:t>
      </w:r>
      <w:r>
        <w:rPr>
          <w:noProof/>
        </w:rPr>
        <w:tab/>
      </w:r>
      <w:r>
        <w:rPr>
          <w:noProof/>
        </w:rPr>
        <w:fldChar w:fldCharType="begin"/>
      </w:r>
      <w:r>
        <w:rPr>
          <w:noProof/>
        </w:rPr>
        <w:instrText xml:space="preserve"> PAGEREF _Toc346310862 \h </w:instrText>
      </w:r>
      <w:r>
        <w:rPr>
          <w:noProof/>
        </w:rPr>
      </w:r>
      <w:r>
        <w:rPr>
          <w:noProof/>
        </w:rPr>
        <w:fldChar w:fldCharType="separate"/>
      </w:r>
      <w:r w:rsidR="008A1992">
        <w:rPr>
          <w:noProof/>
        </w:rPr>
        <w:t>166</w:t>
      </w:r>
      <w:r>
        <w:rPr>
          <w:noProof/>
        </w:rPr>
        <w:fldChar w:fldCharType="end"/>
      </w:r>
    </w:p>
    <w:p w14:paraId="4B1D55BD" w14:textId="77777777" w:rsidR="006E0C96" w:rsidRDefault="006E0C96" w:rsidP="006E0C96">
      <w:pPr>
        <w:pStyle w:val="TableofFigures"/>
        <w:tabs>
          <w:tab w:val="right" w:leader="dot" w:pos="8486"/>
        </w:tabs>
        <w:spacing w:line="240" w:lineRule="auto"/>
        <w:rPr>
          <w:noProof/>
        </w:rPr>
      </w:pPr>
    </w:p>
    <w:p w14:paraId="76964542"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A.3 Average flexural stiffness and 95% confidence interval for the three composite prepreg materials</w:t>
      </w:r>
      <w:r>
        <w:rPr>
          <w:noProof/>
        </w:rPr>
        <w:tab/>
      </w:r>
      <w:r>
        <w:rPr>
          <w:noProof/>
        </w:rPr>
        <w:fldChar w:fldCharType="begin"/>
      </w:r>
      <w:r>
        <w:rPr>
          <w:noProof/>
        </w:rPr>
        <w:instrText xml:space="preserve"> PAGEREF _Toc346310863 \h </w:instrText>
      </w:r>
      <w:r>
        <w:rPr>
          <w:noProof/>
        </w:rPr>
      </w:r>
      <w:r>
        <w:rPr>
          <w:noProof/>
        </w:rPr>
        <w:fldChar w:fldCharType="separate"/>
      </w:r>
      <w:r w:rsidR="008A1992">
        <w:rPr>
          <w:noProof/>
        </w:rPr>
        <w:t>167</w:t>
      </w:r>
      <w:r>
        <w:rPr>
          <w:noProof/>
        </w:rPr>
        <w:fldChar w:fldCharType="end"/>
      </w:r>
    </w:p>
    <w:p w14:paraId="27C1A680" w14:textId="77777777" w:rsidR="006E0C96" w:rsidRDefault="006E0C96" w:rsidP="006E0C96">
      <w:pPr>
        <w:pStyle w:val="TableofFigures"/>
        <w:tabs>
          <w:tab w:val="right" w:leader="dot" w:pos="8486"/>
        </w:tabs>
        <w:spacing w:line="240" w:lineRule="auto"/>
        <w:rPr>
          <w:noProof/>
        </w:rPr>
      </w:pPr>
    </w:p>
    <w:p w14:paraId="7DEBE67D"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A.4 Average flexural strength and 95% confidence interval for three composite prepreg materials</w:t>
      </w:r>
      <w:r>
        <w:rPr>
          <w:noProof/>
        </w:rPr>
        <w:tab/>
      </w:r>
      <w:r>
        <w:rPr>
          <w:noProof/>
        </w:rPr>
        <w:fldChar w:fldCharType="begin"/>
      </w:r>
      <w:r>
        <w:rPr>
          <w:noProof/>
        </w:rPr>
        <w:instrText xml:space="preserve"> PAGEREF _Toc346310864 \h </w:instrText>
      </w:r>
      <w:r>
        <w:rPr>
          <w:noProof/>
        </w:rPr>
      </w:r>
      <w:r>
        <w:rPr>
          <w:noProof/>
        </w:rPr>
        <w:fldChar w:fldCharType="separate"/>
      </w:r>
      <w:r w:rsidR="008A1992">
        <w:rPr>
          <w:noProof/>
        </w:rPr>
        <w:t>168</w:t>
      </w:r>
      <w:r>
        <w:rPr>
          <w:noProof/>
        </w:rPr>
        <w:fldChar w:fldCharType="end"/>
      </w:r>
    </w:p>
    <w:p w14:paraId="48CAD106" w14:textId="77777777" w:rsidR="006E0C96" w:rsidRDefault="006E0C96" w:rsidP="006E0C96">
      <w:pPr>
        <w:pStyle w:val="TableofFigures"/>
        <w:tabs>
          <w:tab w:val="right" w:leader="dot" w:pos="8486"/>
        </w:tabs>
        <w:spacing w:line="240" w:lineRule="auto"/>
        <w:rPr>
          <w:noProof/>
        </w:rPr>
      </w:pPr>
    </w:p>
    <w:p w14:paraId="5DF650CE"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A.5 Average flexural stiffness for hydraulic fluid contaminated specimens and 95% confidence interval for two quartz-reinforced prepregs. Percent reduction determined from dry flexural results</w:t>
      </w:r>
      <w:r>
        <w:rPr>
          <w:noProof/>
        </w:rPr>
        <w:tab/>
      </w:r>
      <w:r>
        <w:rPr>
          <w:noProof/>
        </w:rPr>
        <w:fldChar w:fldCharType="begin"/>
      </w:r>
      <w:r>
        <w:rPr>
          <w:noProof/>
        </w:rPr>
        <w:instrText xml:space="preserve"> PAGEREF _Toc346310865 \h </w:instrText>
      </w:r>
      <w:r>
        <w:rPr>
          <w:noProof/>
        </w:rPr>
      </w:r>
      <w:r>
        <w:rPr>
          <w:noProof/>
        </w:rPr>
        <w:fldChar w:fldCharType="separate"/>
      </w:r>
      <w:r w:rsidR="008A1992">
        <w:rPr>
          <w:noProof/>
        </w:rPr>
        <w:t>169</w:t>
      </w:r>
      <w:r>
        <w:rPr>
          <w:noProof/>
        </w:rPr>
        <w:fldChar w:fldCharType="end"/>
      </w:r>
    </w:p>
    <w:p w14:paraId="481AD784" w14:textId="77777777" w:rsidR="006E0C96" w:rsidRDefault="006E0C96" w:rsidP="006E0C96">
      <w:pPr>
        <w:pStyle w:val="TableofFigures"/>
        <w:tabs>
          <w:tab w:val="right" w:leader="dot" w:pos="8486"/>
        </w:tabs>
        <w:spacing w:line="240" w:lineRule="auto"/>
        <w:rPr>
          <w:noProof/>
        </w:rPr>
      </w:pPr>
    </w:p>
    <w:p w14:paraId="4D86D15E" w14:textId="77777777" w:rsidR="006E0C96" w:rsidRDefault="006E0C96" w:rsidP="006E0C96">
      <w:pPr>
        <w:pStyle w:val="TableofFigures"/>
        <w:tabs>
          <w:tab w:val="right" w:leader="dot" w:pos="8486"/>
        </w:tabs>
        <w:spacing w:line="240" w:lineRule="auto"/>
        <w:rPr>
          <w:rFonts w:eastAsiaTheme="minorEastAsia" w:cstheme="minorBidi"/>
          <w:smallCaps w:val="0"/>
          <w:noProof/>
          <w:szCs w:val="24"/>
          <w:lang w:eastAsia="ja-JP"/>
        </w:rPr>
      </w:pPr>
      <w:r>
        <w:rPr>
          <w:noProof/>
        </w:rPr>
        <w:t>Table A.6 Average flexural strength for hydraulic fluid contaminated specimens and 95% confidence interval for two quartz-reinforced prepregs. Percent reduction determined from dry flexural results</w:t>
      </w:r>
      <w:r>
        <w:rPr>
          <w:noProof/>
        </w:rPr>
        <w:tab/>
      </w:r>
      <w:r>
        <w:rPr>
          <w:noProof/>
        </w:rPr>
        <w:fldChar w:fldCharType="begin"/>
      </w:r>
      <w:r>
        <w:rPr>
          <w:noProof/>
        </w:rPr>
        <w:instrText xml:space="preserve"> PAGEREF _Toc346310866 \h </w:instrText>
      </w:r>
      <w:r>
        <w:rPr>
          <w:noProof/>
        </w:rPr>
      </w:r>
      <w:r>
        <w:rPr>
          <w:noProof/>
        </w:rPr>
        <w:fldChar w:fldCharType="separate"/>
      </w:r>
      <w:r w:rsidR="008A1992">
        <w:rPr>
          <w:noProof/>
        </w:rPr>
        <w:t>170</w:t>
      </w:r>
      <w:r>
        <w:rPr>
          <w:noProof/>
        </w:rPr>
        <w:fldChar w:fldCharType="end"/>
      </w:r>
    </w:p>
    <w:p w14:paraId="32E663E4" w14:textId="77777777" w:rsidR="00907557" w:rsidRDefault="00CF0651" w:rsidP="006E0C96">
      <w:pPr>
        <w:spacing w:line="240" w:lineRule="auto"/>
        <w:ind w:left="720" w:hanging="720"/>
      </w:pPr>
      <w:r>
        <w:fldChar w:fldCharType="end"/>
      </w:r>
    </w:p>
    <w:p w14:paraId="4B92FD8A" w14:textId="77777777" w:rsidR="00907557" w:rsidRDefault="00907557">
      <w:pPr>
        <w:spacing w:line="240" w:lineRule="auto"/>
        <w:jc w:val="left"/>
      </w:pPr>
      <w:r>
        <w:br w:type="page"/>
      </w:r>
    </w:p>
    <w:p w14:paraId="61157D8F" w14:textId="77777777" w:rsidR="00CE161F" w:rsidRDefault="00CE161F" w:rsidP="006427CE">
      <w:pPr>
        <w:pStyle w:val="Headingwo"/>
        <w:numPr>
          <w:ilvl w:val="0"/>
          <w:numId w:val="0"/>
        </w:numPr>
        <w:jc w:val="both"/>
        <w:rPr>
          <w:rFonts w:cs="Times New Roman"/>
        </w:rPr>
      </w:pPr>
      <w:bookmarkStart w:id="3" w:name="_Toc346310948"/>
      <w:r w:rsidRPr="00540118">
        <w:rPr>
          <w:rFonts w:cs="Times New Roman"/>
        </w:rPr>
        <w:lastRenderedPageBreak/>
        <w:t>list of figures</w:t>
      </w:r>
      <w:bookmarkEnd w:id="3"/>
    </w:p>
    <w:p w14:paraId="7D4FE31B" w14:textId="77777777" w:rsidR="00F106C7" w:rsidRDefault="00CF0651" w:rsidP="00F106C7">
      <w:pPr>
        <w:pStyle w:val="TableofFigures"/>
        <w:tabs>
          <w:tab w:val="right" w:leader="dot" w:pos="8486"/>
        </w:tabs>
        <w:spacing w:line="240" w:lineRule="auto"/>
        <w:rPr>
          <w:rFonts w:eastAsiaTheme="minorEastAsia" w:cstheme="minorBidi"/>
          <w:smallCaps w:val="0"/>
          <w:noProof/>
          <w:szCs w:val="24"/>
          <w:lang w:eastAsia="ja-JP"/>
        </w:rPr>
      </w:pPr>
      <w:r>
        <w:fldChar w:fldCharType="begin"/>
      </w:r>
      <w:r w:rsidR="00DE1512">
        <w:instrText xml:space="preserve"> TOC \h \z \c "Figure" </w:instrText>
      </w:r>
      <w:r>
        <w:fldChar w:fldCharType="separate"/>
      </w:r>
      <w:r w:rsidR="00F106C7">
        <w:rPr>
          <w:noProof/>
        </w:rPr>
        <w:t>Figure 2.1 Representative quartz/BMI prepreg sheet prior to conditioning procedure</w:t>
      </w:r>
      <w:r w:rsidR="00F106C7">
        <w:rPr>
          <w:noProof/>
        </w:rPr>
        <w:tab/>
      </w:r>
      <w:r w:rsidR="00F106C7">
        <w:rPr>
          <w:noProof/>
        </w:rPr>
        <w:fldChar w:fldCharType="begin"/>
      </w:r>
      <w:r w:rsidR="00F106C7">
        <w:rPr>
          <w:noProof/>
        </w:rPr>
        <w:instrText xml:space="preserve"> PAGEREF _Toc346310409 \h </w:instrText>
      </w:r>
      <w:r w:rsidR="00F106C7">
        <w:rPr>
          <w:noProof/>
        </w:rPr>
      </w:r>
      <w:r w:rsidR="00F106C7">
        <w:rPr>
          <w:noProof/>
        </w:rPr>
        <w:fldChar w:fldCharType="separate"/>
      </w:r>
      <w:r w:rsidR="008A1992">
        <w:rPr>
          <w:noProof/>
        </w:rPr>
        <w:t>10</w:t>
      </w:r>
      <w:r w:rsidR="00F106C7">
        <w:rPr>
          <w:noProof/>
        </w:rPr>
        <w:fldChar w:fldCharType="end"/>
      </w:r>
    </w:p>
    <w:p w14:paraId="79DA3D74" w14:textId="77777777" w:rsidR="00F106C7" w:rsidRDefault="00F106C7" w:rsidP="00F106C7">
      <w:pPr>
        <w:pStyle w:val="TableofFigures"/>
        <w:tabs>
          <w:tab w:val="right" w:leader="dot" w:pos="8486"/>
        </w:tabs>
        <w:spacing w:line="240" w:lineRule="auto"/>
        <w:rPr>
          <w:noProof/>
        </w:rPr>
      </w:pPr>
    </w:p>
    <w:p w14:paraId="7CC89032"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2.2 Thermotron 8200 environmental chamber used for conditioning prepreg sheets at varying relative humidity levels</w:t>
      </w:r>
      <w:r>
        <w:rPr>
          <w:noProof/>
        </w:rPr>
        <w:tab/>
      </w:r>
      <w:r>
        <w:rPr>
          <w:noProof/>
        </w:rPr>
        <w:fldChar w:fldCharType="begin"/>
      </w:r>
      <w:r>
        <w:rPr>
          <w:noProof/>
        </w:rPr>
        <w:instrText xml:space="preserve"> PAGEREF _Toc346310410 \h </w:instrText>
      </w:r>
      <w:r>
        <w:rPr>
          <w:noProof/>
        </w:rPr>
      </w:r>
      <w:r>
        <w:rPr>
          <w:noProof/>
        </w:rPr>
        <w:fldChar w:fldCharType="separate"/>
      </w:r>
      <w:r w:rsidR="008A1992">
        <w:rPr>
          <w:noProof/>
        </w:rPr>
        <w:t>12</w:t>
      </w:r>
      <w:r>
        <w:rPr>
          <w:noProof/>
        </w:rPr>
        <w:fldChar w:fldCharType="end"/>
      </w:r>
    </w:p>
    <w:p w14:paraId="6ECE4281" w14:textId="77777777" w:rsidR="00F106C7" w:rsidRDefault="00F106C7" w:rsidP="00F106C7">
      <w:pPr>
        <w:pStyle w:val="TableofFigures"/>
        <w:tabs>
          <w:tab w:val="right" w:leader="dot" w:pos="8486"/>
        </w:tabs>
        <w:spacing w:line="240" w:lineRule="auto"/>
        <w:rPr>
          <w:noProof/>
        </w:rPr>
      </w:pPr>
    </w:p>
    <w:p w14:paraId="3550C514"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2.3 Prepreg moisture content after 24 hour exposure for varying relative humidity conditioning levels for the (a) BMI resin and (b) epoxy resin prepregs.  The model of best fit for each trend line is provided in Table 2.3. Intervals associated with 95% confidence for n=5 samples</w:t>
      </w:r>
      <w:r>
        <w:rPr>
          <w:noProof/>
        </w:rPr>
        <w:tab/>
      </w:r>
      <w:r>
        <w:rPr>
          <w:noProof/>
        </w:rPr>
        <w:fldChar w:fldCharType="begin"/>
      </w:r>
      <w:r>
        <w:rPr>
          <w:noProof/>
        </w:rPr>
        <w:instrText xml:space="preserve"> PAGEREF _Toc346310411 \h </w:instrText>
      </w:r>
      <w:r>
        <w:rPr>
          <w:noProof/>
        </w:rPr>
      </w:r>
      <w:r>
        <w:rPr>
          <w:noProof/>
        </w:rPr>
        <w:fldChar w:fldCharType="separate"/>
      </w:r>
      <w:r w:rsidR="008A1992">
        <w:rPr>
          <w:noProof/>
        </w:rPr>
        <w:t>14</w:t>
      </w:r>
      <w:r>
        <w:rPr>
          <w:noProof/>
        </w:rPr>
        <w:fldChar w:fldCharType="end"/>
      </w:r>
    </w:p>
    <w:p w14:paraId="401B3508" w14:textId="77777777" w:rsidR="00F106C7" w:rsidRDefault="00F106C7" w:rsidP="00F106C7">
      <w:pPr>
        <w:pStyle w:val="TableofFigures"/>
        <w:tabs>
          <w:tab w:val="right" w:leader="dot" w:pos="8486"/>
        </w:tabs>
        <w:spacing w:line="240" w:lineRule="auto"/>
        <w:rPr>
          <w:noProof/>
        </w:rPr>
      </w:pPr>
    </w:p>
    <w:p w14:paraId="76A54DEE"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2.4 Carver hot press used for fabricating laminates from conditioned prepregs</w:t>
      </w:r>
      <w:r>
        <w:rPr>
          <w:noProof/>
        </w:rPr>
        <w:tab/>
      </w:r>
      <w:r>
        <w:rPr>
          <w:noProof/>
        </w:rPr>
        <w:fldChar w:fldCharType="begin"/>
      </w:r>
      <w:r>
        <w:rPr>
          <w:noProof/>
        </w:rPr>
        <w:instrText xml:space="preserve"> PAGEREF _Toc346310412 \h </w:instrText>
      </w:r>
      <w:r>
        <w:rPr>
          <w:noProof/>
        </w:rPr>
      </w:r>
      <w:r>
        <w:rPr>
          <w:noProof/>
        </w:rPr>
        <w:fldChar w:fldCharType="separate"/>
      </w:r>
      <w:r w:rsidR="008A1992">
        <w:rPr>
          <w:noProof/>
        </w:rPr>
        <w:t>16</w:t>
      </w:r>
      <w:r>
        <w:rPr>
          <w:noProof/>
        </w:rPr>
        <w:fldChar w:fldCharType="end"/>
      </w:r>
    </w:p>
    <w:p w14:paraId="42CFFC9F" w14:textId="77777777" w:rsidR="00F106C7" w:rsidRDefault="00F106C7" w:rsidP="00F106C7">
      <w:pPr>
        <w:pStyle w:val="TableofFigures"/>
        <w:tabs>
          <w:tab w:val="right" w:leader="dot" w:pos="8486"/>
        </w:tabs>
        <w:spacing w:line="240" w:lineRule="auto"/>
        <w:rPr>
          <w:noProof/>
        </w:rPr>
      </w:pPr>
    </w:p>
    <w:p w14:paraId="3EAB901B"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2.5 Manufacturer suggested temperature cure cycle for (a) BMI prepreg material and (b) epoxy prepreg material</w:t>
      </w:r>
      <w:r>
        <w:rPr>
          <w:noProof/>
        </w:rPr>
        <w:tab/>
      </w:r>
      <w:r>
        <w:rPr>
          <w:noProof/>
        </w:rPr>
        <w:fldChar w:fldCharType="begin"/>
      </w:r>
      <w:r>
        <w:rPr>
          <w:noProof/>
        </w:rPr>
        <w:instrText xml:space="preserve"> PAGEREF _Toc346310413 \h </w:instrText>
      </w:r>
      <w:r>
        <w:rPr>
          <w:noProof/>
        </w:rPr>
      </w:r>
      <w:r>
        <w:rPr>
          <w:noProof/>
        </w:rPr>
        <w:fldChar w:fldCharType="separate"/>
      </w:r>
      <w:r w:rsidR="008A1992">
        <w:rPr>
          <w:noProof/>
        </w:rPr>
        <w:t>16</w:t>
      </w:r>
      <w:r>
        <w:rPr>
          <w:noProof/>
        </w:rPr>
        <w:fldChar w:fldCharType="end"/>
      </w:r>
    </w:p>
    <w:p w14:paraId="046C1E38" w14:textId="77777777" w:rsidR="00F106C7" w:rsidRDefault="00F106C7" w:rsidP="00F106C7">
      <w:pPr>
        <w:pStyle w:val="TableofFigures"/>
        <w:tabs>
          <w:tab w:val="right" w:leader="dot" w:pos="8486"/>
        </w:tabs>
        <w:spacing w:line="240" w:lineRule="auto"/>
        <w:rPr>
          <w:noProof/>
        </w:rPr>
      </w:pPr>
    </w:p>
    <w:p w14:paraId="56C44455"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2.6 Laminate thickness for varying fabrication pressures for each prepreg material</w:t>
      </w:r>
      <w:r>
        <w:rPr>
          <w:noProof/>
        </w:rPr>
        <w:tab/>
      </w:r>
      <w:r>
        <w:rPr>
          <w:noProof/>
        </w:rPr>
        <w:fldChar w:fldCharType="begin"/>
      </w:r>
      <w:r>
        <w:rPr>
          <w:noProof/>
        </w:rPr>
        <w:instrText xml:space="preserve"> PAGEREF _Toc346310414 \h </w:instrText>
      </w:r>
      <w:r>
        <w:rPr>
          <w:noProof/>
        </w:rPr>
      </w:r>
      <w:r>
        <w:rPr>
          <w:noProof/>
        </w:rPr>
        <w:fldChar w:fldCharType="separate"/>
      </w:r>
      <w:r w:rsidR="008A1992">
        <w:rPr>
          <w:noProof/>
        </w:rPr>
        <w:t>17</w:t>
      </w:r>
      <w:r>
        <w:rPr>
          <w:noProof/>
        </w:rPr>
        <w:fldChar w:fldCharType="end"/>
      </w:r>
    </w:p>
    <w:p w14:paraId="71A5E5C1" w14:textId="77777777" w:rsidR="00F106C7" w:rsidRDefault="00F106C7" w:rsidP="00F106C7">
      <w:pPr>
        <w:pStyle w:val="TableofFigures"/>
        <w:tabs>
          <w:tab w:val="right" w:leader="dot" w:pos="8486"/>
        </w:tabs>
        <w:spacing w:line="240" w:lineRule="auto"/>
        <w:rPr>
          <w:noProof/>
        </w:rPr>
      </w:pPr>
    </w:p>
    <w:p w14:paraId="427E59A1"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2.7 Finished quartz/BMI laminate that is representative of other laminates in study</w:t>
      </w:r>
      <w:r>
        <w:rPr>
          <w:noProof/>
        </w:rPr>
        <w:tab/>
      </w:r>
      <w:r>
        <w:rPr>
          <w:noProof/>
        </w:rPr>
        <w:fldChar w:fldCharType="begin"/>
      </w:r>
      <w:r>
        <w:rPr>
          <w:noProof/>
        </w:rPr>
        <w:instrText xml:space="preserve"> PAGEREF _Toc346310415 \h </w:instrText>
      </w:r>
      <w:r>
        <w:rPr>
          <w:noProof/>
        </w:rPr>
      </w:r>
      <w:r>
        <w:rPr>
          <w:noProof/>
        </w:rPr>
        <w:fldChar w:fldCharType="separate"/>
      </w:r>
      <w:r w:rsidR="008A1992">
        <w:rPr>
          <w:noProof/>
        </w:rPr>
        <w:t>18</w:t>
      </w:r>
      <w:r>
        <w:rPr>
          <w:noProof/>
        </w:rPr>
        <w:fldChar w:fldCharType="end"/>
      </w:r>
    </w:p>
    <w:p w14:paraId="1DD43946" w14:textId="77777777" w:rsidR="00F106C7" w:rsidRDefault="00F106C7" w:rsidP="00F106C7">
      <w:pPr>
        <w:pStyle w:val="TableofFigures"/>
        <w:tabs>
          <w:tab w:val="right" w:leader="dot" w:pos="8486"/>
        </w:tabs>
        <w:spacing w:line="240" w:lineRule="auto"/>
        <w:rPr>
          <w:noProof/>
        </w:rPr>
      </w:pPr>
    </w:p>
    <w:p w14:paraId="04414CC9"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2.8 Location and specimen allocation for each Research Task</w:t>
      </w:r>
      <w:r>
        <w:rPr>
          <w:noProof/>
        </w:rPr>
        <w:tab/>
      </w:r>
      <w:r>
        <w:rPr>
          <w:noProof/>
        </w:rPr>
        <w:fldChar w:fldCharType="begin"/>
      </w:r>
      <w:r>
        <w:rPr>
          <w:noProof/>
        </w:rPr>
        <w:instrText xml:space="preserve"> PAGEREF _Toc346310416 \h </w:instrText>
      </w:r>
      <w:r>
        <w:rPr>
          <w:noProof/>
        </w:rPr>
      </w:r>
      <w:r>
        <w:rPr>
          <w:noProof/>
        </w:rPr>
        <w:fldChar w:fldCharType="separate"/>
      </w:r>
      <w:r w:rsidR="008A1992">
        <w:rPr>
          <w:noProof/>
        </w:rPr>
        <w:t>21</w:t>
      </w:r>
      <w:r>
        <w:rPr>
          <w:noProof/>
        </w:rPr>
        <w:fldChar w:fldCharType="end"/>
      </w:r>
    </w:p>
    <w:p w14:paraId="0265FE2A" w14:textId="77777777" w:rsidR="00F106C7" w:rsidRDefault="00F106C7" w:rsidP="00F106C7">
      <w:pPr>
        <w:pStyle w:val="TableofFigures"/>
        <w:tabs>
          <w:tab w:val="right" w:leader="dot" w:pos="8486"/>
        </w:tabs>
        <w:spacing w:line="240" w:lineRule="auto"/>
        <w:rPr>
          <w:noProof/>
        </w:rPr>
      </w:pPr>
    </w:p>
    <w:p w14:paraId="582B5F95"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2.9 Average fiber volume fraction as prepreg moisture content (M</w:t>
      </w:r>
      <w:r w:rsidRPr="00386E19">
        <w:rPr>
          <w:noProof/>
          <w:vertAlign w:val="subscript"/>
        </w:rPr>
        <w:t>P</w:t>
      </w:r>
      <w:r>
        <w:rPr>
          <w:noProof/>
        </w:rPr>
        <w:t>) and fabrication pressure changed for (a) Quartz/BMI, (b) Quartz/Epoxy, and (c) Carbon/Epoxy.  Error bars are associated with 95% confidence for n=8 samples</w:t>
      </w:r>
      <w:r>
        <w:rPr>
          <w:noProof/>
        </w:rPr>
        <w:tab/>
      </w:r>
      <w:r>
        <w:rPr>
          <w:noProof/>
        </w:rPr>
        <w:fldChar w:fldCharType="begin"/>
      </w:r>
      <w:r>
        <w:rPr>
          <w:noProof/>
        </w:rPr>
        <w:instrText xml:space="preserve"> PAGEREF _Toc346310417 \h </w:instrText>
      </w:r>
      <w:r>
        <w:rPr>
          <w:noProof/>
        </w:rPr>
      </w:r>
      <w:r>
        <w:rPr>
          <w:noProof/>
        </w:rPr>
        <w:fldChar w:fldCharType="separate"/>
      </w:r>
      <w:r w:rsidR="008A1992">
        <w:rPr>
          <w:noProof/>
        </w:rPr>
        <w:t>26</w:t>
      </w:r>
      <w:r>
        <w:rPr>
          <w:noProof/>
        </w:rPr>
        <w:fldChar w:fldCharType="end"/>
      </w:r>
    </w:p>
    <w:p w14:paraId="41F22AF0" w14:textId="77777777" w:rsidR="00F106C7" w:rsidRDefault="00F106C7" w:rsidP="00F106C7">
      <w:pPr>
        <w:pStyle w:val="TableofFigures"/>
        <w:tabs>
          <w:tab w:val="right" w:leader="dot" w:pos="8486"/>
        </w:tabs>
        <w:spacing w:line="240" w:lineRule="auto"/>
        <w:rPr>
          <w:noProof/>
        </w:rPr>
      </w:pPr>
    </w:p>
    <w:p w14:paraId="12FEC98C"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2.10 Average void fraction as prepreg moisture content (M</w:t>
      </w:r>
      <w:r w:rsidRPr="00386E19">
        <w:rPr>
          <w:noProof/>
          <w:vertAlign w:val="subscript"/>
        </w:rPr>
        <w:t>PP</w:t>
      </w:r>
      <w:r>
        <w:rPr>
          <w:noProof/>
        </w:rPr>
        <w:t>) and fabrication pressure changed for (a) Quartz/BMI, (b) Quartz/Epoxy, and (c) Carbon/Epoxy.  Error bars are associated with 95% confidence for n=8 samples</w:t>
      </w:r>
      <w:r>
        <w:rPr>
          <w:noProof/>
        </w:rPr>
        <w:tab/>
      </w:r>
      <w:r>
        <w:rPr>
          <w:noProof/>
        </w:rPr>
        <w:fldChar w:fldCharType="begin"/>
      </w:r>
      <w:r>
        <w:rPr>
          <w:noProof/>
        </w:rPr>
        <w:instrText xml:space="preserve"> PAGEREF _Toc346310418 \h </w:instrText>
      </w:r>
      <w:r>
        <w:rPr>
          <w:noProof/>
        </w:rPr>
      </w:r>
      <w:r>
        <w:rPr>
          <w:noProof/>
        </w:rPr>
        <w:fldChar w:fldCharType="separate"/>
      </w:r>
      <w:r w:rsidR="008A1992">
        <w:rPr>
          <w:noProof/>
        </w:rPr>
        <w:t>29</w:t>
      </w:r>
      <w:r>
        <w:rPr>
          <w:noProof/>
        </w:rPr>
        <w:fldChar w:fldCharType="end"/>
      </w:r>
    </w:p>
    <w:p w14:paraId="34873467" w14:textId="77777777" w:rsidR="00F106C7" w:rsidRDefault="00F106C7" w:rsidP="00F106C7">
      <w:pPr>
        <w:pStyle w:val="TableofFigures"/>
        <w:tabs>
          <w:tab w:val="right" w:leader="dot" w:pos="8486"/>
        </w:tabs>
        <w:spacing w:line="240" w:lineRule="auto"/>
        <w:rPr>
          <w:noProof/>
        </w:rPr>
      </w:pPr>
    </w:p>
    <w:p w14:paraId="5386C159"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2.11 Effect of varying prepreg humidity conditioning on laminate fiber volume fraction for (a) Quartz/Epoxy, (b) Quartz/BMI, and (c) Carbon/Epoxy</w:t>
      </w:r>
      <w:r>
        <w:rPr>
          <w:noProof/>
        </w:rPr>
        <w:tab/>
      </w:r>
      <w:r>
        <w:rPr>
          <w:noProof/>
        </w:rPr>
        <w:fldChar w:fldCharType="begin"/>
      </w:r>
      <w:r>
        <w:rPr>
          <w:noProof/>
        </w:rPr>
        <w:instrText xml:space="preserve"> PAGEREF _Toc346310419 \h </w:instrText>
      </w:r>
      <w:r>
        <w:rPr>
          <w:noProof/>
        </w:rPr>
      </w:r>
      <w:r>
        <w:rPr>
          <w:noProof/>
        </w:rPr>
        <w:fldChar w:fldCharType="separate"/>
      </w:r>
      <w:r w:rsidR="008A1992">
        <w:rPr>
          <w:noProof/>
        </w:rPr>
        <w:t>31</w:t>
      </w:r>
      <w:r>
        <w:rPr>
          <w:noProof/>
        </w:rPr>
        <w:fldChar w:fldCharType="end"/>
      </w:r>
    </w:p>
    <w:p w14:paraId="019E64A1" w14:textId="77777777" w:rsidR="00F106C7" w:rsidRDefault="00F106C7" w:rsidP="00F106C7">
      <w:pPr>
        <w:pStyle w:val="TableofFigures"/>
        <w:tabs>
          <w:tab w:val="right" w:leader="dot" w:pos="8486"/>
        </w:tabs>
        <w:spacing w:line="240" w:lineRule="auto"/>
        <w:rPr>
          <w:noProof/>
        </w:rPr>
      </w:pPr>
    </w:p>
    <w:p w14:paraId="73B443BA"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2.12 Effect of varying fabrication pressure on laminate fiber volume fraction for (a) Quartz/Epoxy, (b) Quartz/BMI, and (c) Carbon/Epoxy prepregs</w:t>
      </w:r>
      <w:r>
        <w:rPr>
          <w:noProof/>
        </w:rPr>
        <w:tab/>
      </w:r>
      <w:r>
        <w:rPr>
          <w:noProof/>
        </w:rPr>
        <w:fldChar w:fldCharType="begin"/>
      </w:r>
      <w:r>
        <w:rPr>
          <w:noProof/>
        </w:rPr>
        <w:instrText xml:space="preserve"> PAGEREF _Toc346310420 \h </w:instrText>
      </w:r>
      <w:r>
        <w:rPr>
          <w:noProof/>
        </w:rPr>
      </w:r>
      <w:r>
        <w:rPr>
          <w:noProof/>
        </w:rPr>
        <w:fldChar w:fldCharType="separate"/>
      </w:r>
      <w:r w:rsidR="008A1992">
        <w:rPr>
          <w:noProof/>
        </w:rPr>
        <w:t>34</w:t>
      </w:r>
      <w:r>
        <w:rPr>
          <w:noProof/>
        </w:rPr>
        <w:fldChar w:fldCharType="end"/>
      </w:r>
    </w:p>
    <w:p w14:paraId="39D02814" w14:textId="77777777" w:rsidR="00F106C7" w:rsidRDefault="00F106C7" w:rsidP="00F106C7">
      <w:pPr>
        <w:pStyle w:val="TableofFigures"/>
        <w:tabs>
          <w:tab w:val="right" w:leader="dot" w:pos="8486"/>
        </w:tabs>
        <w:spacing w:line="240" w:lineRule="auto"/>
        <w:rPr>
          <w:noProof/>
        </w:rPr>
      </w:pPr>
    </w:p>
    <w:p w14:paraId="659732F3"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lastRenderedPageBreak/>
        <w:t>Figure 2.13 Effect of varying prepreg humidity conditioning on void volume fraction for (a) Quartz/Epoxy, (b) Quartz/BMI, and (c) Carbon/Epoxy</w:t>
      </w:r>
      <w:r>
        <w:rPr>
          <w:noProof/>
        </w:rPr>
        <w:tab/>
      </w:r>
      <w:r>
        <w:rPr>
          <w:noProof/>
        </w:rPr>
        <w:fldChar w:fldCharType="begin"/>
      </w:r>
      <w:r>
        <w:rPr>
          <w:noProof/>
        </w:rPr>
        <w:instrText xml:space="preserve"> PAGEREF _Toc346310421 \h </w:instrText>
      </w:r>
      <w:r>
        <w:rPr>
          <w:noProof/>
        </w:rPr>
      </w:r>
      <w:r>
        <w:rPr>
          <w:noProof/>
        </w:rPr>
        <w:fldChar w:fldCharType="separate"/>
      </w:r>
      <w:r w:rsidR="008A1992">
        <w:rPr>
          <w:noProof/>
        </w:rPr>
        <w:t>37</w:t>
      </w:r>
      <w:r>
        <w:rPr>
          <w:noProof/>
        </w:rPr>
        <w:fldChar w:fldCharType="end"/>
      </w:r>
    </w:p>
    <w:p w14:paraId="03A05B03" w14:textId="77777777" w:rsidR="00F106C7" w:rsidRDefault="00F106C7" w:rsidP="00F106C7">
      <w:pPr>
        <w:pStyle w:val="TableofFigures"/>
        <w:tabs>
          <w:tab w:val="right" w:leader="dot" w:pos="8486"/>
        </w:tabs>
        <w:spacing w:line="240" w:lineRule="auto"/>
        <w:rPr>
          <w:noProof/>
        </w:rPr>
      </w:pPr>
    </w:p>
    <w:p w14:paraId="748A8232"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2.14 Effect of varying fabrication pressure on void volume fraction for (a) Quartz/Epoxy, (b) Quartz/BMI, and (c) Carbon/Epoxy</w:t>
      </w:r>
      <w:r>
        <w:rPr>
          <w:noProof/>
        </w:rPr>
        <w:tab/>
      </w:r>
      <w:r>
        <w:rPr>
          <w:noProof/>
        </w:rPr>
        <w:fldChar w:fldCharType="begin"/>
      </w:r>
      <w:r>
        <w:rPr>
          <w:noProof/>
        </w:rPr>
        <w:instrText xml:space="preserve"> PAGEREF _Toc346310422 \h </w:instrText>
      </w:r>
      <w:r>
        <w:rPr>
          <w:noProof/>
        </w:rPr>
      </w:r>
      <w:r>
        <w:rPr>
          <w:noProof/>
        </w:rPr>
        <w:fldChar w:fldCharType="separate"/>
      </w:r>
      <w:r w:rsidR="008A1992">
        <w:rPr>
          <w:noProof/>
        </w:rPr>
        <w:t>39</w:t>
      </w:r>
      <w:r>
        <w:rPr>
          <w:noProof/>
        </w:rPr>
        <w:fldChar w:fldCharType="end"/>
      </w:r>
    </w:p>
    <w:p w14:paraId="7FABF9F0" w14:textId="77777777" w:rsidR="00F106C7" w:rsidRDefault="00F106C7" w:rsidP="00F106C7">
      <w:pPr>
        <w:pStyle w:val="TableofFigures"/>
        <w:tabs>
          <w:tab w:val="right" w:leader="dot" w:pos="8486"/>
        </w:tabs>
        <w:spacing w:line="240" w:lineRule="auto"/>
        <w:rPr>
          <w:noProof/>
        </w:rPr>
      </w:pPr>
    </w:p>
    <w:p w14:paraId="00B1A3EA"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2.15 SEM images of Quartz/BMI laminates fabricated from prepregs conditioned at 2% relative humidity and cured at a) 69 kPa, b) 207 kPa, c) 345 kPa, and d) 483 kPa</w:t>
      </w:r>
      <w:r>
        <w:rPr>
          <w:noProof/>
        </w:rPr>
        <w:tab/>
      </w:r>
      <w:r>
        <w:rPr>
          <w:noProof/>
        </w:rPr>
        <w:fldChar w:fldCharType="begin"/>
      </w:r>
      <w:r>
        <w:rPr>
          <w:noProof/>
        </w:rPr>
        <w:instrText xml:space="preserve"> PAGEREF _Toc346310423 \h </w:instrText>
      </w:r>
      <w:r>
        <w:rPr>
          <w:noProof/>
        </w:rPr>
      </w:r>
      <w:r>
        <w:rPr>
          <w:noProof/>
        </w:rPr>
        <w:fldChar w:fldCharType="separate"/>
      </w:r>
      <w:r w:rsidR="008A1992">
        <w:rPr>
          <w:noProof/>
        </w:rPr>
        <w:t>41</w:t>
      </w:r>
      <w:r>
        <w:rPr>
          <w:noProof/>
        </w:rPr>
        <w:fldChar w:fldCharType="end"/>
      </w:r>
    </w:p>
    <w:p w14:paraId="6AB3680F" w14:textId="77777777" w:rsidR="00F106C7" w:rsidRDefault="00F106C7" w:rsidP="00F106C7">
      <w:pPr>
        <w:pStyle w:val="TableofFigures"/>
        <w:tabs>
          <w:tab w:val="right" w:leader="dot" w:pos="8486"/>
        </w:tabs>
        <w:spacing w:line="240" w:lineRule="auto"/>
        <w:rPr>
          <w:noProof/>
        </w:rPr>
      </w:pPr>
    </w:p>
    <w:p w14:paraId="39EA0347"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2.16 SEM images of Quartz/BMI laminates fabricated at 483 kPa from prepregs conditioned at a) 2% relative humidity, b) 40% relative humidity, c) 70% relative humidity, and d) 99% relative humidity</w:t>
      </w:r>
      <w:r>
        <w:rPr>
          <w:noProof/>
        </w:rPr>
        <w:tab/>
      </w:r>
      <w:r>
        <w:rPr>
          <w:noProof/>
        </w:rPr>
        <w:fldChar w:fldCharType="begin"/>
      </w:r>
      <w:r>
        <w:rPr>
          <w:noProof/>
        </w:rPr>
        <w:instrText xml:space="preserve"> PAGEREF _Toc346310424 \h </w:instrText>
      </w:r>
      <w:r>
        <w:rPr>
          <w:noProof/>
        </w:rPr>
      </w:r>
      <w:r>
        <w:rPr>
          <w:noProof/>
        </w:rPr>
        <w:fldChar w:fldCharType="separate"/>
      </w:r>
      <w:r w:rsidR="008A1992">
        <w:rPr>
          <w:noProof/>
        </w:rPr>
        <w:t>43</w:t>
      </w:r>
      <w:r>
        <w:rPr>
          <w:noProof/>
        </w:rPr>
        <w:fldChar w:fldCharType="end"/>
      </w:r>
    </w:p>
    <w:p w14:paraId="11CFD1B3" w14:textId="77777777" w:rsidR="00F106C7" w:rsidRDefault="00F106C7" w:rsidP="00F106C7">
      <w:pPr>
        <w:pStyle w:val="TableofFigures"/>
        <w:tabs>
          <w:tab w:val="right" w:leader="dot" w:pos="8486"/>
        </w:tabs>
        <w:spacing w:line="240" w:lineRule="auto"/>
        <w:rPr>
          <w:noProof/>
        </w:rPr>
      </w:pPr>
    </w:p>
    <w:p w14:paraId="618C8845"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2.17 SEM images of Quartz/Epoxy laminates fabricated from prepregs conditioned at 2% relative humidity and cured at a) 69 kPa, b) 207 kPa, c) 345 kPa, and d) 483 kPa</w:t>
      </w:r>
      <w:r>
        <w:rPr>
          <w:noProof/>
        </w:rPr>
        <w:tab/>
      </w:r>
      <w:r>
        <w:rPr>
          <w:noProof/>
        </w:rPr>
        <w:fldChar w:fldCharType="begin"/>
      </w:r>
      <w:r>
        <w:rPr>
          <w:noProof/>
        </w:rPr>
        <w:instrText xml:space="preserve"> PAGEREF _Toc346310425 \h </w:instrText>
      </w:r>
      <w:r>
        <w:rPr>
          <w:noProof/>
        </w:rPr>
      </w:r>
      <w:r>
        <w:rPr>
          <w:noProof/>
        </w:rPr>
        <w:fldChar w:fldCharType="separate"/>
      </w:r>
      <w:r w:rsidR="008A1992">
        <w:rPr>
          <w:noProof/>
        </w:rPr>
        <w:t>44</w:t>
      </w:r>
      <w:r>
        <w:rPr>
          <w:noProof/>
        </w:rPr>
        <w:fldChar w:fldCharType="end"/>
      </w:r>
    </w:p>
    <w:p w14:paraId="07D1AC68" w14:textId="77777777" w:rsidR="00F106C7" w:rsidRDefault="00F106C7" w:rsidP="00F106C7">
      <w:pPr>
        <w:pStyle w:val="TableofFigures"/>
        <w:tabs>
          <w:tab w:val="right" w:leader="dot" w:pos="8486"/>
        </w:tabs>
        <w:spacing w:line="240" w:lineRule="auto"/>
        <w:rPr>
          <w:noProof/>
        </w:rPr>
      </w:pPr>
    </w:p>
    <w:p w14:paraId="67549D53"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2.18 SEM images of Quartz/Epoxy laminates fabricated at 483 kPa from prepregs conditioned at a) 2% relative humidity, b) 40% relative humidity, c) 70% relative humidity, and d) 99% relative humidity</w:t>
      </w:r>
      <w:r>
        <w:rPr>
          <w:noProof/>
        </w:rPr>
        <w:tab/>
      </w:r>
      <w:r>
        <w:rPr>
          <w:noProof/>
        </w:rPr>
        <w:fldChar w:fldCharType="begin"/>
      </w:r>
      <w:r>
        <w:rPr>
          <w:noProof/>
        </w:rPr>
        <w:instrText xml:space="preserve"> PAGEREF _Toc346310426 \h </w:instrText>
      </w:r>
      <w:r>
        <w:rPr>
          <w:noProof/>
        </w:rPr>
      </w:r>
      <w:r>
        <w:rPr>
          <w:noProof/>
        </w:rPr>
        <w:fldChar w:fldCharType="separate"/>
      </w:r>
      <w:r w:rsidR="008A1992">
        <w:rPr>
          <w:noProof/>
        </w:rPr>
        <w:t>45</w:t>
      </w:r>
      <w:r>
        <w:rPr>
          <w:noProof/>
        </w:rPr>
        <w:fldChar w:fldCharType="end"/>
      </w:r>
    </w:p>
    <w:p w14:paraId="08C1A488" w14:textId="77777777" w:rsidR="00F106C7" w:rsidRDefault="00F106C7" w:rsidP="00F106C7">
      <w:pPr>
        <w:pStyle w:val="TableofFigures"/>
        <w:tabs>
          <w:tab w:val="right" w:leader="dot" w:pos="8486"/>
        </w:tabs>
        <w:spacing w:line="240" w:lineRule="auto"/>
        <w:rPr>
          <w:noProof/>
        </w:rPr>
      </w:pPr>
    </w:p>
    <w:p w14:paraId="34246653"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2.19 SEM images of Carbon/Epoxy laminates fabricated from prepregs conditioned at 2% relative humidity and cured at a) 69 kPa, b) 207 kPa, c) 345 kPa, and d) 483 kPa</w:t>
      </w:r>
      <w:r>
        <w:rPr>
          <w:noProof/>
        </w:rPr>
        <w:tab/>
      </w:r>
      <w:r>
        <w:rPr>
          <w:noProof/>
        </w:rPr>
        <w:fldChar w:fldCharType="begin"/>
      </w:r>
      <w:r>
        <w:rPr>
          <w:noProof/>
        </w:rPr>
        <w:instrText xml:space="preserve"> PAGEREF _Toc346310427 \h </w:instrText>
      </w:r>
      <w:r>
        <w:rPr>
          <w:noProof/>
        </w:rPr>
      </w:r>
      <w:r>
        <w:rPr>
          <w:noProof/>
        </w:rPr>
        <w:fldChar w:fldCharType="separate"/>
      </w:r>
      <w:r w:rsidR="008A1992">
        <w:rPr>
          <w:noProof/>
        </w:rPr>
        <w:t>46</w:t>
      </w:r>
      <w:r>
        <w:rPr>
          <w:noProof/>
        </w:rPr>
        <w:fldChar w:fldCharType="end"/>
      </w:r>
    </w:p>
    <w:p w14:paraId="333EBC11" w14:textId="77777777" w:rsidR="00F106C7" w:rsidRDefault="00F106C7" w:rsidP="00F106C7">
      <w:pPr>
        <w:pStyle w:val="TableofFigures"/>
        <w:tabs>
          <w:tab w:val="right" w:leader="dot" w:pos="8486"/>
        </w:tabs>
        <w:spacing w:line="240" w:lineRule="auto"/>
        <w:rPr>
          <w:noProof/>
        </w:rPr>
      </w:pPr>
    </w:p>
    <w:p w14:paraId="73764A94"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2.20 SEM images of Carbon/Epoxy laminates fabricated at 483 kPa from prepregs conditioned at a) 2% relative humidity, b) 40% relative humidity, c) 70% relative humidity, and d) 99% relative humidity</w:t>
      </w:r>
      <w:r>
        <w:rPr>
          <w:noProof/>
        </w:rPr>
        <w:tab/>
      </w:r>
      <w:r>
        <w:rPr>
          <w:noProof/>
        </w:rPr>
        <w:fldChar w:fldCharType="begin"/>
      </w:r>
      <w:r>
        <w:rPr>
          <w:noProof/>
        </w:rPr>
        <w:instrText xml:space="preserve"> PAGEREF _Toc346310428 \h </w:instrText>
      </w:r>
      <w:r>
        <w:rPr>
          <w:noProof/>
        </w:rPr>
      </w:r>
      <w:r>
        <w:rPr>
          <w:noProof/>
        </w:rPr>
        <w:fldChar w:fldCharType="separate"/>
      </w:r>
      <w:r w:rsidR="008A1992">
        <w:rPr>
          <w:noProof/>
        </w:rPr>
        <w:t>47</w:t>
      </w:r>
      <w:r>
        <w:rPr>
          <w:noProof/>
        </w:rPr>
        <w:fldChar w:fldCharType="end"/>
      </w:r>
    </w:p>
    <w:p w14:paraId="7737D04B" w14:textId="77777777" w:rsidR="00F106C7" w:rsidRDefault="00F106C7" w:rsidP="00F106C7">
      <w:pPr>
        <w:pStyle w:val="TableofFigures"/>
        <w:tabs>
          <w:tab w:val="right" w:leader="dot" w:pos="8486"/>
        </w:tabs>
        <w:spacing w:line="240" w:lineRule="auto"/>
        <w:rPr>
          <w:noProof/>
        </w:rPr>
      </w:pPr>
    </w:p>
    <w:p w14:paraId="1C17F419"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3.1 Average flexural stiffness for varying prepreg humidity conditioning and fabrication pressure for (a) Quartz/BMI, (b) Quartz/Epoxy, and (c) Carbon/Epoxy.  Error bars are associated with 95% confidence for n=6 samples</w:t>
      </w:r>
      <w:r>
        <w:rPr>
          <w:noProof/>
        </w:rPr>
        <w:tab/>
      </w:r>
      <w:r>
        <w:rPr>
          <w:noProof/>
        </w:rPr>
        <w:fldChar w:fldCharType="begin"/>
      </w:r>
      <w:r>
        <w:rPr>
          <w:noProof/>
        </w:rPr>
        <w:instrText xml:space="preserve"> PAGEREF _Toc346310429 \h </w:instrText>
      </w:r>
      <w:r>
        <w:rPr>
          <w:noProof/>
        </w:rPr>
      </w:r>
      <w:r>
        <w:rPr>
          <w:noProof/>
        </w:rPr>
        <w:fldChar w:fldCharType="separate"/>
      </w:r>
      <w:r w:rsidR="008A1992">
        <w:rPr>
          <w:noProof/>
        </w:rPr>
        <w:t>56</w:t>
      </w:r>
      <w:r>
        <w:rPr>
          <w:noProof/>
        </w:rPr>
        <w:fldChar w:fldCharType="end"/>
      </w:r>
    </w:p>
    <w:p w14:paraId="47432D90" w14:textId="77777777" w:rsidR="00F106C7" w:rsidRDefault="00F106C7" w:rsidP="00F106C7">
      <w:pPr>
        <w:pStyle w:val="TableofFigures"/>
        <w:tabs>
          <w:tab w:val="right" w:leader="dot" w:pos="8486"/>
        </w:tabs>
        <w:spacing w:line="240" w:lineRule="auto"/>
        <w:rPr>
          <w:noProof/>
        </w:rPr>
      </w:pPr>
    </w:p>
    <w:p w14:paraId="5DFC1EF3"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3.2 Average flexural strength for varying prepreg humidity conditioning and fabrication pressure for (a) Quartz/BMI, (b) Quartz/Epoxy, and (c) Carbon/Epoxy.  Error bars are associated with 95% confidence for n=6 samples</w:t>
      </w:r>
      <w:r>
        <w:rPr>
          <w:noProof/>
        </w:rPr>
        <w:tab/>
      </w:r>
      <w:r>
        <w:rPr>
          <w:noProof/>
        </w:rPr>
        <w:fldChar w:fldCharType="begin"/>
      </w:r>
      <w:r>
        <w:rPr>
          <w:noProof/>
        </w:rPr>
        <w:instrText xml:space="preserve"> PAGEREF _Toc346310430 \h </w:instrText>
      </w:r>
      <w:r>
        <w:rPr>
          <w:noProof/>
        </w:rPr>
      </w:r>
      <w:r>
        <w:rPr>
          <w:noProof/>
        </w:rPr>
        <w:fldChar w:fldCharType="separate"/>
      </w:r>
      <w:r w:rsidR="008A1992">
        <w:rPr>
          <w:noProof/>
        </w:rPr>
        <w:t>58</w:t>
      </w:r>
      <w:r>
        <w:rPr>
          <w:noProof/>
        </w:rPr>
        <w:fldChar w:fldCharType="end"/>
      </w:r>
    </w:p>
    <w:p w14:paraId="01B63CB2" w14:textId="77777777" w:rsidR="00F106C7" w:rsidRDefault="00F106C7" w:rsidP="00F106C7">
      <w:pPr>
        <w:pStyle w:val="TableofFigures"/>
        <w:tabs>
          <w:tab w:val="right" w:leader="dot" w:pos="8486"/>
        </w:tabs>
        <w:spacing w:line="240" w:lineRule="auto"/>
        <w:rPr>
          <w:noProof/>
        </w:rPr>
      </w:pPr>
    </w:p>
    <w:p w14:paraId="2C3C2F23"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3.3 Effect of prepreg humidity exposure on the flexural stiffness for (a) Quartz/Epoxy, (b) Quartz/BMI, and (c) Carbon/Epoxy laminates</w:t>
      </w:r>
      <w:r>
        <w:rPr>
          <w:noProof/>
        </w:rPr>
        <w:tab/>
      </w:r>
      <w:r>
        <w:rPr>
          <w:noProof/>
        </w:rPr>
        <w:fldChar w:fldCharType="begin"/>
      </w:r>
      <w:r>
        <w:rPr>
          <w:noProof/>
        </w:rPr>
        <w:instrText xml:space="preserve"> PAGEREF _Toc346310431 \h </w:instrText>
      </w:r>
      <w:r>
        <w:rPr>
          <w:noProof/>
        </w:rPr>
      </w:r>
      <w:r>
        <w:rPr>
          <w:noProof/>
        </w:rPr>
        <w:fldChar w:fldCharType="separate"/>
      </w:r>
      <w:r w:rsidR="008A1992">
        <w:rPr>
          <w:noProof/>
        </w:rPr>
        <w:t>60</w:t>
      </w:r>
      <w:r>
        <w:rPr>
          <w:noProof/>
        </w:rPr>
        <w:fldChar w:fldCharType="end"/>
      </w:r>
    </w:p>
    <w:p w14:paraId="1F044420" w14:textId="77777777" w:rsidR="00F106C7" w:rsidRDefault="00F106C7" w:rsidP="00F106C7">
      <w:pPr>
        <w:pStyle w:val="TableofFigures"/>
        <w:tabs>
          <w:tab w:val="right" w:leader="dot" w:pos="8486"/>
        </w:tabs>
        <w:spacing w:line="240" w:lineRule="auto"/>
        <w:rPr>
          <w:noProof/>
        </w:rPr>
      </w:pPr>
    </w:p>
    <w:p w14:paraId="1BE929E8"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3.4 Effect of fabrication pressure on the flexural stiffness for (a) Quartz/Epoxy, (b) Quartz/BMI, and (c) Carbon/Epoxy</w:t>
      </w:r>
      <w:r>
        <w:rPr>
          <w:noProof/>
        </w:rPr>
        <w:tab/>
      </w:r>
      <w:r>
        <w:rPr>
          <w:noProof/>
        </w:rPr>
        <w:fldChar w:fldCharType="begin"/>
      </w:r>
      <w:r>
        <w:rPr>
          <w:noProof/>
        </w:rPr>
        <w:instrText xml:space="preserve"> PAGEREF _Toc346310432 \h </w:instrText>
      </w:r>
      <w:r>
        <w:rPr>
          <w:noProof/>
        </w:rPr>
      </w:r>
      <w:r>
        <w:rPr>
          <w:noProof/>
        </w:rPr>
        <w:fldChar w:fldCharType="separate"/>
      </w:r>
      <w:r w:rsidR="008A1992">
        <w:rPr>
          <w:noProof/>
        </w:rPr>
        <w:t>63</w:t>
      </w:r>
      <w:r>
        <w:rPr>
          <w:noProof/>
        </w:rPr>
        <w:fldChar w:fldCharType="end"/>
      </w:r>
    </w:p>
    <w:p w14:paraId="31A4EC26" w14:textId="77777777" w:rsidR="00F106C7" w:rsidRDefault="00F106C7" w:rsidP="00F106C7">
      <w:pPr>
        <w:pStyle w:val="TableofFigures"/>
        <w:tabs>
          <w:tab w:val="right" w:leader="dot" w:pos="8486"/>
        </w:tabs>
        <w:spacing w:line="240" w:lineRule="auto"/>
        <w:rPr>
          <w:noProof/>
        </w:rPr>
      </w:pPr>
    </w:p>
    <w:p w14:paraId="5AF97B1A"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lastRenderedPageBreak/>
        <w:t>Figure 3.5 Effect of prepreg humidity exposure on the flexural strength for (a) Quartz/Epoxy, (b) Quartz/BMI, and (c) Carbon/Epoxy</w:t>
      </w:r>
      <w:r>
        <w:rPr>
          <w:noProof/>
        </w:rPr>
        <w:tab/>
      </w:r>
      <w:r>
        <w:rPr>
          <w:noProof/>
        </w:rPr>
        <w:fldChar w:fldCharType="begin"/>
      </w:r>
      <w:r>
        <w:rPr>
          <w:noProof/>
        </w:rPr>
        <w:instrText xml:space="preserve"> PAGEREF _Toc346310433 \h </w:instrText>
      </w:r>
      <w:r>
        <w:rPr>
          <w:noProof/>
        </w:rPr>
      </w:r>
      <w:r>
        <w:rPr>
          <w:noProof/>
        </w:rPr>
        <w:fldChar w:fldCharType="separate"/>
      </w:r>
      <w:r w:rsidR="008A1992">
        <w:rPr>
          <w:noProof/>
        </w:rPr>
        <w:t>66</w:t>
      </w:r>
      <w:r>
        <w:rPr>
          <w:noProof/>
        </w:rPr>
        <w:fldChar w:fldCharType="end"/>
      </w:r>
    </w:p>
    <w:p w14:paraId="1FEF127C" w14:textId="77777777" w:rsidR="00F106C7" w:rsidRDefault="00F106C7" w:rsidP="00F106C7">
      <w:pPr>
        <w:pStyle w:val="TableofFigures"/>
        <w:tabs>
          <w:tab w:val="right" w:leader="dot" w:pos="8486"/>
        </w:tabs>
        <w:spacing w:line="240" w:lineRule="auto"/>
        <w:rPr>
          <w:noProof/>
        </w:rPr>
      </w:pPr>
    </w:p>
    <w:p w14:paraId="2FF47BC6"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3.6 Effect of fabrication pressure on the flexural strength for (a) Quartz/Epoxy, (b) Quartz/BMI, and (c) Carbon/Epoxy</w:t>
      </w:r>
      <w:r>
        <w:rPr>
          <w:noProof/>
        </w:rPr>
        <w:tab/>
      </w:r>
      <w:r>
        <w:rPr>
          <w:noProof/>
        </w:rPr>
        <w:fldChar w:fldCharType="begin"/>
      </w:r>
      <w:r>
        <w:rPr>
          <w:noProof/>
        </w:rPr>
        <w:instrText xml:space="preserve"> PAGEREF _Toc346310434 \h </w:instrText>
      </w:r>
      <w:r>
        <w:rPr>
          <w:noProof/>
        </w:rPr>
      </w:r>
      <w:r>
        <w:rPr>
          <w:noProof/>
        </w:rPr>
        <w:fldChar w:fldCharType="separate"/>
      </w:r>
      <w:r w:rsidR="008A1992">
        <w:rPr>
          <w:noProof/>
        </w:rPr>
        <w:t>69</w:t>
      </w:r>
      <w:r>
        <w:rPr>
          <w:noProof/>
        </w:rPr>
        <w:fldChar w:fldCharType="end"/>
      </w:r>
    </w:p>
    <w:p w14:paraId="5E6D3DF7" w14:textId="77777777" w:rsidR="00F106C7" w:rsidRDefault="00F106C7" w:rsidP="00F106C7">
      <w:pPr>
        <w:pStyle w:val="TableofFigures"/>
        <w:tabs>
          <w:tab w:val="right" w:leader="dot" w:pos="8486"/>
        </w:tabs>
        <w:spacing w:line="240" w:lineRule="auto"/>
        <w:rPr>
          <w:noProof/>
        </w:rPr>
      </w:pPr>
    </w:p>
    <w:p w14:paraId="513D20E9"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4.1 Colorbar scale used for contour plots of normalized property function values</w:t>
      </w:r>
      <w:r>
        <w:rPr>
          <w:noProof/>
        </w:rPr>
        <w:tab/>
      </w:r>
      <w:r>
        <w:rPr>
          <w:noProof/>
        </w:rPr>
        <w:fldChar w:fldCharType="begin"/>
      </w:r>
      <w:r>
        <w:rPr>
          <w:noProof/>
        </w:rPr>
        <w:instrText xml:space="preserve"> PAGEREF _Toc346310435 \h </w:instrText>
      </w:r>
      <w:r>
        <w:rPr>
          <w:noProof/>
        </w:rPr>
      </w:r>
      <w:r>
        <w:rPr>
          <w:noProof/>
        </w:rPr>
        <w:fldChar w:fldCharType="separate"/>
      </w:r>
      <w:r w:rsidR="008A1992">
        <w:rPr>
          <w:noProof/>
        </w:rPr>
        <w:t>73</w:t>
      </w:r>
      <w:r>
        <w:rPr>
          <w:noProof/>
        </w:rPr>
        <w:fldChar w:fldCharType="end"/>
      </w:r>
    </w:p>
    <w:p w14:paraId="61B7ACCE" w14:textId="77777777" w:rsidR="00F106C7" w:rsidRDefault="00F106C7" w:rsidP="00F106C7">
      <w:pPr>
        <w:pStyle w:val="TableofFigures"/>
        <w:tabs>
          <w:tab w:val="right" w:leader="dot" w:pos="8486"/>
        </w:tabs>
        <w:spacing w:line="240" w:lineRule="auto"/>
        <w:rPr>
          <w:noProof/>
        </w:rPr>
      </w:pPr>
    </w:p>
    <w:p w14:paraId="31247D83"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4.2 Contour plots of normalized fiber volume fraction for (a) Quartz/Epoxy, (b) Quartz/BMI, and (c) Carbon/Epoxy</w:t>
      </w:r>
      <w:r>
        <w:rPr>
          <w:noProof/>
        </w:rPr>
        <w:tab/>
      </w:r>
      <w:r>
        <w:rPr>
          <w:noProof/>
        </w:rPr>
        <w:fldChar w:fldCharType="begin"/>
      </w:r>
      <w:r>
        <w:rPr>
          <w:noProof/>
        </w:rPr>
        <w:instrText xml:space="preserve"> PAGEREF _Toc346310436 \h </w:instrText>
      </w:r>
      <w:r>
        <w:rPr>
          <w:noProof/>
        </w:rPr>
      </w:r>
      <w:r>
        <w:rPr>
          <w:noProof/>
        </w:rPr>
        <w:fldChar w:fldCharType="separate"/>
      </w:r>
      <w:r w:rsidR="008A1992">
        <w:rPr>
          <w:noProof/>
        </w:rPr>
        <w:t>76</w:t>
      </w:r>
      <w:r>
        <w:rPr>
          <w:noProof/>
        </w:rPr>
        <w:fldChar w:fldCharType="end"/>
      </w:r>
    </w:p>
    <w:p w14:paraId="1ADE6AE6" w14:textId="77777777" w:rsidR="00F106C7" w:rsidRDefault="00F106C7" w:rsidP="00F106C7">
      <w:pPr>
        <w:pStyle w:val="TableofFigures"/>
        <w:tabs>
          <w:tab w:val="right" w:leader="dot" w:pos="8486"/>
        </w:tabs>
        <w:spacing w:line="240" w:lineRule="auto"/>
        <w:rPr>
          <w:noProof/>
        </w:rPr>
      </w:pPr>
    </w:p>
    <w:p w14:paraId="5FEFCF86"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4.3 Contour plots of normalized void volume fraction for (a) Quartz/Epoxy, (b) Quartz/BMI, and (c) Carbon/Epoxy</w:t>
      </w:r>
      <w:r>
        <w:rPr>
          <w:noProof/>
        </w:rPr>
        <w:tab/>
      </w:r>
      <w:r>
        <w:rPr>
          <w:noProof/>
        </w:rPr>
        <w:fldChar w:fldCharType="begin"/>
      </w:r>
      <w:r>
        <w:rPr>
          <w:noProof/>
        </w:rPr>
        <w:instrText xml:space="preserve"> PAGEREF _Toc346310437 \h </w:instrText>
      </w:r>
      <w:r>
        <w:rPr>
          <w:noProof/>
        </w:rPr>
      </w:r>
      <w:r>
        <w:rPr>
          <w:noProof/>
        </w:rPr>
        <w:fldChar w:fldCharType="separate"/>
      </w:r>
      <w:r w:rsidR="008A1992">
        <w:rPr>
          <w:noProof/>
        </w:rPr>
        <w:t>78</w:t>
      </w:r>
      <w:r>
        <w:rPr>
          <w:noProof/>
        </w:rPr>
        <w:fldChar w:fldCharType="end"/>
      </w:r>
    </w:p>
    <w:p w14:paraId="5474AB59" w14:textId="77777777" w:rsidR="00F106C7" w:rsidRDefault="00F106C7" w:rsidP="00F106C7">
      <w:pPr>
        <w:pStyle w:val="TableofFigures"/>
        <w:tabs>
          <w:tab w:val="right" w:leader="dot" w:pos="8486"/>
        </w:tabs>
        <w:spacing w:line="240" w:lineRule="auto"/>
        <w:rPr>
          <w:noProof/>
        </w:rPr>
      </w:pPr>
    </w:p>
    <w:p w14:paraId="0DF925B8"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4.4 Contour plots of normalized flexural stiffness for (a) Quartz/Epoxy, (b) Quartz/BMI, and (c) Carbon/Epoxy</w:t>
      </w:r>
      <w:r>
        <w:rPr>
          <w:noProof/>
        </w:rPr>
        <w:tab/>
      </w:r>
      <w:r>
        <w:rPr>
          <w:noProof/>
        </w:rPr>
        <w:fldChar w:fldCharType="begin"/>
      </w:r>
      <w:r>
        <w:rPr>
          <w:noProof/>
        </w:rPr>
        <w:instrText xml:space="preserve"> PAGEREF _Toc346310438 \h </w:instrText>
      </w:r>
      <w:r>
        <w:rPr>
          <w:noProof/>
        </w:rPr>
      </w:r>
      <w:r>
        <w:rPr>
          <w:noProof/>
        </w:rPr>
        <w:fldChar w:fldCharType="separate"/>
      </w:r>
      <w:r w:rsidR="008A1992">
        <w:rPr>
          <w:noProof/>
        </w:rPr>
        <w:t>81</w:t>
      </w:r>
      <w:r>
        <w:rPr>
          <w:noProof/>
        </w:rPr>
        <w:fldChar w:fldCharType="end"/>
      </w:r>
    </w:p>
    <w:p w14:paraId="24F48A91" w14:textId="77777777" w:rsidR="00F106C7" w:rsidRDefault="00F106C7" w:rsidP="00F106C7">
      <w:pPr>
        <w:pStyle w:val="TableofFigures"/>
        <w:tabs>
          <w:tab w:val="right" w:leader="dot" w:pos="8486"/>
        </w:tabs>
        <w:spacing w:line="240" w:lineRule="auto"/>
        <w:rPr>
          <w:noProof/>
        </w:rPr>
      </w:pPr>
    </w:p>
    <w:p w14:paraId="2A28B5BF"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4.5 Contour plots of normalized flexural strength for (a) Quartz/Epoxy, (b) Quartz/BMI, and (c) Carbon/Epoxy</w:t>
      </w:r>
      <w:r>
        <w:rPr>
          <w:noProof/>
        </w:rPr>
        <w:tab/>
      </w:r>
      <w:r>
        <w:rPr>
          <w:noProof/>
        </w:rPr>
        <w:fldChar w:fldCharType="begin"/>
      </w:r>
      <w:r>
        <w:rPr>
          <w:noProof/>
        </w:rPr>
        <w:instrText xml:space="preserve"> PAGEREF _Toc346310439 \h </w:instrText>
      </w:r>
      <w:r>
        <w:rPr>
          <w:noProof/>
        </w:rPr>
      </w:r>
      <w:r>
        <w:rPr>
          <w:noProof/>
        </w:rPr>
        <w:fldChar w:fldCharType="separate"/>
      </w:r>
      <w:r w:rsidR="008A1992">
        <w:rPr>
          <w:noProof/>
        </w:rPr>
        <w:t>83</w:t>
      </w:r>
      <w:r>
        <w:rPr>
          <w:noProof/>
        </w:rPr>
        <w:fldChar w:fldCharType="end"/>
      </w:r>
    </w:p>
    <w:p w14:paraId="21390EAB" w14:textId="77777777" w:rsidR="00F106C7" w:rsidRDefault="00F106C7" w:rsidP="00F106C7">
      <w:pPr>
        <w:pStyle w:val="TableofFigures"/>
        <w:tabs>
          <w:tab w:val="right" w:leader="dot" w:pos="8486"/>
        </w:tabs>
        <w:spacing w:line="240" w:lineRule="auto"/>
        <w:rPr>
          <w:noProof/>
        </w:rPr>
      </w:pPr>
    </w:p>
    <w:p w14:paraId="76D1392C"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5.1 Thermo Scientific constant temperature water bath used for hydraulic fluid absorption of composite laminates</w:t>
      </w:r>
      <w:r>
        <w:rPr>
          <w:noProof/>
        </w:rPr>
        <w:tab/>
      </w:r>
      <w:r>
        <w:rPr>
          <w:noProof/>
        </w:rPr>
        <w:fldChar w:fldCharType="begin"/>
      </w:r>
      <w:r>
        <w:rPr>
          <w:noProof/>
        </w:rPr>
        <w:instrText xml:space="preserve"> PAGEREF _Toc346310440 \h </w:instrText>
      </w:r>
      <w:r>
        <w:rPr>
          <w:noProof/>
        </w:rPr>
      </w:r>
      <w:r>
        <w:rPr>
          <w:noProof/>
        </w:rPr>
        <w:fldChar w:fldCharType="separate"/>
      </w:r>
      <w:r w:rsidR="008A1992">
        <w:rPr>
          <w:noProof/>
        </w:rPr>
        <w:t>88</w:t>
      </w:r>
      <w:r>
        <w:rPr>
          <w:noProof/>
        </w:rPr>
        <w:fldChar w:fldCharType="end"/>
      </w:r>
    </w:p>
    <w:p w14:paraId="514D656E" w14:textId="77777777" w:rsidR="00F106C7" w:rsidRDefault="00F106C7" w:rsidP="00F106C7">
      <w:pPr>
        <w:pStyle w:val="TableofFigures"/>
        <w:tabs>
          <w:tab w:val="right" w:leader="dot" w:pos="8486"/>
        </w:tabs>
        <w:spacing w:line="240" w:lineRule="auto"/>
        <w:rPr>
          <w:noProof/>
        </w:rPr>
      </w:pPr>
    </w:p>
    <w:p w14:paraId="538B568D"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5.2 Long-term (24 months) hydraulic fluid absorption for conditioned AQIII/BMI prepregs cured at fabrication pressures of (a) 69 kPa, (b) 207 kPa, (c) 345 kPa, and (d) 483 kPa. Error bars associated with 95% confidence for n=6 samples</w:t>
      </w:r>
      <w:r>
        <w:rPr>
          <w:noProof/>
        </w:rPr>
        <w:tab/>
      </w:r>
      <w:r>
        <w:rPr>
          <w:noProof/>
        </w:rPr>
        <w:fldChar w:fldCharType="begin"/>
      </w:r>
      <w:r>
        <w:rPr>
          <w:noProof/>
        </w:rPr>
        <w:instrText xml:space="preserve"> PAGEREF _Toc346310441 \h </w:instrText>
      </w:r>
      <w:r>
        <w:rPr>
          <w:noProof/>
        </w:rPr>
      </w:r>
      <w:r>
        <w:rPr>
          <w:noProof/>
        </w:rPr>
        <w:fldChar w:fldCharType="separate"/>
      </w:r>
      <w:r w:rsidR="008A1992">
        <w:rPr>
          <w:noProof/>
        </w:rPr>
        <w:t>91</w:t>
      </w:r>
      <w:r>
        <w:rPr>
          <w:noProof/>
        </w:rPr>
        <w:fldChar w:fldCharType="end"/>
      </w:r>
    </w:p>
    <w:p w14:paraId="2E0D5A49" w14:textId="77777777" w:rsidR="00F106C7" w:rsidRDefault="00F106C7" w:rsidP="00F106C7">
      <w:pPr>
        <w:pStyle w:val="TableofFigures"/>
        <w:tabs>
          <w:tab w:val="right" w:leader="dot" w:pos="8486"/>
        </w:tabs>
        <w:spacing w:line="240" w:lineRule="auto"/>
        <w:rPr>
          <w:noProof/>
        </w:rPr>
      </w:pPr>
    </w:p>
    <w:p w14:paraId="23844BF2"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5.3 Long-term (24 months) hydraulic fluid absorption for conditioned AQIII/EX1522 prepregs cured at fabrication pressures at (a) 69 kPa, (b) 207 kPa, (c) 345 kPa, and (d) 483 kPa. Error bars associated with 95% confidence for n=6 samples</w:t>
      </w:r>
      <w:r>
        <w:rPr>
          <w:noProof/>
        </w:rPr>
        <w:tab/>
      </w:r>
      <w:r>
        <w:rPr>
          <w:noProof/>
        </w:rPr>
        <w:fldChar w:fldCharType="begin"/>
      </w:r>
      <w:r>
        <w:rPr>
          <w:noProof/>
        </w:rPr>
        <w:instrText xml:space="preserve"> PAGEREF _Toc346310442 \h </w:instrText>
      </w:r>
      <w:r>
        <w:rPr>
          <w:noProof/>
        </w:rPr>
      </w:r>
      <w:r>
        <w:rPr>
          <w:noProof/>
        </w:rPr>
        <w:fldChar w:fldCharType="separate"/>
      </w:r>
      <w:r w:rsidR="008A1992">
        <w:rPr>
          <w:noProof/>
        </w:rPr>
        <w:t>93</w:t>
      </w:r>
      <w:r>
        <w:rPr>
          <w:noProof/>
        </w:rPr>
        <w:fldChar w:fldCharType="end"/>
      </w:r>
    </w:p>
    <w:p w14:paraId="6948EF33" w14:textId="77777777" w:rsidR="00F106C7" w:rsidRDefault="00F106C7" w:rsidP="00F106C7">
      <w:pPr>
        <w:pStyle w:val="TableofFigures"/>
        <w:tabs>
          <w:tab w:val="right" w:leader="dot" w:pos="8486"/>
        </w:tabs>
        <w:spacing w:line="240" w:lineRule="auto"/>
        <w:rPr>
          <w:noProof/>
        </w:rPr>
      </w:pPr>
    </w:p>
    <w:p w14:paraId="25624BE5"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5.4 Long-term (18 months) hydraulic fluid absorption for conditioned IM7/EX1522 prepregs cured at fabrication pressures of (a) 69 kPa, (b) 207 kPa, (c) 345 kPa, and (d) 483 kPa. Error bars associated with 95% confidence for n=6 samples</w:t>
      </w:r>
      <w:r>
        <w:rPr>
          <w:noProof/>
        </w:rPr>
        <w:tab/>
      </w:r>
      <w:r>
        <w:rPr>
          <w:noProof/>
        </w:rPr>
        <w:fldChar w:fldCharType="begin"/>
      </w:r>
      <w:r>
        <w:rPr>
          <w:noProof/>
        </w:rPr>
        <w:instrText xml:space="preserve"> PAGEREF _Toc346310443 \h </w:instrText>
      </w:r>
      <w:r>
        <w:rPr>
          <w:noProof/>
        </w:rPr>
      </w:r>
      <w:r>
        <w:rPr>
          <w:noProof/>
        </w:rPr>
        <w:fldChar w:fldCharType="separate"/>
      </w:r>
      <w:r w:rsidR="008A1992">
        <w:rPr>
          <w:noProof/>
        </w:rPr>
        <w:t>95</w:t>
      </w:r>
      <w:r>
        <w:rPr>
          <w:noProof/>
        </w:rPr>
        <w:fldChar w:fldCharType="end"/>
      </w:r>
    </w:p>
    <w:p w14:paraId="292771E4" w14:textId="77777777" w:rsidR="00F106C7" w:rsidRDefault="00F106C7" w:rsidP="00F106C7">
      <w:pPr>
        <w:pStyle w:val="TableofFigures"/>
        <w:tabs>
          <w:tab w:val="right" w:leader="dot" w:pos="8486"/>
        </w:tabs>
        <w:spacing w:line="240" w:lineRule="auto"/>
        <w:rPr>
          <w:noProof/>
        </w:rPr>
      </w:pPr>
    </w:p>
    <w:p w14:paraId="470666E2"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5.5 Five-year hindered diffusion model prediction for conditioned AQIII/BMI prepregs cured at fabrication pressures of (a) 69 kPa, (b) 207 kPa, (c) 345 kPa, and (d) 483 kPa</w:t>
      </w:r>
      <w:r>
        <w:rPr>
          <w:noProof/>
        </w:rPr>
        <w:tab/>
      </w:r>
      <w:r>
        <w:rPr>
          <w:noProof/>
        </w:rPr>
        <w:fldChar w:fldCharType="begin"/>
      </w:r>
      <w:r>
        <w:rPr>
          <w:noProof/>
        </w:rPr>
        <w:instrText xml:space="preserve"> PAGEREF _Toc346310444 \h </w:instrText>
      </w:r>
      <w:r>
        <w:rPr>
          <w:noProof/>
        </w:rPr>
      </w:r>
      <w:r>
        <w:rPr>
          <w:noProof/>
        </w:rPr>
        <w:fldChar w:fldCharType="separate"/>
      </w:r>
      <w:r w:rsidR="008A1992">
        <w:rPr>
          <w:noProof/>
        </w:rPr>
        <w:t>100</w:t>
      </w:r>
      <w:r>
        <w:rPr>
          <w:noProof/>
        </w:rPr>
        <w:fldChar w:fldCharType="end"/>
      </w:r>
    </w:p>
    <w:p w14:paraId="757874D8" w14:textId="77777777" w:rsidR="00F106C7" w:rsidRDefault="00F106C7" w:rsidP="00F106C7">
      <w:pPr>
        <w:pStyle w:val="TableofFigures"/>
        <w:tabs>
          <w:tab w:val="right" w:leader="dot" w:pos="8486"/>
        </w:tabs>
        <w:spacing w:line="240" w:lineRule="auto"/>
        <w:rPr>
          <w:noProof/>
        </w:rPr>
      </w:pPr>
    </w:p>
    <w:p w14:paraId="5BA5CC02"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5.6 Five-year hindered diffusion model prediction for conditioned AQIII/EX-1522 prepregs cured at fabrication pressures of (a) 69 kPa, (b) 207 kPa, (c) 345 kPa, and (d) 483 kPa</w:t>
      </w:r>
      <w:r>
        <w:rPr>
          <w:noProof/>
        </w:rPr>
        <w:tab/>
      </w:r>
      <w:r>
        <w:rPr>
          <w:noProof/>
        </w:rPr>
        <w:fldChar w:fldCharType="begin"/>
      </w:r>
      <w:r>
        <w:rPr>
          <w:noProof/>
        </w:rPr>
        <w:instrText xml:space="preserve"> PAGEREF _Toc346310445 \h </w:instrText>
      </w:r>
      <w:r>
        <w:rPr>
          <w:noProof/>
        </w:rPr>
      </w:r>
      <w:r>
        <w:rPr>
          <w:noProof/>
        </w:rPr>
        <w:fldChar w:fldCharType="separate"/>
      </w:r>
      <w:r w:rsidR="008A1992">
        <w:rPr>
          <w:noProof/>
        </w:rPr>
        <w:t>102</w:t>
      </w:r>
      <w:r>
        <w:rPr>
          <w:noProof/>
        </w:rPr>
        <w:fldChar w:fldCharType="end"/>
      </w:r>
    </w:p>
    <w:p w14:paraId="04B6D790" w14:textId="77777777" w:rsidR="00F106C7" w:rsidRDefault="00F106C7" w:rsidP="00F106C7">
      <w:pPr>
        <w:pStyle w:val="TableofFigures"/>
        <w:tabs>
          <w:tab w:val="right" w:leader="dot" w:pos="8486"/>
        </w:tabs>
        <w:spacing w:line="240" w:lineRule="auto"/>
        <w:rPr>
          <w:noProof/>
        </w:rPr>
      </w:pPr>
    </w:p>
    <w:p w14:paraId="029055C0"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5.7 Five-year hindered diffusion model prediction for conditioned IM7/EX-1522 prepregs cured at fabrication pressures of (a) 69 kPa, (b) 207 kPa, (c) 345 kPa, (d) 483 kPa</w:t>
      </w:r>
      <w:r>
        <w:rPr>
          <w:noProof/>
        </w:rPr>
        <w:tab/>
      </w:r>
      <w:r>
        <w:rPr>
          <w:noProof/>
        </w:rPr>
        <w:fldChar w:fldCharType="begin"/>
      </w:r>
      <w:r>
        <w:rPr>
          <w:noProof/>
        </w:rPr>
        <w:instrText xml:space="preserve"> PAGEREF _Toc346310446 \h </w:instrText>
      </w:r>
      <w:r>
        <w:rPr>
          <w:noProof/>
        </w:rPr>
      </w:r>
      <w:r>
        <w:rPr>
          <w:noProof/>
        </w:rPr>
        <w:fldChar w:fldCharType="separate"/>
      </w:r>
      <w:r w:rsidR="008A1992">
        <w:rPr>
          <w:noProof/>
        </w:rPr>
        <w:t>104</w:t>
      </w:r>
      <w:r>
        <w:rPr>
          <w:noProof/>
        </w:rPr>
        <w:fldChar w:fldCharType="end"/>
      </w:r>
    </w:p>
    <w:p w14:paraId="19C70FD3" w14:textId="77777777" w:rsidR="00F106C7" w:rsidRDefault="00F106C7" w:rsidP="00F106C7">
      <w:pPr>
        <w:pStyle w:val="TableofFigures"/>
        <w:tabs>
          <w:tab w:val="right" w:leader="dot" w:pos="8486"/>
        </w:tabs>
        <w:spacing w:line="240" w:lineRule="auto"/>
        <w:rPr>
          <w:noProof/>
        </w:rPr>
      </w:pPr>
    </w:p>
    <w:p w14:paraId="7636653D"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5.8 Effect of humidity exposure on equilibrium fluid content for quartz-reinforced (AQIII) laminates with either (a) BMI resin or (b) EX-1522 epoxy resin</w:t>
      </w:r>
      <w:r>
        <w:rPr>
          <w:noProof/>
        </w:rPr>
        <w:tab/>
      </w:r>
      <w:r>
        <w:rPr>
          <w:noProof/>
        </w:rPr>
        <w:fldChar w:fldCharType="begin"/>
      </w:r>
      <w:r>
        <w:rPr>
          <w:noProof/>
        </w:rPr>
        <w:instrText xml:space="preserve"> PAGEREF _Toc346310447 \h </w:instrText>
      </w:r>
      <w:r>
        <w:rPr>
          <w:noProof/>
        </w:rPr>
      </w:r>
      <w:r>
        <w:rPr>
          <w:noProof/>
        </w:rPr>
        <w:fldChar w:fldCharType="separate"/>
      </w:r>
      <w:r w:rsidR="008A1992">
        <w:rPr>
          <w:noProof/>
        </w:rPr>
        <w:t>106</w:t>
      </w:r>
      <w:r>
        <w:rPr>
          <w:noProof/>
        </w:rPr>
        <w:fldChar w:fldCharType="end"/>
      </w:r>
    </w:p>
    <w:p w14:paraId="7B6982AD" w14:textId="77777777" w:rsidR="00F106C7" w:rsidRDefault="00F106C7" w:rsidP="00F106C7">
      <w:pPr>
        <w:pStyle w:val="TableofFigures"/>
        <w:tabs>
          <w:tab w:val="right" w:leader="dot" w:pos="8486"/>
        </w:tabs>
        <w:spacing w:line="240" w:lineRule="auto"/>
        <w:rPr>
          <w:noProof/>
        </w:rPr>
      </w:pPr>
    </w:p>
    <w:p w14:paraId="1FD6C1BC"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5.9 Effect of fabrication cure pressure on equilibrium fluid content for quartz-reinforced (AQIII) laminates with either (a) BMI resin or (b) EX-1522 epoxy resin</w:t>
      </w:r>
      <w:r>
        <w:rPr>
          <w:noProof/>
        </w:rPr>
        <w:tab/>
      </w:r>
      <w:r>
        <w:rPr>
          <w:noProof/>
        </w:rPr>
        <w:fldChar w:fldCharType="begin"/>
      </w:r>
      <w:r>
        <w:rPr>
          <w:noProof/>
        </w:rPr>
        <w:instrText xml:space="preserve"> PAGEREF _Toc346310448 \h </w:instrText>
      </w:r>
      <w:r>
        <w:rPr>
          <w:noProof/>
        </w:rPr>
      </w:r>
      <w:r>
        <w:rPr>
          <w:noProof/>
        </w:rPr>
        <w:fldChar w:fldCharType="separate"/>
      </w:r>
      <w:r w:rsidR="008A1992">
        <w:rPr>
          <w:noProof/>
        </w:rPr>
        <w:t>108</w:t>
      </w:r>
      <w:r>
        <w:rPr>
          <w:noProof/>
        </w:rPr>
        <w:fldChar w:fldCharType="end"/>
      </w:r>
    </w:p>
    <w:p w14:paraId="34780521" w14:textId="77777777" w:rsidR="00F106C7" w:rsidRDefault="00F106C7" w:rsidP="00F106C7">
      <w:pPr>
        <w:pStyle w:val="TableofFigures"/>
        <w:tabs>
          <w:tab w:val="right" w:leader="dot" w:pos="8486"/>
        </w:tabs>
        <w:spacing w:line="240" w:lineRule="auto"/>
        <w:rPr>
          <w:noProof/>
        </w:rPr>
      </w:pPr>
    </w:p>
    <w:p w14:paraId="0CD31B59"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6.1 Long-term (21 months) hydraulic fluid absorption for flexural specimens of conditioned AQIII/BMI prepregs cured at fabrication pressures of (a) 69 kPa, (b) 207 kPa, (c) 345 kPa, and (d) 483 kPa. Error bars associated with 95% confidence for n=6 samples</w:t>
      </w:r>
      <w:r>
        <w:rPr>
          <w:noProof/>
        </w:rPr>
        <w:tab/>
      </w:r>
      <w:r>
        <w:rPr>
          <w:noProof/>
        </w:rPr>
        <w:fldChar w:fldCharType="begin"/>
      </w:r>
      <w:r>
        <w:rPr>
          <w:noProof/>
        </w:rPr>
        <w:instrText xml:space="preserve"> PAGEREF _Toc346310449 \h </w:instrText>
      </w:r>
      <w:r>
        <w:rPr>
          <w:noProof/>
        </w:rPr>
      </w:r>
      <w:r>
        <w:rPr>
          <w:noProof/>
        </w:rPr>
        <w:fldChar w:fldCharType="separate"/>
      </w:r>
      <w:r w:rsidR="008A1992">
        <w:rPr>
          <w:noProof/>
        </w:rPr>
        <w:t>114</w:t>
      </w:r>
      <w:r>
        <w:rPr>
          <w:noProof/>
        </w:rPr>
        <w:fldChar w:fldCharType="end"/>
      </w:r>
    </w:p>
    <w:p w14:paraId="6AA76FC7" w14:textId="77777777" w:rsidR="00F106C7" w:rsidRDefault="00F106C7" w:rsidP="00F106C7">
      <w:pPr>
        <w:pStyle w:val="TableofFigures"/>
        <w:tabs>
          <w:tab w:val="right" w:leader="dot" w:pos="8486"/>
        </w:tabs>
        <w:spacing w:line="240" w:lineRule="auto"/>
        <w:rPr>
          <w:noProof/>
        </w:rPr>
      </w:pPr>
    </w:p>
    <w:p w14:paraId="19CCD4D7"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6.2 Long-term (21 months) hydraulic fluid absorption for flexural specimens of conditioned AQIII/EX-1522 prepregs cured at fabrication pressures of (a) 69 kPa, (b) 207 kPa, (c) 345 kPa, and (d) 483 kPa. Error bars associated with 95% confidence for n=6 samples</w:t>
      </w:r>
      <w:r>
        <w:rPr>
          <w:noProof/>
        </w:rPr>
        <w:tab/>
      </w:r>
      <w:r>
        <w:rPr>
          <w:noProof/>
        </w:rPr>
        <w:fldChar w:fldCharType="begin"/>
      </w:r>
      <w:r>
        <w:rPr>
          <w:noProof/>
        </w:rPr>
        <w:instrText xml:space="preserve"> PAGEREF _Toc346310450 \h </w:instrText>
      </w:r>
      <w:r>
        <w:rPr>
          <w:noProof/>
        </w:rPr>
      </w:r>
      <w:r>
        <w:rPr>
          <w:noProof/>
        </w:rPr>
        <w:fldChar w:fldCharType="separate"/>
      </w:r>
      <w:r w:rsidR="008A1992">
        <w:rPr>
          <w:noProof/>
        </w:rPr>
        <w:t>116</w:t>
      </w:r>
      <w:r>
        <w:rPr>
          <w:noProof/>
        </w:rPr>
        <w:fldChar w:fldCharType="end"/>
      </w:r>
    </w:p>
    <w:p w14:paraId="30488F1F" w14:textId="77777777" w:rsidR="00F106C7" w:rsidRDefault="00F106C7" w:rsidP="00F106C7">
      <w:pPr>
        <w:pStyle w:val="TableofFigures"/>
        <w:tabs>
          <w:tab w:val="right" w:leader="dot" w:pos="8486"/>
        </w:tabs>
        <w:spacing w:line="240" w:lineRule="auto"/>
        <w:rPr>
          <w:noProof/>
        </w:rPr>
      </w:pPr>
    </w:p>
    <w:p w14:paraId="620DF5B9"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6.3 Effect of long-term (21 months) hydraulic fluid contamination on flexural stiffness for quartz-reinforced laminates with either (a) BMI resin or (b) EX-1522 epoxy resin.  Error bars are associated with 95% confidence for n=6 samples</w:t>
      </w:r>
      <w:r>
        <w:rPr>
          <w:noProof/>
        </w:rPr>
        <w:tab/>
      </w:r>
      <w:r>
        <w:rPr>
          <w:noProof/>
        </w:rPr>
        <w:fldChar w:fldCharType="begin"/>
      </w:r>
      <w:r>
        <w:rPr>
          <w:noProof/>
        </w:rPr>
        <w:instrText xml:space="preserve"> PAGEREF _Toc346310451 \h </w:instrText>
      </w:r>
      <w:r>
        <w:rPr>
          <w:noProof/>
        </w:rPr>
      </w:r>
      <w:r>
        <w:rPr>
          <w:noProof/>
        </w:rPr>
        <w:fldChar w:fldCharType="separate"/>
      </w:r>
      <w:r w:rsidR="008A1992">
        <w:rPr>
          <w:noProof/>
        </w:rPr>
        <w:t>118</w:t>
      </w:r>
      <w:r>
        <w:rPr>
          <w:noProof/>
        </w:rPr>
        <w:fldChar w:fldCharType="end"/>
      </w:r>
    </w:p>
    <w:p w14:paraId="40B30EB8" w14:textId="77777777" w:rsidR="00F106C7" w:rsidRDefault="00F106C7" w:rsidP="00F106C7">
      <w:pPr>
        <w:pStyle w:val="TableofFigures"/>
        <w:tabs>
          <w:tab w:val="right" w:leader="dot" w:pos="8486"/>
        </w:tabs>
        <w:spacing w:line="240" w:lineRule="auto"/>
        <w:rPr>
          <w:noProof/>
        </w:rPr>
      </w:pPr>
    </w:p>
    <w:p w14:paraId="4C98AE32"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6.4 Effect of long-term (21 months) hydraulic fluid contamination on flexural strength for quartz-reinforced laminates with either (a) BMI resin or (b) EX-1522 epoxy resin.  Error bars are associated with 95% confidence for n=6 samples</w:t>
      </w:r>
      <w:r>
        <w:rPr>
          <w:noProof/>
        </w:rPr>
        <w:tab/>
      </w:r>
      <w:r>
        <w:rPr>
          <w:noProof/>
        </w:rPr>
        <w:fldChar w:fldCharType="begin"/>
      </w:r>
      <w:r>
        <w:rPr>
          <w:noProof/>
        </w:rPr>
        <w:instrText xml:space="preserve"> PAGEREF _Toc346310452 \h </w:instrText>
      </w:r>
      <w:r>
        <w:rPr>
          <w:noProof/>
        </w:rPr>
      </w:r>
      <w:r>
        <w:rPr>
          <w:noProof/>
        </w:rPr>
        <w:fldChar w:fldCharType="separate"/>
      </w:r>
      <w:r w:rsidR="008A1992">
        <w:rPr>
          <w:noProof/>
        </w:rPr>
        <w:t>120</w:t>
      </w:r>
      <w:r>
        <w:rPr>
          <w:noProof/>
        </w:rPr>
        <w:fldChar w:fldCharType="end"/>
      </w:r>
    </w:p>
    <w:p w14:paraId="220D6853" w14:textId="77777777" w:rsidR="00F106C7" w:rsidRDefault="00F106C7" w:rsidP="00F106C7">
      <w:pPr>
        <w:pStyle w:val="TableofFigures"/>
        <w:tabs>
          <w:tab w:val="right" w:leader="dot" w:pos="8486"/>
        </w:tabs>
        <w:spacing w:line="240" w:lineRule="auto"/>
        <w:rPr>
          <w:noProof/>
        </w:rPr>
      </w:pPr>
    </w:p>
    <w:p w14:paraId="185F94E6"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6.5 Effect of prepreg humidity exposure on the flexural stiffness percent reduction for (a) Quartz/BMI, and (b) Quartz/EX-1522 epoxy</w:t>
      </w:r>
      <w:r>
        <w:rPr>
          <w:noProof/>
        </w:rPr>
        <w:tab/>
      </w:r>
      <w:r>
        <w:rPr>
          <w:noProof/>
        </w:rPr>
        <w:fldChar w:fldCharType="begin"/>
      </w:r>
      <w:r>
        <w:rPr>
          <w:noProof/>
        </w:rPr>
        <w:instrText xml:space="preserve"> PAGEREF _Toc346310453 \h </w:instrText>
      </w:r>
      <w:r>
        <w:rPr>
          <w:noProof/>
        </w:rPr>
      </w:r>
      <w:r>
        <w:rPr>
          <w:noProof/>
        </w:rPr>
        <w:fldChar w:fldCharType="separate"/>
      </w:r>
      <w:r w:rsidR="008A1992">
        <w:rPr>
          <w:noProof/>
        </w:rPr>
        <w:t>122</w:t>
      </w:r>
      <w:r>
        <w:rPr>
          <w:noProof/>
        </w:rPr>
        <w:fldChar w:fldCharType="end"/>
      </w:r>
    </w:p>
    <w:p w14:paraId="451DC4A3" w14:textId="77777777" w:rsidR="00F106C7" w:rsidRDefault="00F106C7" w:rsidP="00F106C7">
      <w:pPr>
        <w:pStyle w:val="TableofFigures"/>
        <w:tabs>
          <w:tab w:val="right" w:leader="dot" w:pos="8486"/>
        </w:tabs>
        <w:spacing w:line="240" w:lineRule="auto"/>
        <w:rPr>
          <w:noProof/>
        </w:rPr>
      </w:pPr>
    </w:p>
    <w:p w14:paraId="25E00224"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6.6 Effect of fabrication pressure on the flexural stiffness percent reduction for (a) Quartz/BMI, and (b) Quartz/EX-1522 epoxy</w:t>
      </w:r>
      <w:r>
        <w:rPr>
          <w:noProof/>
        </w:rPr>
        <w:tab/>
      </w:r>
      <w:r>
        <w:rPr>
          <w:noProof/>
        </w:rPr>
        <w:fldChar w:fldCharType="begin"/>
      </w:r>
      <w:r>
        <w:rPr>
          <w:noProof/>
        </w:rPr>
        <w:instrText xml:space="preserve"> PAGEREF _Toc346310454 \h </w:instrText>
      </w:r>
      <w:r>
        <w:rPr>
          <w:noProof/>
        </w:rPr>
      </w:r>
      <w:r>
        <w:rPr>
          <w:noProof/>
        </w:rPr>
        <w:fldChar w:fldCharType="separate"/>
      </w:r>
      <w:r w:rsidR="008A1992">
        <w:rPr>
          <w:noProof/>
        </w:rPr>
        <w:t>123</w:t>
      </w:r>
      <w:r>
        <w:rPr>
          <w:noProof/>
        </w:rPr>
        <w:fldChar w:fldCharType="end"/>
      </w:r>
    </w:p>
    <w:p w14:paraId="20A06A61" w14:textId="77777777" w:rsidR="00F106C7" w:rsidRDefault="00F106C7" w:rsidP="00F106C7">
      <w:pPr>
        <w:pStyle w:val="TableofFigures"/>
        <w:tabs>
          <w:tab w:val="right" w:leader="dot" w:pos="8486"/>
        </w:tabs>
        <w:spacing w:line="240" w:lineRule="auto"/>
        <w:rPr>
          <w:noProof/>
        </w:rPr>
      </w:pPr>
    </w:p>
    <w:p w14:paraId="1DBED69A" w14:textId="48B48017" w:rsidR="00F106C7" w:rsidRPr="00F106C7" w:rsidRDefault="00F106C7" w:rsidP="00F106C7">
      <w:pPr>
        <w:pStyle w:val="TableofFigures"/>
        <w:tabs>
          <w:tab w:val="right" w:leader="dot" w:pos="8486"/>
        </w:tabs>
        <w:spacing w:line="240" w:lineRule="auto"/>
        <w:rPr>
          <w:noProof/>
        </w:rPr>
      </w:pPr>
      <w:r>
        <w:rPr>
          <w:noProof/>
        </w:rPr>
        <w:t>Figure 6.7 Effect of prepreg humidity exposure on the flexural strength percent reduction for (a) Quartz/BMI, and (b) Quartz/EX-1522 epoxy</w:t>
      </w:r>
      <w:r>
        <w:rPr>
          <w:noProof/>
        </w:rPr>
        <w:tab/>
      </w:r>
      <w:r>
        <w:rPr>
          <w:noProof/>
        </w:rPr>
        <w:fldChar w:fldCharType="begin"/>
      </w:r>
      <w:r>
        <w:rPr>
          <w:noProof/>
        </w:rPr>
        <w:instrText xml:space="preserve"> PAGEREF _Toc346310455 \h </w:instrText>
      </w:r>
      <w:r>
        <w:rPr>
          <w:noProof/>
        </w:rPr>
      </w:r>
      <w:r>
        <w:rPr>
          <w:noProof/>
        </w:rPr>
        <w:fldChar w:fldCharType="separate"/>
      </w:r>
      <w:r w:rsidR="008A1992">
        <w:rPr>
          <w:noProof/>
        </w:rPr>
        <w:t>124</w:t>
      </w:r>
      <w:r>
        <w:rPr>
          <w:noProof/>
        </w:rPr>
        <w:fldChar w:fldCharType="end"/>
      </w:r>
    </w:p>
    <w:p w14:paraId="0035879E" w14:textId="77777777" w:rsidR="00F106C7" w:rsidRDefault="00F106C7" w:rsidP="00F106C7">
      <w:pPr>
        <w:pStyle w:val="TableofFigures"/>
        <w:tabs>
          <w:tab w:val="right" w:leader="dot" w:pos="8486"/>
        </w:tabs>
        <w:spacing w:line="240" w:lineRule="auto"/>
        <w:rPr>
          <w:noProof/>
        </w:rPr>
      </w:pPr>
    </w:p>
    <w:p w14:paraId="3D3B9C46"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6.8 Effect of fabrication cure pressure on the flexural strength percent reduction for (a) Quartz/BMI, and (b) Quartz/EX-1522 epoxy</w:t>
      </w:r>
      <w:r>
        <w:rPr>
          <w:noProof/>
        </w:rPr>
        <w:tab/>
      </w:r>
      <w:r>
        <w:rPr>
          <w:noProof/>
        </w:rPr>
        <w:fldChar w:fldCharType="begin"/>
      </w:r>
      <w:r>
        <w:rPr>
          <w:noProof/>
        </w:rPr>
        <w:instrText xml:space="preserve"> PAGEREF _Toc346310456 \h </w:instrText>
      </w:r>
      <w:r>
        <w:rPr>
          <w:noProof/>
        </w:rPr>
      </w:r>
      <w:r>
        <w:rPr>
          <w:noProof/>
        </w:rPr>
        <w:fldChar w:fldCharType="separate"/>
      </w:r>
      <w:r w:rsidR="008A1992">
        <w:rPr>
          <w:noProof/>
        </w:rPr>
        <w:t>125</w:t>
      </w:r>
      <w:r>
        <w:rPr>
          <w:noProof/>
        </w:rPr>
        <w:fldChar w:fldCharType="end"/>
      </w:r>
    </w:p>
    <w:p w14:paraId="148CFF94" w14:textId="77777777" w:rsidR="00F106C7" w:rsidRDefault="00F106C7" w:rsidP="00F106C7">
      <w:pPr>
        <w:pStyle w:val="TableofFigures"/>
        <w:tabs>
          <w:tab w:val="right" w:leader="dot" w:pos="8486"/>
        </w:tabs>
        <w:spacing w:line="240" w:lineRule="auto"/>
        <w:rPr>
          <w:noProof/>
        </w:rPr>
      </w:pPr>
    </w:p>
    <w:p w14:paraId="32E70A77"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lastRenderedPageBreak/>
        <w:t>Figure 6.9 Comparison of humidity exposure and hydraulic fluid content on the flexural stiffness percent reduction for (a) Quartz/BMI, and (b) Quartz/EX-1522 epoxy</w:t>
      </w:r>
      <w:r>
        <w:rPr>
          <w:noProof/>
        </w:rPr>
        <w:tab/>
      </w:r>
      <w:r>
        <w:rPr>
          <w:noProof/>
        </w:rPr>
        <w:fldChar w:fldCharType="begin"/>
      </w:r>
      <w:r>
        <w:rPr>
          <w:noProof/>
        </w:rPr>
        <w:instrText xml:space="preserve"> PAGEREF _Toc346310457 \h </w:instrText>
      </w:r>
      <w:r>
        <w:rPr>
          <w:noProof/>
        </w:rPr>
      </w:r>
      <w:r>
        <w:rPr>
          <w:noProof/>
        </w:rPr>
        <w:fldChar w:fldCharType="separate"/>
      </w:r>
      <w:r w:rsidR="008A1992">
        <w:rPr>
          <w:noProof/>
        </w:rPr>
        <w:t>126</w:t>
      </w:r>
      <w:r>
        <w:rPr>
          <w:noProof/>
        </w:rPr>
        <w:fldChar w:fldCharType="end"/>
      </w:r>
    </w:p>
    <w:p w14:paraId="2DAE58AF" w14:textId="77777777" w:rsidR="00F106C7" w:rsidRDefault="00F106C7" w:rsidP="00F106C7">
      <w:pPr>
        <w:pStyle w:val="TableofFigures"/>
        <w:tabs>
          <w:tab w:val="right" w:leader="dot" w:pos="8486"/>
        </w:tabs>
        <w:spacing w:line="240" w:lineRule="auto"/>
        <w:rPr>
          <w:noProof/>
        </w:rPr>
      </w:pPr>
    </w:p>
    <w:p w14:paraId="64893352"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6.10 Comparison of fabrication pressure and hydraulic fluid content on the flexural stiffness percent reduction for (a) Quartz/BMI, and (b) Quartz/EX-1522 epoxy</w:t>
      </w:r>
      <w:r>
        <w:rPr>
          <w:noProof/>
        </w:rPr>
        <w:tab/>
      </w:r>
      <w:r>
        <w:rPr>
          <w:noProof/>
        </w:rPr>
        <w:fldChar w:fldCharType="begin"/>
      </w:r>
      <w:r>
        <w:rPr>
          <w:noProof/>
        </w:rPr>
        <w:instrText xml:space="preserve"> PAGEREF _Toc346310458 \h </w:instrText>
      </w:r>
      <w:r>
        <w:rPr>
          <w:noProof/>
        </w:rPr>
      </w:r>
      <w:r>
        <w:rPr>
          <w:noProof/>
        </w:rPr>
        <w:fldChar w:fldCharType="separate"/>
      </w:r>
      <w:r w:rsidR="008A1992">
        <w:rPr>
          <w:noProof/>
        </w:rPr>
        <w:t>127</w:t>
      </w:r>
      <w:r>
        <w:rPr>
          <w:noProof/>
        </w:rPr>
        <w:fldChar w:fldCharType="end"/>
      </w:r>
    </w:p>
    <w:p w14:paraId="07DFBEFB" w14:textId="77777777" w:rsidR="00F106C7" w:rsidRDefault="00F106C7" w:rsidP="00F106C7">
      <w:pPr>
        <w:pStyle w:val="TableofFigures"/>
        <w:tabs>
          <w:tab w:val="right" w:leader="dot" w:pos="8486"/>
        </w:tabs>
        <w:spacing w:line="240" w:lineRule="auto"/>
        <w:rPr>
          <w:noProof/>
        </w:rPr>
      </w:pPr>
    </w:p>
    <w:p w14:paraId="7E82C48D"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6.11 Comparison of humidity exposure and hydraulic fluid content on the flexural strength percent reduction for (a) Quartz/BMI, and (b) Quartz/EX-1522 epoxy</w:t>
      </w:r>
      <w:r>
        <w:rPr>
          <w:noProof/>
        </w:rPr>
        <w:tab/>
      </w:r>
      <w:r>
        <w:rPr>
          <w:noProof/>
        </w:rPr>
        <w:fldChar w:fldCharType="begin"/>
      </w:r>
      <w:r>
        <w:rPr>
          <w:noProof/>
        </w:rPr>
        <w:instrText xml:space="preserve"> PAGEREF _Toc346310459 \h </w:instrText>
      </w:r>
      <w:r>
        <w:rPr>
          <w:noProof/>
        </w:rPr>
      </w:r>
      <w:r>
        <w:rPr>
          <w:noProof/>
        </w:rPr>
        <w:fldChar w:fldCharType="separate"/>
      </w:r>
      <w:r w:rsidR="008A1992">
        <w:rPr>
          <w:noProof/>
        </w:rPr>
        <w:t>128</w:t>
      </w:r>
      <w:r>
        <w:rPr>
          <w:noProof/>
        </w:rPr>
        <w:fldChar w:fldCharType="end"/>
      </w:r>
    </w:p>
    <w:p w14:paraId="20AF8075" w14:textId="77777777" w:rsidR="00F106C7" w:rsidRDefault="00F106C7" w:rsidP="00F106C7">
      <w:pPr>
        <w:pStyle w:val="TableofFigures"/>
        <w:tabs>
          <w:tab w:val="right" w:leader="dot" w:pos="8486"/>
        </w:tabs>
        <w:spacing w:line="240" w:lineRule="auto"/>
        <w:rPr>
          <w:noProof/>
        </w:rPr>
      </w:pPr>
    </w:p>
    <w:p w14:paraId="79BB4769" w14:textId="77777777" w:rsidR="00F106C7" w:rsidRDefault="00F106C7" w:rsidP="00F106C7">
      <w:pPr>
        <w:pStyle w:val="TableofFigures"/>
        <w:tabs>
          <w:tab w:val="right" w:leader="dot" w:pos="8486"/>
        </w:tabs>
        <w:spacing w:line="240" w:lineRule="auto"/>
        <w:rPr>
          <w:rFonts w:eastAsiaTheme="minorEastAsia" w:cstheme="minorBidi"/>
          <w:smallCaps w:val="0"/>
          <w:noProof/>
          <w:szCs w:val="24"/>
          <w:lang w:eastAsia="ja-JP"/>
        </w:rPr>
      </w:pPr>
      <w:r>
        <w:rPr>
          <w:noProof/>
        </w:rPr>
        <w:t>Figure 6.12 Comparison of fabrication pressure and hydraulic fluid content on the flexural strength percent reduction for (a) Quartz/BMI, and (b) Quartz/EX-1522 epoxy</w:t>
      </w:r>
      <w:r>
        <w:rPr>
          <w:noProof/>
        </w:rPr>
        <w:tab/>
      </w:r>
      <w:r>
        <w:rPr>
          <w:noProof/>
        </w:rPr>
        <w:fldChar w:fldCharType="begin"/>
      </w:r>
      <w:r>
        <w:rPr>
          <w:noProof/>
        </w:rPr>
        <w:instrText xml:space="preserve"> PAGEREF _Toc346310460 \h </w:instrText>
      </w:r>
      <w:r>
        <w:rPr>
          <w:noProof/>
        </w:rPr>
      </w:r>
      <w:r>
        <w:rPr>
          <w:noProof/>
        </w:rPr>
        <w:fldChar w:fldCharType="separate"/>
      </w:r>
      <w:r w:rsidR="008A1992">
        <w:rPr>
          <w:noProof/>
        </w:rPr>
        <w:t>129</w:t>
      </w:r>
      <w:r>
        <w:rPr>
          <w:noProof/>
        </w:rPr>
        <w:fldChar w:fldCharType="end"/>
      </w:r>
    </w:p>
    <w:p w14:paraId="49C32186" w14:textId="77777777" w:rsidR="00907557" w:rsidRDefault="00CF0651" w:rsidP="00276CD1">
      <w:pPr>
        <w:tabs>
          <w:tab w:val="right" w:leader="dot" w:pos="8486"/>
        </w:tabs>
        <w:spacing w:after="120" w:line="240" w:lineRule="auto"/>
        <w:ind w:left="720" w:hanging="720"/>
      </w:pPr>
      <w:r>
        <w:fldChar w:fldCharType="end"/>
      </w:r>
      <w:r w:rsidR="00907557">
        <w:br w:type="page"/>
      </w:r>
    </w:p>
    <w:p w14:paraId="5DE9E0A7" w14:textId="77777777" w:rsidR="00CE161F" w:rsidRDefault="00CE161F" w:rsidP="006427CE">
      <w:pPr>
        <w:pStyle w:val="Headingwo"/>
        <w:numPr>
          <w:ilvl w:val="0"/>
          <w:numId w:val="0"/>
        </w:numPr>
        <w:jc w:val="both"/>
        <w:rPr>
          <w:rFonts w:cs="Times New Roman"/>
        </w:rPr>
      </w:pPr>
      <w:bookmarkStart w:id="4" w:name="_Toc346310949"/>
      <w:r w:rsidRPr="00540118">
        <w:rPr>
          <w:rFonts w:cs="Times New Roman"/>
        </w:rPr>
        <w:lastRenderedPageBreak/>
        <w:t>abstract</w:t>
      </w:r>
      <w:bookmarkEnd w:id="4"/>
    </w:p>
    <w:p w14:paraId="37E936F1" w14:textId="764D7139" w:rsidR="00A019A3" w:rsidRDefault="00CA3189" w:rsidP="004F0094">
      <w:pPr>
        <w:ind w:firstLine="360"/>
      </w:pPr>
      <w:r>
        <w:t xml:space="preserve">Research and technological enhancements over the past several decades have yielded vast </w:t>
      </w:r>
      <w:r w:rsidR="00E54C9C">
        <w:t xml:space="preserve">improvements </w:t>
      </w:r>
      <w:r>
        <w:t>in the area of fabricating high qualit</w:t>
      </w:r>
      <w:r w:rsidR="003776D3">
        <w:t xml:space="preserve">y composite laminates.  </w:t>
      </w:r>
      <w:r>
        <w:t>P</w:t>
      </w:r>
      <w:r w:rsidR="00B10309">
        <w:t>rocess-induced defects</w:t>
      </w:r>
      <w:r>
        <w:t>, such as microvoids, however</w:t>
      </w:r>
      <w:r w:rsidR="00B10309">
        <w:t xml:space="preserve"> remain a </w:t>
      </w:r>
      <w:r w:rsidR="00E54C9C">
        <w:t xml:space="preserve">critical </w:t>
      </w:r>
      <w:r w:rsidR="003776D3">
        <w:t xml:space="preserve">concern and are often </w:t>
      </w:r>
      <w:r w:rsidR="00703336">
        <w:t>formed</w:t>
      </w:r>
      <w:r w:rsidR="003776D3">
        <w:t xml:space="preserve"> by multiple variables simultaneously</w:t>
      </w:r>
      <w:r w:rsidR="00E54C9C">
        <w:t xml:space="preserve">.  </w:t>
      </w:r>
      <w:r w:rsidR="00184C90">
        <w:t>The research presented in this dissertation examines two such processing conditions, the moisture content of prepreg sheets prior to laminate fabrication, and the cure pressure</w:t>
      </w:r>
      <w:r w:rsidR="001C4CF0">
        <w:t>. In particular,</w:t>
      </w:r>
      <w:r w:rsidR="00184C90">
        <w:t xml:space="preserve"> </w:t>
      </w:r>
      <w:r w:rsidR="001C4CF0">
        <w:t>the</w:t>
      </w:r>
      <w:r w:rsidR="00184C90">
        <w:t xml:space="preserve"> coupled and synergistic effects </w:t>
      </w:r>
      <w:r w:rsidR="001C4CF0">
        <w:t xml:space="preserve">of these two processing conditions </w:t>
      </w:r>
      <w:r w:rsidR="00184C90">
        <w:t xml:space="preserve">on the laminate microstructure, mechanical properties, </w:t>
      </w:r>
      <w:r w:rsidR="001C4CF0">
        <w:t xml:space="preserve">and the laminates’ </w:t>
      </w:r>
      <w:r w:rsidR="00184C90">
        <w:t>propensity to absorb liquid contaminants</w:t>
      </w:r>
      <w:r w:rsidR="001C4CF0">
        <w:t xml:space="preserve"> are investigated</w:t>
      </w:r>
      <w:r w:rsidR="00184C90">
        <w:t xml:space="preserve">. </w:t>
      </w:r>
      <w:r w:rsidR="00E659AF">
        <w:t xml:space="preserve"> </w:t>
      </w:r>
      <w:r w:rsidR="00A019A3">
        <w:t xml:space="preserve">With regards to the </w:t>
      </w:r>
      <w:r w:rsidR="009569C8">
        <w:t xml:space="preserve">prepreg </w:t>
      </w:r>
      <w:r w:rsidR="00A019A3">
        <w:t>moisture content, changes in humidity</w:t>
      </w:r>
      <w:r w:rsidR="009569C8">
        <w:t xml:space="preserve"> levels of storage conditions or the fabrication environment can alter the overall prepreg moisture content, which in turn affects the formation of microvoids during laminate cure.  Additionally, the</w:t>
      </w:r>
      <w:r w:rsidR="004F0094">
        <w:t xml:space="preserve"> fabrication</w:t>
      </w:r>
      <w:r w:rsidR="009569C8">
        <w:t xml:space="preserve"> </w:t>
      </w:r>
      <w:r w:rsidR="004F0094">
        <w:t xml:space="preserve">pressure also play a critical role in the </w:t>
      </w:r>
      <w:r w:rsidR="005F3BD7">
        <w:t>formation of voids</w:t>
      </w:r>
      <w:r w:rsidR="004F0094">
        <w:t>, fiber volume fraction, and mechanical perf</w:t>
      </w:r>
      <w:r w:rsidR="009569C8">
        <w:t>ormance of composite laminates.</w:t>
      </w:r>
      <w:r w:rsidR="00E659AF">
        <w:t xml:space="preserve">  Three high-performance commercial prepregs, including quartz/Bismaleimide, quartz/epoxy, and carbon/epoxy, that are commonly used in aerospace applications were included in this research study.</w:t>
      </w:r>
    </w:p>
    <w:p w14:paraId="705C51BD" w14:textId="38B3D264" w:rsidR="00907557" w:rsidRDefault="00E659AF" w:rsidP="004F0094">
      <w:pPr>
        <w:ind w:firstLine="360"/>
      </w:pPr>
      <w:r>
        <w:t>To alter the moisture content of composite prepregs, p</w:t>
      </w:r>
      <w:r w:rsidR="004F0094">
        <w:t xml:space="preserve">repreg sheets were exposed to four different relative humidity levels </w:t>
      </w:r>
      <w:r>
        <w:t>of 2%, 40%, 70%, or 99%.  The conditioned prepreg sheets were then</w:t>
      </w:r>
      <w:r w:rsidR="004F0094">
        <w:t xml:space="preserve"> subsequently </w:t>
      </w:r>
      <w:r>
        <w:t xml:space="preserve">used to fabricate eight-ply laminates </w:t>
      </w:r>
      <w:r w:rsidR="004F0094">
        <w:t>cured at four different cure pressures of 68.9, 206.8, 344.7, or 482.6 kPa</w:t>
      </w:r>
      <w:r>
        <w:t>.</w:t>
      </w:r>
      <w:r w:rsidR="00A93819">
        <w:t xml:space="preserve"> </w:t>
      </w:r>
      <w:r>
        <w:t xml:space="preserve"> This procedure resulted</w:t>
      </w:r>
      <w:r w:rsidR="00A93819">
        <w:t xml:space="preserve"> in 16 unique laminates for each prepreg system, thus yielding a number of laminates with a wide range of process-induced void fractions at a particular fiber volume fraction.  </w:t>
      </w:r>
      <w:r w:rsidR="00C76E74">
        <w:t>Property functions</w:t>
      </w:r>
      <w:r w:rsidR="00AA0AA4">
        <w:t xml:space="preserve"> were illustrated as contour plots and </w:t>
      </w:r>
      <w:r w:rsidR="00C76E74">
        <w:t>used to analyze t</w:t>
      </w:r>
      <w:r w:rsidR="00A93819">
        <w:t xml:space="preserve">he coupled </w:t>
      </w:r>
      <w:r w:rsidR="00A93819">
        <w:lastRenderedPageBreak/>
        <w:t xml:space="preserve">effect of prepreg moisture </w:t>
      </w:r>
      <w:r w:rsidR="00C76E74">
        <w:t xml:space="preserve">content </w:t>
      </w:r>
      <w:r w:rsidR="00A93819">
        <w:t xml:space="preserve">and fabrication pressure </w:t>
      </w:r>
      <w:r w:rsidR="00C76E74">
        <w:t>on the resulting</w:t>
      </w:r>
      <w:r w:rsidR="00A93819">
        <w:t xml:space="preserve"> fiber volume fraction, void</w:t>
      </w:r>
      <w:r w:rsidR="005F3BD7">
        <w:t xml:space="preserve"> volume</w:t>
      </w:r>
      <w:r w:rsidR="00A93819">
        <w:t xml:space="preserve"> fraction, flexural stiffness, </w:t>
      </w:r>
      <w:r w:rsidR="00486C5B">
        <w:t xml:space="preserve">and </w:t>
      </w:r>
      <w:r w:rsidR="00C76E74">
        <w:t xml:space="preserve">flexural strength for the </w:t>
      </w:r>
      <w:proofErr w:type="gramStart"/>
      <w:r w:rsidR="00C76E74">
        <w:t>three prepreg</w:t>
      </w:r>
      <w:proofErr w:type="gramEnd"/>
      <w:r w:rsidR="00C76E74">
        <w:t xml:space="preserve"> materials</w:t>
      </w:r>
      <w:r w:rsidR="00A93819">
        <w:t xml:space="preserve">.  For all three prepregs, the </w:t>
      </w:r>
      <w:r w:rsidR="00D16277">
        <w:t xml:space="preserve">fiber volume fraction and </w:t>
      </w:r>
      <w:r w:rsidR="00A93819">
        <w:t xml:space="preserve">flexural stiffness was primarily dependent on </w:t>
      </w:r>
      <w:r w:rsidR="00D16277">
        <w:t xml:space="preserve">the fabrication </w:t>
      </w:r>
      <w:r w:rsidR="00A93819">
        <w:t xml:space="preserve">pressure, whereas flexural strength and void </w:t>
      </w:r>
      <w:r w:rsidR="005F3BD7">
        <w:t xml:space="preserve">volume </w:t>
      </w:r>
      <w:r w:rsidR="00A93819">
        <w:t>fraction exhibited more complex and coupled dependency on both</w:t>
      </w:r>
      <w:r w:rsidR="00D16277">
        <w:t xml:space="preserve"> the cure</w:t>
      </w:r>
      <w:r w:rsidR="00A93819">
        <w:t xml:space="preserve"> pressure and prepreg moisture content.  </w:t>
      </w:r>
      <w:r w:rsidR="00D16277">
        <w:t>Higher local gradients of the property contour plots at lower fabrication pressures indicated</w:t>
      </w:r>
      <w:r w:rsidR="00A93819">
        <w:t xml:space="preserve"> stronger dependency</w:t>
      </w:r>
      <w:r w:rsidR="00DB0DEB">
        <w:t xml:space="preserve"> and fluctuations</w:t>
      </w:r>
      <w:r w:rsidR="00A93819">
        <w:t xml:space="preserve"> of</w:t>
      </w:r>
      <w:r w:rsidR="00D16277">
        <w:t xml:space="preserve"> the laminate properties</w:t>
      </w:r>
      <w:r w:rsidR="00DB0DEB">
        <w:t xml:space="preserve">, such as fiber volume fraction, void </w:t>
      </w:r>
      <w:r w:rsidR="005F3BD7">
        <w:t xml:space="preserve">volume </w:t>
      </w:r>
      <w:r w:rsidR="00DB0DEB">
        <w:t>fraction</w:t>
      </w:r>
      <w:r w:rsidR="00A93819">
        <w:t xml:space="preserve">, and flexure properties </w:t>
      </w:r>
      <w:r w:rsidR="00DB0DEB">
        <w:t>due to changes in prepreg moisture content and fabrication</w:t>
      </w:r>
      <w:r w:rsidR="00A93819">
        <w:t xml:space="preserve"> pressure.</w:t>
      </w:r>
    </w:p>
    <w:p w14:paraId="3BB71963" w14:textId="2A338AC5" w:rsidR="00FA5EC0" w:rsidRDefault="00B77C23" w:rsidP="004F0094">
      <w:pPr>
        <w:ind w:firstLine="360"/>
      </w:pPr>
      <w:r>
        <w:t>It is well known that l</w:t>
      </w:r>
      <w:r w:rsidR="00A93819">
        <w:t xml:space="preserve">iquid </w:t>
      </w:r>
      <w:r w:rsidR="00090BD6">
        <w:t xml:space="preserve">contamination is detrimental to </w:t>
      </w:r>
      <w:r w:rsidR="00A93819">
        <w:t xml:space="preserve">composite laminates as </w:t>
      </w:r>
      <w:r w:rsidR="00AA0AA4">
        <w:t>the contamination</w:t>
      </w:r>
      <w:r w:rsidR="00A93819">
        <w:t xml:space="preserve"> commonly causes irreversible damage.  </w:t>
      </w:r>
      <w:r w:rsidR="00C1794B">
        <w:t>Water absorption remains the most common type of liquid contamination for composite materials.  However, the aerospace-grade composite prepregs are frequently used in structures subjected to a variety of liquid contaminants, including hydraulic fluid</w:t>
      </w:r>
      <w:r w:rsidR="00AA0AA4">
        <w:t>s</w:t>
      </w:r>
      <w:r w:rsidR="00C1794B">
        <w:t xml:space="preserve">.  </w:t>
      </w:r>
      <w:r w:rsidR="00090BD6">
        <w:t xml:space="preserve">Additionally, changes in the laminate fiber volume fraction and void </w:t>
      </w:r>
      <w:r w:rsidR="005F3BD7">
        <w:t xml:space="preserve">volume </w:t>
      </w:r>
      <w:r w:rsidR="00090BD6">
        <w:t xml:space="preserve">fraction contribute to the composite laminates varying propensity to absorb liquid penetrants.  </w:t>
      </w:r>
      <w:r w:rsidR="004463CA">
        <w:t xml:space="preserve">The level of fluid saturation, or equilibrium fluid content, due to variations in the prepreg moisture and fabrication pressure </w:t>
      </w:r>
      <w:r w:rsidR="008C1AA9">
        <w:t>was</w:t>
      </w:r>
      <w:r w:rsidR="004463CA">
        <w:t xml:space="preserve"> analyzed for the three</w:t>
      </w:r>
      <w:r w:rsidR="00AA0AA4">
        <w:t xml:space="preserve"> </w:t>
      </w:r>
      <w:r w:rsidR="004463CA">
        <w:t>comme</w:t>
      </w:r>
      <w:r w:rsidR="005F3BD7">
        <w:t>rcial aerospace-grade prepregs.</w:t>
      </w:r>
    </w:p>
    <w:p w14:paraId="20B8AF28" w14:textId="165F7228" w:rsidR="00A93819" w:rsidRDefault="00486C5B" w:rsidP="004F0094">
      <w:pPr>
        <w:ind w:firstLine="360"/>
      </w:pPr>
      <w:r>
        <w:t>Quartz-reinforced and carbon fiber-reinforced l</w:t>
      </w:r>
      <w:r w:rsidR="008C7234">
        <w:t xml:space="preserve">aminate specimens were fully immersed in an aerospace-grade hydraulic fluid for a period of 24 months and 18 months, respectively.  </w:t>
      </w:r>
      <w:r>
        <w:t xml:space="preserve">Generally, the equilibrium fluid content decreased as relative humidity </w:t>
      </w:r>
      <w:r w:rsidR="00A474CD">
        <w:t>decreased</w:t>
      </w:r>
      <w:r>
        <w:t xml:space="preserve"> and fabrication</w:t>
      </w:r>
      <w:r w:rsidR="00A474CD">
        <w:t xml:space="preserve"> </w:t>
      </w:r>
      <w:r>
        <w:t xml:space="preserve">pressure increased.  However, </w:t>
      </w:r>
      <w:r w:rsidR="00A474CD">
        <w:t xml:space="preserve">each prepreg material had </w:t>
      </w:r>
      <w:r>
        <w:t>u</w:t>
      </w:r>
      <w:r w:rsidR="008C7234">
        <w:t xml:space="preserve">nique absorption behaviors </w:t>
      </w:r>
      <w:r>
        <w:t>and uptake profiles</w:t>
      </w:r>
      <w:r w:rsidR="008C7234">
        <w:t xml:space="preserve">.  Finally, the effect of long-term </w:t>
      </w:r>
      <w:r w:rsidR="008C7234">
        <w:lastRenderedPageBreak/>
        <w:t xml:space="preserve">hydraulic fluid contamination on the flexural stiffness </w:t>
      </w:r>
      <w:r w:rsidR="00A474CD">
        <w:t>and flexural strength of quartz-reinforced laminates (</w:t>
      </w:r>
      <w:r w:rsidR="008C7234">
        <w:t>BMI and epoxy</w:t>
      </w:r>
      <w:r w:rsidR="00A474CD">
        <w:t>)</w:t>
      </w:r>
      <w:r w:rsidR="008C7234">
        <w:t xml:space="preserve"> </w:t>
      </w:r>
      <w:r w:rsidR="00CF3D21">
        <w:t>was</w:t>
      </w:r>
      <w:r w:rsidR="008C7234">
        <w:t xml:space="preserve"> discussed.  Both matrix materials </w:t>
      </w:r>
      <w:r w:rsidR="00CF3D21">
        <w:t xml:space="preserve">(i.e., BMI and epoxy) </w:t>
      </w:r>
      <w:r w:rsidR="008C7234">
        <w:t>were fairly resilient to long-term hydraulic fluid contamination, in that the flexural properties</w:t>
      </w:r>
      <w:r w:rsidR="008C1AA9">
        <w:t xml:space="preserve"> were reduced by no more than 15</w:t>
      </w:r>
      <w:r w:rsidR="008C7234">
        <w:t>% after nearly two years of hydraulic fluid contamination.</w:t>
      </w:r>
    </w:p>
    <w:p w14:paraId="68244FCB" w14:textId="77777777" w:rsidR="00907557" w:rsidRDefault="00907557" w:rsidP="00907557"/>
    <w:p w14:paraId="54161CC6" w14:textId="77777777" w:rsidR="00940B2A" w:rsidRDefault="00940B2A" w:rsidP="00907557"/>
    <w:p w14:paraId="6F5AC5B2" w14:textId="77777777" w:rsidR="00940B2A" w:rsidRDefault="00940B2A" w:rsidP="00907557">
      <w:pPr>
        <w:sectPr w:rsidR="00940B2A" w:rsidSect="00C52689">
          <w:footerReference w:type="default" r:id="rId10"/>
          <w:footerReference w:type="first" r:id="rId11"/>
          <w:pgSz w:w="12240" w:h="15840"/>
          <w:pgMar w:top="1440" w:right="1350" w:bottom="1440" w:left="2304" w:header="720" w:footer="720" w:gutter="0"/>
          <w:pgNumType w:fmt="lowerRoman" w:start="4"/>
          <w:cols w:space="720"/>
          <w:docGrid w:linePitch="360"/>
        </w:sectPr>
      </w:pPr>
    </w:p>
    <w:p w14:paraId="2BAA70D6" w14:textId="5276B932" w:rsidR="00BB7F69" w:rsidRDefault="00BB7F69" w:rsidP="00114A2E">
      <w:pPr>
        <w:pStyle w:val="Heading1"/>
        <w:numPr>
          <w:ilvl w:val="0"/>
          <w:numId w:val="0"/>
        </w:numPr>
        <w:ind w:left="432"/>
        <w:rPr>
          <w:szCs w:val="28"/>
        </w:rPr>
      </w:pPr>
      <w:bookmarkStart w:id="5" w:name="_Toc464644023"/>
      <w:bookmarkStart w:id="6" w:name="_Toc465250249"/>
      <w:r>
        <w:rPr>
          <w:szCs w:val="28"/>
        </w:rPr>
        <w:lastRenderedPageBreak/>
        <w:br w:type="page"/>
      </w:r>
    </w:p>
    <w:p w14:paraId="496D9877" w14:textId="77777777" w:rsidR="00114A2E" w:rsidRPr="00114A2E" w:rsidRDefault="00114A2E" w:rsidP="00114A2E">
      <w:pPr>
        <w:pStyle w:val="Heading1"/>
        <w:numPr>
          <w:ilvl w:val="0"/>
          <w:numId w:val="0"/>
        </w:numPr>
        <w:ind w:left="432"/>
        <w:rPr>
          <w:szCs w:val="28"/>
        </w:rPr>
      </w:pPr>
      <w:bookmarkStart w:id="7" w:name="_Toc345066540"/>
      <w:bookmarkStart w:id="8" w:name="_Toc346310950"/>
      <w:r w:rsidRPr="00114A2E">
        <w:rPr>
          <w:szCs w:val="28"/>
        </w:rPr>
        <w:lastRenderedPageBreak/>
        <w:t>chapter 1</w:t>
      </w:r>
      <w:bookmarkEnd w:id="5"/>
      <w:bookmarkEnd w:id="6"/>
      <w:bookmarkEnd w:id="7"/>
      <w:bookmarkEnd w:id="8"/>
    </w:p>
    <w:p w14:paraId="0C7EF263" w14:textId="77777777" w:rsidR="00440D34" w:rsidRDefault="00F81A21" w:rsidP="00394520">
      <w:pPr>
        <w:pStyle w:val="Heading1"/>
      </w:pPr>
      <w:bookmarkStart w:id="9" w:name="_Ref196476520"/>
      <w:bookmarkStart w:id="10" w:name="_Ref343861255"/>
      <w:bookmarkStart w:id="11" w:name="_Toc346310951"/>
      <w:r>
        <w:t>Introduction</w:t>
      </w:r>
      <w:bookmarkEnd w:id="9"/>
      <w:r w:rsidR="001216B5">
        <w:t xml:space="preserve"> and Overview</w:t>
      </w:r>
      <w:bookmarkEnd w:id="10"/>
      <w:bookmarkEnd w:id="11"/>
    </w:p>
    <w:p w14:paraId="7D257BAE" w14:textId="77777777" w:rsidR="00114A2E" w:rsidRPr="00114A2E" w:rsidRDefault="00114A2E" w:rsidP="00114A2E"/>
    <w:p w14:paraId="2206B980" w14:textId="0EE06BD4" w:rsidR="00114A2E" w:rsidRDefault="00486C5B" w:rsidP="00114A2E">
      <w:pPr>
        <w:pStyle w:val="Heading2"/>
      </w:pPr>
      <w:bookmarkStart w:id="12" w:name="_Ref342731503"/>
      <w:bookmarkStart w:id="13" w:name="_Ref343171094"/>
      <w:bookmarkStart w:id="14" w:name="_Toc346310952"/>
      <w:r>
        <w:t>Effect of Process-Induced Defects on</w:t>
      </w:r>
      <w:r w:rsidR="0094712B">
        <w:t xml:space="preserve"> </w:t>
      </w:r>
      <w:r w:rsidR="004D6D3E">
        <w:t xml:space="preserve">High-Performance </w:t>
      </w:r>
      <w:r w:rsidR="0094712B">
        <w:t>Composite Materials</w:t>
      </w:r>
      <w:bookmarkEnd w:id="12"/>
      <w:bookmarkEnd w:id="13"/>
      <w:bookmarkEnd w:id="14"/>
    </w:p>
    <w:p w14:paraId="2AC8366A" w14:textId="1604132A" w:rsidR="003438E7" w:rsidRDefault="005E3DEC" w:rsidP="002F2FCE">
      <w:pPr>
        <w:ind w:firstLine="360"/>
      </w:pPr>
      <w:r>
        <w:t xml:space="preserve">Process-induced defects of composite laminates are often complex in nature and can have a detrimental </w:t>
      </w:r>
      <w:r w:rsidR="003438E7">
        <w:t xml:space="preserve">and varying </w:t>
      </w:r>
      <w:r>
        <w:t xml:space="preserve">effect on </w:t>
      </w:r>
      <w:r w:rsidR="003438E7">
        <w:t xml:space="preserve">the </w:t>
      </w:r>
      <w:r>
        <w:t>laminate</w:t>
      </w:r>
      <w:r w:rsidR="003438E7">
        <w:t>s</w:t>
      </w:r>
      <w:r>
        <w:t xml:space="preserve">. </w:t>
      </w:r>
      <w:r w:rsidR="003438E7">
        <w:t xml:space="preserve"> Two variables that drive process-induced defects, </w:t>
      </w:r>
      <w:r>
        <w:t xml:space="preserve">such as microvoids, </w:t>
      </w:r>
      <w:r w:rsidR="003438E7">
        <w:t xml:space="preserve">that will be examined in this research include 1) the moisture content present in composite prepregs prior to laminate cure, and 2) the </w:t>
      </w:r>
      <w:r w:rsidR="002F7DF4">
        <w:t xml:space="preserve">applied </w:t>
      </w:r>
      <w:r w:rsidR="003438E7">
        <w:t xml:space="preserve">cure pressure used to fabricate laminates.  </w:t>
      </w:r>
      <w:r w:rsidR="00F91AA9">
        <w:t>Numerous operational procedures can be utilized so as to minimize p</w:t>
      </w:r>
      <w:r w:rsidR="003438E7">
        <w:t>rocess-induced defects</w:t>
      </w:r>
      <w:r w:rsidR="00F91AA9">
        <w:t>.</w:t>
      </w:r>
      <w:r w:rsidR="003438E7">
        <w:t xml:space="preserve"> </w:t>
      </w:r>
      <w:r w:rsidR="00F91AA9">
        <w:t xml:space="preserve"> First, prepregs stored and manufactured in a dry environment will limit the prepreg moisture level.  Another operational procedure is utilizing fabrication methods with a substantially high cure pressure so as to expel volatiles during the curing process.  However maintaining such restrictive requirements on the laminate fabrication procedure can often be impractical due to a vari</w:t>
      </w:r>
      <w:r w:rsidR="004A5966">
        <w:t>ety of reasons, such as financial implications</w:t>
      </w:r>
      <w:r w:rsidR="00F91AA9">
        <w:t>, equ</w:t>
      </w:r>
      <w:r w:rsidR="004A5966">
        <w:t xml:space="preserve">ipment capability, or product needs.  </w:t>
      </w:r>
    </w:p>
    <w:p w14:paraId="135A0FAB" w14:textId="66AB37C4" w:rsidR="00767073" w:rsidRDefault="004A5966" w:rsidP="00767073">
      <w:pPr>
        <w:ind w:firstLine="360"/>
      </w:pPr>
      <w:r>
        <w:t>Storing prepregs in a vacuum-sealed barrier and low temperature environment often minimizes the moisture content of composite prepregs.  However, t</w:t>
      </w:r>
      <w:r w:rsidR="002F2FCE">
        <w:t xml:space="preserve">he prepreg moisture content </w:t>
      </w:r>
      <w:r>
        <w:t xml:space="preserve">can vary </w:t>
      </w:r>
      <w:r w:rsidR="002F2FCE">
        <w:t xml:space="preserve">due to </w:t>
      </w:r>
      <w:r>
        <w:t xml:space="preserve">changes in the </w:t>
      </w:r>
      <w:r w:rsidR="009956EF">
        <w:t>ambient humidity</w:t>
      </w:r>
      <w:r>
        <w:t xml:space="preserve"> of the</w:t>
      </w:r>
      <w:r w:rsidR="002F2FCE">
        <w:t xml:space="preserve"> storage or fabrication environment</w:t>
      </w:r>
      <w:r>
        <w:t xml:space="preserve">.  Because components fabricated using prepregs are cured at high temperatures, any moisture </w:t>
      </w:r>
      <w:r w:rsidR="00767073">
        <w:t xml:space="preserve">within the prepreg sheets vaporize during the curing process </w:t>
      </w:r>
      <w:r w:rsidR="00767073">
        <w:lastRenderedPageBreak/>
        <w:t xml:space="preserve">and can result in the formation of microvoids.  This is particularly true for fabrication methods utilizing low cure pressures or without vacuum-assistance, as laminates produced under these scenarios are more susceptible to remaining volatiles, such as microvoids.  Additionally, the fabrication pressure can </w:t>
      </w:r>
      <w:r w:rsidR="002F2FCE">
        <w:t xml:space="preserve">have a significant effect on the laminate </w:t>
      </w:r>
      <w:r w:rsidR="009956EF">
        <w:t>fiber volume fraction</w:t>
      </w:r>
      <w:r w:rsidR="00767073">
        <w:t xml:space="preserve"> and </w:t>
      </w:r>
      <w:r w:rsidR="0048319A">
        <w:t>mechanical properties.</w:t>
      </w:r>
    </w:p>
    <w:p w14:paraId="3B729A88" w14:textId="154D0A8E" w:rsidR="00C060E3" w:rsidRDefault="0048319A" w:rsidP="00767073">
      <w:pPr>
        <w:ind w:firstLine="360"/>
      </w:pPr>
      <w:r>
        <w:t>Composite structures are being implemented into new and diverse products as technology improves.  Examples of structural components for aerospace include fuselages, spars, and airfoil supports.  Composite materials are also being utilized at an increasing rate for a variety</w:t>
      </w:r>
      <w:r w:rsidR="003A482A">
        <w:t xml:space="preserve"> of applications in the oil/</w:t>
      </w:r>
      <w:r>
        <w:t xml:space="preserve">gas </w:t>
      </w:r>
      <w:r w:rsidR="003A482A">
        <w:t xml:space="preserve">and electronics industries.  </w:t>
      </w:r>
      <w:r w:rsidR="00864E40">
        <w:t>In addition to the structural components, c</w:t>
      </w:r>
      <w:r w:rsidR="003A482A">
        <w:t>omposite</w:t>
      </w:r>
      <w:r w:rsidR="00864E40">
        <w:t>s</w:t>
      </w:r>
      <w:r w:rsidR="003A482A">
        <w:t xml:space="preserve"> are being used in many non-structural applications due to their customization and lightweight potential, such as engine cowlings, panels, and radomes.  Understandably, structural components commonly have stringent requirements on </w:t>
      </w:r>
      <w:r w:rsidR="009B10B6">
        <w:t xml:space="preserve">the laminate microstructure and minimal void </w:t>
      </w:r>
      <w:r w:rsidR="00864E40">
        <w:t>formation</w:t>
      </w:r>
      <w:r w:rsidR="009B10B6">
        <w:t>.  Non-structural components, on the other hand, can have flexibility in the manufacturing process by utilizing less costly, low-pressure methods such as vacuu</w:t>
      </w:r>
      <w:r w:rsidR="00A749F3">
        <w:t>m-bagging or heated compression</w:t>
      </w:r>
      <w:r w:rsidR="002F2FCE">
        <w:t>.  Low-pressure fabrication methods may increase variability of the laminate microstructure</w:t>
      </w:r>
      <w:r w:rsidR="00486C5B">
        <w:t>,</w:t>
      </w:r>
      <w:r w:rsidR="002F2FCE">
        <w:t xml:space="preserve"> but they </w:t>
      </w:r>
      <w:r w:rsidR="009956EF">
        <w:t xml:space="preserve">have the </w:t>
      </w:r>
      <w:r w:rsidR="002F2FCE">
        <w:t xml:space="preserve">significant benefit of reduced </w:t>
      </w:r>
      <w:r w:rsidR="009956EF">
        <w:t>product</w:t>
      </w:r>
      <w:r w:rsidR="005E3DEC">
        <w:t>ion</w:t>
      </w:r>
      <w:r w:rsidR="002F2FCE">
        <w:t xml:space="preserve"> costs when compared to </w:t>
      </w:r>
      <w:r w:rsidR="00486C5B">
        <w:t>higher-pressure</w:t>
      </w:r>
      <w:r w:rsidR="002F2FCE">
        <w:t xml:space="preserve"> fabrication alternatives</w:t>
      </w:r>
      <w:r w:rsidR="009B10B6">
        <w:t>,</w:t>
      </w:r>
      <w:r w:rsidR="002F2FCE">
        <w:t xml:space="preserve"> such as autoclave </w:t>
      </w:r>
      <w:r w:rsidR="002F2FCE" w:rsidRPr="007B5482">
        <w:t>cure</w:t>
      </w:r>
      <w:r w:rsidR="005E3DEC" w:rsidRPr="007B5482">
        <w:t xml:space="preserve"> [</w:t>
      </w:r>
      <w:r w:rsidR="007B5482" w:rsidRPr="007B5482">
        <w:t>1</w:t>
      </w:r>
      <w:r w:rsidR="005E3DEC" w:rsidRPr="007B5482">
        <w:t>]</w:t>
      </w:r>
      <w:r w:rsidR="002F2FCE" w:rsidRPr="007B5482">
        <w:t>.</w:t>
      </w:r>
      <w:r w:rsidR="002F2FCE">
        <w:t xml:space="preserve">  Low-pressure fabrication methods are also more susceptible to higher void fraction due to possible </w:t>
      </w:r>
      <w:r w:rsidR="000043A9">
        <w:t>presence</w:t>
      </w:r>
      <w:r w:rsidR="002F2FCE">
        <w:t xml:space="preserve"> </w:t>
      </w:r>
      <w:r w:rsidR="000043A9">
        <w:t>of</w:t>
      </w:r>
      <w:r w:rsidR="002F2FCE">
        <w:t xml:space="preserve"> moisture </w:t>
      </w:r>
      <w:r w:rsidR="000043A9">
        <w:t>absorbed by the</w:t>
      </w:r>
      <w:r w:rsidR="002F2FCE">
        <w:t xml:space="preserve"> prepregs before </w:t>
      </w:r>
      <w:r w:rsidR="002F2FCE" w:rsidRPr="007B5482">
        <w:t>cure</w:t>
      </w:r>
      <w:r w:rsidR="005E3DEC" w:rsidRPr="007B5482">
        <w:t xml:space="preserve"> </w:t>
      </w:r>
      <w:r w:rsidR="007B5482" w:rsidRPr="007B5482">
        <w:t>[2</w:t>
      </w:r>
      <w:r w:rsidR="005E3DEC" w:rsidRPr="007B5482">
        <w:t>]</w:t>
      </w:r>
      <w:r w:rsidR="002F2FCE" w:rsidRPr="007B5482">
        <w:t>.</w:t>
      </w:r>
      <w:r w:rsidR="002F2FCE">
        <w:t xml:space="preserve">  The relative humidity environment of prepregs in storage or during the lay-up process can contribute to the </w:t>
      </w:r>
      <w:r w:rsidR="000043A9">
        <w:t xml:space="preserve">increased </w:t>
      </w:r>
      <w:r w:rsidR="009B10B6">
        <w:t xml:space="preserve">prepreg moisture content. </w:t>
      </w:r>
      <w:r w:rsidR="002F2FCE">
        <w:t xml:space="preserve"> </w:t>
      </w:r>
      <w:r w:rsidR="009B10B6">
        <w:t xml:space="preserve">The local humidity environment </w:t>
      </w:r>
      <w:r w:rsidR="002F2FCE">
        <w:t xml:space="preserve">may not be actively monitored </w:t>
      </w:r>
      <w:r w:rsidR="009B10B6">
        <w:t xml:space="preserve">or controlled </w:t>
      </w:r>
      <w:r w:rsidR="002F2FCE">
        <w:t xml:space="preserve">at composite manufacturing facilities. </w:t>
      </w:r>
      <w:r w:rsidR="000043A9">
        <w:t xml:space="preserve"> </w:t>
      </w:r>
      <w:r w:rsidR="00C060E3">
        <w:lastRenderedPageBreak/>
        <w:t xml:space="preserve">Additionally, composite materials are increasingly being utilized in systems that require a long service-life with minimal repair and maintenance downtime.  </w:t>
      </w:r>
      <w:r w:rsidR="009B10B6">
        <w:t>Therefore, it is becoming increasingly important to a</w:t>
      </w:r>
      <w:r w:rsidR="002F2FCE">
        <w:t>ccurate</w:t>
      </w:r>
      <w:r w:rsidR="009B10B6">
        <w:t>ly characterize</w:t>
      </w:r>
      <w:r w:rsidR="002F2FCE">
        <w:t xml:space="preserve"> </w:t>
      </w:r>
      <w:r w:rsidR="00C060E3">
        <w:t xml:space="preserve">the effect of </w:t>
      </w:r>
      <w:r w:rsidR="002F2FCE">
        <w:t>process-induced defects and degradation, such as micro</w:t>
      </w:r>
      <w:r w:rsidR="00C060E3">
        <w:t>voids and liquid contamination.</w:t>
      </w:r>
    </w:p>
    <w:p w14:paraId="5DC755D8" w14:textId="77777777" w:rsidR="005A5FE1" w:rsidRDefault="003B1AAD" w:rsidP="005A5FE1">
      <w:pPr>
        <w:ind w:firstLine="360"/>
      </w:pPr>
      <w:r w:rsidRPr="003B1AAD">
        <w:t xml:space="preserve">High-performance composite </w:t>
      </w:r>
      <w:r w:rsidR="00C060E3">
        <w:t>materials</w:t>
      </w:r>
      <w:r w:rsidRPr="003B1AAD">
        <w:t xml:space="preserve"> are typically used in a variety of aerospace and space structures, including radomes, antenna reflectors, and low observable radar transparent structures.</w:t>
      </w:r>
      <w:r>
        <w:t xml:space="preserve">  </w:t>
      </w:r>
      <w:r w:rsidR="005A5FE1">
        <w:t>Bismaleimide (BMI) resin with Quartz (AQ581) fiber reinforcement is one such high-performance composite material that was developed to overcome existing limitations for use on complex structures and ducting in advanced military aircraft, helicopters, and many high temperature applications.  Quartz/BMI has a high glass transition temperature, with superior burn characteristics and excellent electrical properties, making it an ideal candidate for radomes and other electronic applications.  Another high-performance composite material is EX-1522 epoxy resin system that has been reinforced with either quartz AQIII or carbon IM7 fibers.  EX-1522 is a modified and toughened upgrade for high performance applications over traditional epoxy resin systems.  This material displays both excellent mechanical and thermal properties, in addition to a low propensity to absorb moisture.  EX-1522’s has good electrical properties, making it a low cost option for radomes, antenna, and other critical electrical applications.</w:t>
      </w:r>
    </w:p>
    <w:p w14:paraId="75168FB0" w14:textId="2620D625" w:rsidR="00D43589" w:rsidRDefault="00D43589" w:rsidP="00C35240">
      <w:pPr>
        <w:ind w:firstLine="360"/>
      </w:pPr>
    </w:p>
    <w:p w14:paraId="7D935010" w14:textId="1D04BD76" w:rsidR="00555F32" w:rsidRDefault="0094712B" w:rsidP="00555F32">
      <w:pPr>
        <w:pStyle w:val="Heading2"/>
      </w:pPr>
      <w:bookmarkStart w:id="15" w:name="_Toc346310953"/>
      <w:r>
        <w:lastRenderedPageBreak/>
        <w:t>Composite Degradation</w:t>
      </w:r>
      <w:r w:rsidR="00486C5B">
        <w:t xml:space="preserve"> due to Environmental and Operational Effects</w:t>
      </w:r>
      <w:bookmarkEnd w:id="15"/>
    </w:p>
    <w:p w14:paraId="7C31BA9A" w14:textId="63F0D873" w:rsidR="0036663E" w:rsidRDefault="00C66DCA" w:rsidP="00C35240">
      <w:pPr>
        <w:ind w:firstLine="360"/>
      </w:pPr>
      <w:r>
        <w:t>As mentioned previously, c</w:t>
      </w:r>
      <w:r w:rsidR="003B3649">
        <w:t>omposite materials are increasingly being implemented in products and structures that require a long service life with minimal downtime for repair or maintenance.  Therefore, composite degradation due to l</w:t>
      </w:r>
      <w:r w:rsidR="00FB061A">
        <w:t xml:space="preserve">ong-term </w:t>
      </w:r>
      <w:r w:rsidR="003B3649">
        <w:t xml:space="preserve">environmental exposure or routine operation must be considered.  </w:t>
      </w:r>
      <w:r w:rsidR="002C3792">
        <w:t>Environmental degradation can include</w:t>
      </w:r>
      <w:r w:rsidR="00FB061A">
        <w:t xml:space="preserve"> ultraviolet radiation, thermo-oxidative degradation, and </w:t>
      </w:r>
      <w:r w:rsidR="0036663E">
        <w:t>liquid absorption</w:t>
      </w:r>
      <w:r w:rsidR="002C3792">
        <w:t>.</w:t>
      </w:r>
      <w:r w:rsidR="00FB061A">
        <w:t xml:space="preserve"> </w:t>
      </w:r>
      <w:r w:rsidR="002C3792">
        <w:t xml:space="preserve"> Additionally, standard operational procedures can expose composites</w:t>
      </w:r>
      <w:r w:rsidR="0036663E">
        <w:t xml:space="preserve"> to a variety of liquid contaminants, such as moisture, oil, de-icing fluid, or hydraulic fluid.  </w:t>
      </w:r>
      <w:r w:rsidR="00486C5B">
        <w:t>The deleterious effects of m</w:t>
      </w:r>
      <w:r w:rsidR="00040A23">
        <w:t>oisture absorption on fiber-reinforced epoxy laminates have been extensively studied for several decades</w:t>
      </w:r>
      <w:r w:rsidR="007B5482">
        <w:t xml:space="preserve"> [3-5]</w:t>
      </w:r>
      <w:r w:rsidR="00040A23">
        <w:t xml:space="preserve">.  Moisture in the form of high relative humidity environments, distilled liquid </w:t>
      </w:r>
      <w:r w:rsidR="00486C5B">
        <w:t>water exposure, or salt water to simulate</w:t>
      </w:r>
      <w:r w:rsidR="00040A23">
        <w:t xml:space="preserve"> ocean environments; make up a vast majority of past and current research focuses</w:t>
      </w:r>
      <w:r w:rsidR="007B5482">
        <w:t xml:space="preserve"> [3-9]</w:t>
      </w:r>
      <w:r w:rsidR="0036663E">
        <w:t>.</w:t>
      </w:r>
    </w:p>
    <w:p w14:paraId="218F5A7B" w14:textId="51FA5FB1" w:rsidR="006F7845" w:rsidRDefault="0036663E" w:rsidP="00C35240">
      <w:pPr>
        <w:ind w:firstLine="360"/>
      </w:pPr>
      <w:r>
        <w:t xml:space="preserve">The characteristics of BMI </w:t>
      </w:r>
      <w:r w:rsidR="006E1D37">
        <w:t>are</w:t>
      </w:r>
      <w:r>
        <w:t xml:space="preserve"> significantly different when compared to traditional epoxy-based materials.</w:t>
      </w:r>
      <w:r w:rsidR="006E1D37">
        <w:t xml:space="preserve">  For aerospace applications, BMI is frequently exposed to liquid water contamination, as well as specialized liquids such as hydraulic fluid.  Although</w:t>
      </w:r>
      <w:r w:rsidR="006F7845">
        <w:t xml:space="preserve"> not to the same extent as epoxy-based systems, m</w:t>
      </w:r>
      <w:r w:rsidR="00040A23">
        <w:t>oisture absorption of BMI resin</w:t>
      </w:r>
      <w:r w:rsidR="00486C5B">
        <w:t xml:space="preserve"> systems</w:t>
      </w:r>
      <w:r w:rsidR="00040A23">
        <w:t xml:space="preserve"> ha</w:t>
      </w:r>
      <w:r w:rsidR="00486C5B">
        <w:t>ve</w:t>
      </w:r>
      <w:r w:rsidR="00040A23">
        <w:t xml:space="preserve"> been addressed occasionally in </w:t>
      </w:r>
      <w:r w:rsidR="006F7845">
        <w:t>literature</w:t>
      </w:r>
      <w:r w:rsidR="007B5482">
        <w:t xml:space="preserve"> [10-14]</w:t>
      </w:r>
      <w:r w:rsidR="00040A23">
        <w:t xml:space="preserve">.  This is most likely </w:t>
      </w:r>
      <w:r w:rsidR="006F7845">
        <w:t>attributed</w:t>
      </w:r>
      <w:r w:rsidR="00040A23">
        <w:t xml:space="preserve"> to the relatively specialized </w:t>
      </w:r>
      <w:r w:rsidR="006F7845">
        <w:t>nature</w:t>
      </w:r>
      <w:r w:rsidR="00040A23">
        <w:t xml:space="preserve"> of BMI when compared to the more general and broader appeal of epoxy-based polymer systems.  </w:t>
      </w:r>
      <w:r w:rsidR="006F7845">
        <w:t xml:space="preserve">Unlike water absorption, the long-term absorption effect of alternative working fluids on fiber-reinforced laminates has not been studied extensively.  The most common research topics for </w:t>
      </w:r>
      <w:r w:rsidR="006F7845">
        <w:lastRenderedPageBreak/>
        <w:t>alternative fluids remain nearly exclusively on the effect of aerospace fluids</w:t>
      </w:r>
      <w:r w:rsidR="007B5482">
        <w:t xml:space="preserve"> [15]</w:t>
      </w:r>
      <w:r w:rsidR="006F7845">
        <w:t>, and crude oils</w:t>
      </w:r>
      <w:r w:rsidR="007B5482">
        <w:t xml:space="preserve"> [16]</w:t>
      </w:r>
      <w:r w:rsidR="006F7845">
        <w:t xml:space="preserve"> on the performance of epoxy-matrix systems.  </w:t>
      </w:r>
    </w:p>
    <w:p w14:paraId="483E3FDC" w14:textId="18F502FD" w:rsidR="0054012C" w:rsidRDefault="002F7DF4" w:rsidP="0054012C">
      <w:pPr>
        <w:ind w:firstLine="360"/>
      </w:pPr>
      <w:r>
        <w:t>Therefore, a</w:t>
      </w:r>
      <w:r w:rsidR="005A3796">
        <w:t xml:space="preserve"> focus of this </w:t>
      </w:r>
      <w:r w:rsidR="006F7845">
        <w:t>research</w:t>
      </w:r>
      <w:r w:rsidR="005A3796">
        <w:t xml:space="preserve"> was to examine the effect of </w:t>
      </w:r>
      <w:r w:rsidR="00FB061A">
        <w:t>hydraulic fluid</w:t>
      </w:r>
      <w:r w:rsidR="005A3796">
        <w:t xml:space="preserve"> contamination on the performance of aerospace-grade composite structures.  </w:t>
      </w:r>
      <w:r w:rsidR="007702B5">
        <w:t xml:space="preserve">The hydraulic fluid </w:t>
      </w:r>
      <w:r>
        <w:t xml:space="preserve">selected (Castrol Brayco Micronic 881) is commonly used in aerospace applications and conforms to the military standard MIL-PRF-87257B.  </w:t>
      </w:r>
      <w:r w:rsidR="007702B5">
        <w:t xml:space="preserve">Castrol Brayco is a </w:t>
      </w:r>
      <w:r w:rsidR="00D924A5">
        <w:t>synthetic hydrocarbon base hydraulic fluid</w:t>
      </w:r>
      <w:r w:rsidR="007702B5">
        <w:t>,</w:t>
      </w:r>
      <w:r w:rsidR="008E5FED">
        <w:t xml:space="preserve"> </w:t>
      </w:r>
      <w:r w:rsidR="007702B5">
        <w:t xml:space="preserve">and </w:t>
      </w:r>
      <w:r w:rsidR="0054012C">
        <w:t xml:space="preserve">is characterized with a kinematic viscosity of 7.2 </w:t>
      </w:r>
      <w:proofErr w:type="gramStart"/>
      <w:r w:rsidR="0054012C">
        <w:t>cSt</w:t>
      </w:r>
      <w:proofErr w:type="gramEnd"/>
      <w:r w:rsidR="0054012C">
        <w:t>, measured at 40</w:t>
      </w:r>
      <w:r w:rsidR="0054012C" w:rsidRPr="0054012C">
        <w:rPr>
          <w:rFonts w:asciiTheme="minorHAnsi" w:hAnsiTheme="minorHAnsi" w:cstheme="minorHAnsi"/>
          <w:color w:val="000000"/>
        </w:rPr>
        <w:t>°C</w:t>
      </w:r>
      <w:r w:rsidR="0054012C">
        <w:t>, and a specific gravity of 0.84.</w:t>
      </w:r>
    </w:p>
    <w:p w14:paraId="071363F4" w14:textId="77777777" w:rsidR="00555F32" w:rsidRDefault="004D6D3E" w:rsidP="00555F32">
      <w:pPr>
        <w:pStyle w:val="Heading2"/>
      </w:pPr>
      <w:bookmarkStart w:id="16" w:name="_Ref342734412"/>
      <w:bookmarkStart w:id="17" w:name="_Ref342815203"/>
      <w:bookmarkStart w:id="18" w:name="_Toc346310954"/>
      <w:r>
        <w:t>Research Motivation</w:t>
      </w:r>
      <w:bookmarkEnd w:id="16"/>
      <w:bookmarkEnd w:id="17"/>
      <w:bookmarkEnd w:id="18"/>
    </w:p>
    <w:p w14:paraId="0DEE4370" w14:textId="15091823" w:rsidR="00E31676" w:rsidRDefault="007702B5" w:rsidP="00E31676">
      <w:pPr>
        <w:ind w:firstLine="360"/>
      </w:pPr>
      <w:r>
        <w:t xml:space="preserve">The research presented in this dissertation was formulated to address </w:t>
      </w:r>
      <w:r w:rsidR="00A82C51">
        <w:t>the following</w:t>
      </w:r>
      <w:r>
        <w:t xml:space="preserve"> gaps </w:t>
      </w:r>
      <w:r w:rsidR="00A82C51">
        <w:t xml:space="preserve">identified </w:t>
      </w:r>
      <w:r>
        <w:t>in literature</w:t>
      </w:r>
      <w:r w:rsidR="00A82C51">
        <w:t>.</w:t>
      </w:r>
      <w:r w:rsidR="00776341">
        <w:t xml:space="preserve">  </w:t>
      </w:r>
      <w:r w:rsidR="00557C88">
        <w:t xml:space="preserve">First, was to examine the </w:t>
      </w:r>
      <w:r w:rsidR="00A82C51">
        <w:t xml:space="preserve">coupled </w:t>
      </w:r>
      <w:r w:rsidR="00557C88">
        <w:t xml:space="preserve">effect of prepreg </w:t>
      </w:r>
      <w:r w:rsidR="00A82C51">
        <w:t>humidity exposure</w:t>
      </w:r>
      <w:r w:rsidR="00557C88">
        <w:t xml:space="preserve"> and fabrication </w:t>
      </w:r>
      <w:r w:rsidR="00A82C51">
        <w:t>pressure</w:t>
      </w:r>
      <w:r w:rsidR="00557C88">
        <w:t xml:space="preserve"> on the formation of microvoids and laminate </w:t>
      </w:r>
      <w:r w:rsidR="00A82C51">
        <w:t>mechanical properties</w:t>
      </w:r>
      <w:r w:rsidR="00557C88">
        <w:t>.  Although the effect of processing conditions on the formation of microvoids and mechanical properties have been studied extensively</w:t>
      </w:r>
      <w:r w:rsidR="007B5482">
        <w:t xml:space="preserve"> [2,17-19]</w:t>
      </w:r>
      <w:r w:rsidR="00557C88">
        <w:t>, a detailed study that independently varies the void</w:t>
      </w:r>
      <w:r w:rsidR="00864E40">
        <w:t xml:space="preserve"> volume</w:t>
      </w:r>
      <w:r w:rsidR="00557C88">
        <w:t xml:space="preserve"> fraction by varying the moisture in prepregs before cure and the fiber volume fraction by varying the fabrication pressure has not been reported.  Second, was to examine</w:t>
      </w:r>
      <w:r w:rsidR="00776341">
        <w:t xml:space="preserve"> </w:t>
      </w:r>
      <w:r w:rsidR="00E31676">
        <w:t xml:space="preserve">the effect of long-term hydraulic fluid contamination on the performance of aerospace-grade composite </w:t>
      </w:r>
      <w:r w:rsidR="00A82C51">
        <w:t>laminates</w:t>
      </w:r>
      <w:r w:rsidR="00E31676">
        <w:t>.</w:t>
      </w:r>
      <w:r w:rsidR="002F2FCE">
        <w:t xml:space="preserve">  Addressing these gaps in a comprehensive way could be useful in the design or manufacturing stage and </w:t>
      </w:r>
      <w:r w:rsidR="00A82C51">
        <w:t>assist in</w:t>
      </w:r>
      <w:r w:rsidR="002F2FCE">
        <w:t xml:space="preserve"> understand</w:t>
      </w:r>
      <w:r w:rsidR="00A82C51">
        <w:t>ing</w:t>
      </w:r>
      <w:r w:rsidR="002F2FCE">
        <w:t xml:space="preserve"> the </w:t>
      </w:r>
      <w:r w:rsidR="00011A98">
        <w:t xml:space="preserve">effect of processing conditions and hydraulic fluid contamination on high-performance, aerospace-grade </w:t>
      </w:r>
      <w:r w:rsidR="002F2FCE">
        <w:t>composite</w:t>
      </w:r>
      <w:r w:rsidR="00011A98">
        <w:t>s</w:t>
      </w:r>
      <w:r w:rsidR="002F2FCE">
        <w:t>.</w:t>
      </w:r>
      <w:r w:rsidR="00353F1D">
        <w:t xml:space="preserve">  </w:t>
      </w:r>
      <w:r w:rsidR="00E31676">
        <w:t xml:space="preserve">Therefore, the </w:t>
      </w:r>
      <w:r w:rsidR="00011A98">
        <w:t>following r</w:t>
      </w:r>
      <w:r w:rsidR="00E31676">
        <w:t xml:space="preserve">esearch </w:t>
      </w:r>
      <w:r w:rsidR="00011A98">
        <w:t>objectives were identified</w:t>
      </w:r>
      <w:r w:rsidR="00E31676">
        <w:t>:</w:t>
      </w:r>
    </w:p>
    <w:p w14:paraId="0222AC66" w14:textId="77777777" w:rsidR="00F81D61" w:rsidRDefault="00F81D61" w:rsidP="00F81D61">
      <w:pPr>
        <w:ind w:firstLine="360"/>
      </w:pPr>
    </w:p>
    <w:p w14:paraId="073C77EF" w14:textId="0A806A32" w:rsidR="00F81D61" w:rsidRDefault="00C90B2F" w:rsidP="00011A98">
      <w:pPr>
        <w:pStyle w:val="ListParagraph"/>
        <w:numPr>
          <w:ilvl w:val="0"/>
          <w:numId w:val="26"/>
        </w:numPr>
      </w:pPr>
      <w:r>
        <w:rPr>
          <w:i/>
        </w:rPr>
        <w:lastRenderedPageBreak/>
        <w:t>Coupled effect of</w:t>
      </w:r>
      <w:r w:rsidR="00F81D61">
        <w:rPr>
          <w:i/>
        </w:rPr>
        <w:t xml:space="preserve"> </w:t>
      </w:r>
      <w:r>
        <w:rPr>
          <w:i/>
        </w:rPr>
        <w:t>varying</w:t>
      </w:r>
      <w:r w:rsidR="00F81D61">
        <w:rPr>
          <w:i/>
        </w:rPr>
        <w:t xml:space="preserve"> prepreg humidity exposure level and fabrication</w:t>
      </w:r>
      <w:r>
        <w:rPr>
          <w:i/>
        </w:rPr>
        <w:t xml:space="preserve"> </w:t>
      </w:r>
      <w:r w:rsidR="00F81D61">
        <w:rPr>
          <w:i/>
        </w:rPr>
        <w:t xml:space="preserve">pressure </w:t>
      </w:r>
      <w:r>
        <w:rPr>
          <w:i/>
        </w:rPr>
        <w:t>on</w:t>
      </w:r>
      <w:r w:rsidR="00F81D61">
        <w:rPr>
          <w:i/>
        </w:rPr>
        <w:t xml:space="preserve"> the laminate fiber volume fraction and void </w:t>
      </w:r>
      <w:r w:rsidR="00011A98">
        <w:rPr>
          <w:i/>
        </w:rPr>
        <w:t>formation</w:t>
      </w:r>
      <w:r w:rsidR="00F81D61">
        <w:rPr>
          <w:i/>
        </w:rPr>
        <w:t xml:space="preserve"> for aerospace-grade composite prepregs</w:t>
      </w:r>
    </w:p>
    <w:p w14:paraId="35D1CC1E" w14:textId="4C88DBDF" w:rsidR="00F81D61" w:rsidRDefault="00F81D61" w:rsidP="00011A98">
      <w:pPr>
        <w:pStyle w:val="ListParagraph"/>
        <w:numPr>
          <w:ilvl w:val="0"/>
          <w:numId w:val="26"/>
        </w:numPr>
      </w:pPr>
      <w:r>
        <w:rPr>
          <w:i/>
        </w:rPr>
        <w:t>In addition to fiber volume fraction and void</w:t>
      </w:r>
      <w:r w:rsidR="0075106B">
        <w:rPr>
          <w:i/>
        </w:rPr>
        <w:t xml:space="preserve"> volume</w:t>
      </w:r>
      <w:r>
        <w:rPr>
          <w:i/>
        </w:rPr>
        <w:t xml:space="preserve"> fraction, </w:t>
      </w:r>
      <w:r w:rsidR="00C90B2F">
        <w:rPr>
          <w:i/>
        </w:rPr>
        <w:t xml:space="preserve">effect of </w:t>
      </w:r>
      <w:r w:rsidR="00011A98">
        <w:rPr>
          <w:i/>
        </w:rPr>
        <w:t>prepreg</w:t>
      </w:r>
      <w:r w:rsidRPr="00275102">
        <w:rPr>
          <w:i/>
        </w:rPr>
        <w:t xml:space="preserve"> humidity exposure</w:t>
      </w:r>
      <w:r>
        <w:rPr>
          <w:i/>
        </w:rPr>
        <w:t xml:space="preserve"> level</w:t>
      </w:r>
      <w:r w:rsidRPr="00275102">
        <w:rPr>
          <w:i/>
        </w:rPr>
        <w:t xml:space="preserve"> and fabrication</w:t>
      </w:r>
      <w:r w:rsidR="00C90B2F">
        <w:rPr>
          <w:i/>
        </w:rPr>
        <w:t xml:space="preserve"> </w:t>
      </w:r>
      <w:r w:rsidRPr="00275102">
        <w:rPr>
          <w:i/>
        </w:rPr>
        <w:t xml:space="preserve">pressure </w:t>
      </w:r>
      <w:r w:rsidR="00C90B2F">
        <w:rPr>
          <w:i/>
        </w:rPr>
        <w:t xml:space="preserve">on </w:t>
      </w:r>
      <w:r w:rsidRPr="00275102">
        <w:rPr>
          <w:i/>
        </w:rPr>
        <w:t>the laminate</w:t>
      </w:r>
      <w:r>
        <w:rPr>
          <w:i/>
        </w:rPr>
        <w:t xml:space="preserve"> flexural stiffness, flexural strength, and hydraulic fluid absorption behavior</w:t>
      </w:r>
    </w:p>
    <w:p w14:paraId="4C905F86" w14:textId="5DE2C2BF" w:rsidR="00F81D61" w:rsidRPr="00DD628F" w:rsidRDefault="00C90B2F" w:rsidP="00011A98">
      <w:pPr>
        <w:pStyle w:val="ListParagraph"/>
        <w:numPr>
          <w:ilvl w:val="0"/>
          <w:numId w:val="26"/>
        </w:numPr>
      </w:pPr>
      <w:r>
        <w:rPr>
          <w:i/>
        </w:rPr>
        <w:t xml:space="preserve">Effect of </w:t>
      </w:r>
      <w:r w:rsidR="00F81D61" w:rsidRPr="00275102">
        <w:rPr>
          <w:i/>
        </w:rPr>
        <w:t xml:space="preserve">long-term </w:t>
      </w:r>
      <w:r w:rsidR="00F81D61">
        <w:rPr>
          <w:i/>
        </w:rPr>
        <w:t>hydraulic fluid</w:t>
      </w:r>
      <w:r w:rsidR="00F81D61" w:rsidRPr="00275102">
        <w:rPr>
          <w:i/>
        </w:rPr>
        <w:t xml:space="preserve"> contamination </w:t>
      </w:r>
      <w:r>
        <w:rPr>
          <w:i/>
        </w:rPr>
        <w:t>on the</w:t>
      </w:r>
      <w:r w:rsidR="00F81D61">
        <w:rPr>
          <w:i/>
        </w:rPr>
        <w:t xml:space="preserve"> flexural properties</w:t>
      </w:r>
      <w:r w:rsidR="00F81D61" w:rsidRPr="00275102">
        <w:rPr>
          <w:i/>
        </w:rPr>
        <w:t xml:space="preserve"> of aerospace-grade composite </w:t>
      </w:r>
      <w:r>
        <w:rPr>
          <w:i/>
        </w:rPr>
        <w:t>laminates</w:t>
      </w:r>
    </w:p>
    <w:p w14:paraId="670DBA64" w14:textId="77777777" w:rsidR="00E91644" w:rsidRDefault="009F3C61" w:rsidP="00555F32">
      <w:pPr>
        <w:pStyle w:val="Heading2"/>
      </w:pPr>
      <w:bookmarkStart w:id="19" w:name="_Toc346310955"/>
      <w:r>
        <w:t xml:space="preserve">Organization of </w:t>
      </w:r>
      <w:r w:rsidR="0094712B">
        <w:t>Dissertation</w:t>
      </w:r>
      <w:bookmarkEnd w:id="19"/>
    </w:p>
    <w:p w14:paraId="1F4BDC3F" w14:textId="77777777" w:rsidR="00367E64" w:rsidRDefault="00E31676" w:rsidP="00E31676">
      <w:pPr>
        <w:ind w:firstLine="360"/>
      </w:pPr>
      <w:r>
        <w:t xml:space="preserve">This dissertation will first </w:t>
      </w:r>
      <w:r w:rsidR="00353F1D">
        <w:t xml:space="preserve">introduce the material specifications for the three </w:t>
      </w:r>
      <w:r w:rsidR="00011A98">
        <w:t xml:space="preserve">aerospace-grade </w:t>
      </w:r>
      <w:r w:rsidR="00353F1D">
        <w:t>commercial prepregs used in this study.  Then the equipment and experimental procedure used to alter the prepreg moisture content via relative humidity exposure and laminate fabrication will be discussed.</w:t>
      </w:r>
      <w:r w:rsidR="00691670">
        <w:t xml:space="preserve">  </w:t>
      </w:r>
      <w:r w:rsidR="00011A98">
        <w:t xml:space="preserve">Two </w:t>
      </w:r>
      <w:r w:rsidR="00367E64">
        <w:t>distinct focuses, or Parts, were</w:t>
      </w:r>
      <w:r w:rsidR="00011A98">
        <w:t xml:space="preserve"> identified to address the research objectives.</w:t>
      </w:r>
      <w:r w:rsidR="004861B7">
        <w:t xml:space="preserve">  </w:t>
      </w:r>
      <w:r w:rsidR="00367E64">
        <w:t>The research focus for Part A was characterizing the effect of prepreg humidity exposure and fabrication pressure on the</w:t>
      </w:r>
      <w:r w:rsidR="004861B7">
        <w:t xml:space="preserve"> laminate</w:t>
      </w:r>
      <w:r w:rsidR="00367E64">
        <w:t xml:space="preserve"> microstructure and mechanical properties</w:t>
      </w:r>
      <w:r w:rsidR="004861B7">
        <w:t>.</w:t>
      </w:r>
      <w:r w:rsidR="00367E64">
        <w:t xml:space="preserve">  Whereas the research focus for Part B was characterizing the absorption behavior due to long-term hydraulic fluid contamination and subsequent effect on flexural properties.</w:t>
      </w:r>
      <w:r w:rsidR="004861B7">
        <w:t xml:space="preserve">  </w:t>
      </w:r>
    </w:p>
    <w:p w14:paraId="14B47F66" w14:textId="5FCA3213" w:rsidR="00E31676" w:rsidRDefault="00367E64" w:rsidP="00E31676">
      <w:pPr>
        <w:ind w:firstLine="360"/>
      </w:pPr>
      <w:r>
        <w:t>For Part A</w:t>
      </w:r>
      <w:r w:rsidR="004861B7">
        <w:t>, t</w:t>
      </w:r>
      <w:r w:rsidR="00691670">
        <w:t xml:space="preserve">he coupled effect of varying relative humidity exposure and fabrication pressure on the laminate fiber volume fraction and void formation </w:t>
      </w:r>
      <w:r>
        <w:t>will be</w:t>
      </w:r>
      <w:r w:rsidR="00691670">
        <w:t xml:space="preserve"> </w:t>
      </w:r>
      <w:r>
        <w:t>discussed</w:t>
      </w:r>
      <w:r w:rsidR="00691670">
        <w:t xml:space="preserve"> in Chapter </w:t>
      </w:r>
      <w:r w:rsidR="00CF0651">
        <w:fldChar w:fldCharType="begin"/>
      </w:r>
      <w:r w:rsidR="00691670">
        <w:instrText xml:space="preserve"> REF _Ref464562188 \r \h </w:instrText>
      </w:r>
      <w:r w:rsidR="00CF0651">
        <w:fldChar w:fldCharType="separate"/>
      </w:r>
      <w:r w:rsidR="008A1992">
        <w:t>2</w:t>
      </w:r>
      <w:r w:rsidR="00CF0651">
        <w:fldChar w:fldCharType="end"/>
      </w:r>
      <w:r w:rsidR="00691670">
        <w:t xml:space="preserve">.  The </w:t>
      </w:r>
      <w:r w:rsidR="004861B7">
        <w:t xml:space="preserve">size and </w:t>
      </w:r>
      <w:r w:rsidR="00691670">
        <w:t>spatial distribution of</w:t>
      </w:r>
      <w:r w:rsidR="004861B7">
        <w:t xml:space="preserve"> voids </w:t>
      </w:r>
      <w:r>
        <w:t>within the laminates were</w:t>
      </w:r>
      <w:r w:rsidR="004861B7">
        <w:t xml:space="preserve"> examined using a Scanning Electron Microscope (SEM).  </w:t>
      </w:r>
      <w:r>
        <w:t xml:space="preserve">Similarly, the coupled effect of prepreg humidity exposure and fabrication pressure on the laminate flexural stiffness </w:t>
      </w:r>
      <w:r>
        <w:lastRenderedPageBreak/>
        <w:t xml:space="preserve">and flexural strength is examined in </w:t>
      </w:r>
      <w:r w:rsidR="004861B7">
        <w:t xml:space="preserve">Chapter </w:t>
      </w:r>
      <w:r w:rsidR="00CF0651">
        <w:fldChar w:fldCharType="begin"/>
      </w:r>
      <w:r w:rsidR="004861B7">
        <w:instrText xml:space="preserve"> REF _Ref464564658 \r \h </w:instrText>
      </w:r>
      <w:r w:rsidR="00CF0651">
        <w:fldChar w:fldCharType="separate"/>
      </w:r>
      <w:r w:rsidR="008A1992">
        <w:t>3</w:t>
      </w:r>
      <w:r w:rsidR="00CF0651">
        <w:fldChar w:fldCharType="end"/>
      </w:r>
      <w:r>
        <w:t>.</w:t>
      </w:r>
      <w:r w:rsidR="004861B7">
        <w:t xml:space="preserve"> </w:t>
      </w:r>
      <w:r>
        <w:t xml:space="preserve"> </w:t>
      </w:r>
      <w:r w:rsidR="00051416">
        <w:t xml:space="preserve">Chapter </w:t>
      </w:r>
      <w:r w:rsidR="00051416">
        <w:fldChar w:fldCharType="begin"/>
      </w:r>
      <w:r w:rsidR="00051416">
        <w:instrText xml:space="preserve"> REF _Ref340738293 \r \h </w:instrText>
      </w:r>
      <w:r w:rsidR="00051416">
        <w:fldChar w:fldCharType="separate"/>
      </w:r>
      <w:r w:rsidR="008A1992">
        <w:t>4</w:t>
      </w:r>
      <w:r w:rsidR="00051416">
        <w:fldChar w:fldCharType="end"/>
      </w:r>
      <w:r w:rsidR="00051416">
        <w:t xml:space="preserve"> will conclude research Part A with an examination of the prepreg humidity exposure and fabrication pressure on the laminate fiber volume fraction, void fraction, flexural stiffness, and flexural strength </w:t>
      </w:r>
      <w:r w:rsidR="003D7492">
        <w:t>by using property functions and illustrated with co</w:t>
      </w:r>
      <w:r w:rsidR="00051416">
        <w:t>ntour plots</w:t>
      </w:r>
      <w:r w:rsidR="003D7492">
        <w:t>.</w:t>
      </w:r>
    </w:p>
    <w:p w14:paraId="6B882333" w14:textId="6D0294AD" w:rsidR="00582C51" w:rsidRDefault="00051416" w:rsidP="00582C51">
      <w:pPr>
        <w:ind w:firstLine="360"/>
      </w:pPr>
      <w:r>
        <w:t xml:space="preserve">For Part B, the coupled effect of varying relative humidity exposure and fabrication pressure on the propensity to absorb hydraulic fluid will be discussed in </w:t>
      </w:r>
      <w:r w:rsidR="00582C51">
        <w:t xml:space="preserve">Chapter </w:t>
      </w:r>
      <w:r w:rsidR="00CF0651">
        <w:fldChar w:fldCharType="begin"/>
      </w:r>
      <w:r w:rsidR="00582C51">
        <w:instrText xml:space="preserve"> REF _Ref464121241 \r \h </w:instrText>
      </w:r>
      <w:r w:rsidR="00CF0651">
        <w:fldChar w:fldCharType="separate"/>
      </w:r>
      <w:r w:rsidR="008A1992">
        <w:t>5</w:t>
      </w:r>
      <w:r w:rsidR="00CF0651">
        <w:fldChar w:fldCharType="end"/>
      </w:r>
      <w:r>
        <w:t>.</w:t>
      </w:r>
      <w:r w:rsidR="00582C51">
        <w:t xml:space="preserve"> Later, Chapter </w:t>
      </w:r>
      <w:r w:rsidR="00CF0651">
        <w:fldChar w:fldCharType="begin"/>
      </w:r>
      <w:r w:rsidR="00582C51">
        <w:instrText xml:space="preserve"> REF _Ref464565238 \r \h </w:instrText>
      </w:r>
      <w:r w:rsidR="00CF0651">
        <w:fldChar w:fldCharType="separate"/>
      </w:r>
      <w:r w:rsidR="008A1992">
        <w:t>6</w:t>
      </w:r>
      <w:r w:rsidR="00CF0651">
        <w:fldChar w:fldCharType="end"/>
      </w:r>
      <w:r w:rsidR="00582C51">
        <w:t xml:space="preserve"> will </w:t>
      </w:r>
      <w:r>
        <w:t>examine</w:t>
      </w:r>
      <w:r w:rsidR="00582C51">
        <w:t xml:space="preserve"> the long-term effect of </w:t>
      </w:r>
      <w:r w:rsidR="00557C88">
        <w:t>hydraulic fluid</w:t>
      </w:r>
      <w:r w:rsidR="00582C51">
        <w:t xml:space="preserve"> contamination on the laminate flexural properties.  Concluding rem</w:t>
      </w:r>
      <w:r w:rsidR="00557C88">
        <w:t>arks, research contributions,</w:t>
      </w:r>
      <w:r w:rsidR="00582C51">
        <w:t xml:space="preserve"> limitations, and </w:t>
      </w:r>
      <w:r w:rsidR="00557C88">
        <w:t>future work recommendations</w:t>
      </w:r>
      <w:r w:rsidR="00582C51">
        <w:t xml:space="preserve"> will summarize this dissertation in Chapter </w:t>
      </w:r>
      <w:r w:rsidR="00CF0651">
        <w:fldChar w:fldCharType="begin"/>
      </w:r>
      <w:r w:rsidR="00582C51">
        <w:instrText xml:space="preserve"> REF _Ref464565379 \r \h </w:instrText>
      </w:r>
      <w:r w:rsidR="00CF0651">
        <w:fldChar w:fldCharType="separate"/>
      </w:r>
      <w:r w:rsidR="008A1992">
        <w:t>7</w:t>
      </w:r>
      <w:r w:rsidR="00CF0651">
        <w:fldChar w:fldCharType="end"/>
      </w:r>
      <w:r w:rsidR="00582C51">
        <w:t>.</w:t>
      </w:r>
    </w:p>
    <w:p w14:paraId="60BB4FBD" w14:textId="77777777" w:rsidR="004861B7" w:rsidRPr="00E31676" w:rsidRDefault="004861B7" w:rsidP="00E31676">
      <w:pPr>
        <w:ind w:firstLine="360"/>
      </w:pPr>
    </w:p>
    <w:p w14:paraId="0CEEFB60" w14:textId="77777777" w:rsidR="00D90CF3" w:rsidRDefault="00D90CF3" w:rsidP="00414536">
      <w:pPr>
        <w:ind w:firstLine="432"/>
        <w:rPr>
          <w:rFonts w:cs="Arial"/>
          <w:bCs/>
          <w:caps/>
          <w:kern w:val="32"/>
          <w:sz w:val="28"/>
          <w:szCs w:val="32"/>
        </w:rPr>
      </w:pPr>
      <w:r>
        <w:br w:type="page"/>
      </w:r>
    </w:p>
    <w:p w14:paraId="472E5310" w14:textId="38AEF9D4" w:rsidR="001216B5" w:rsidRDefault="00833AEB" w:rsidP="00833AEB">
      <w:pPr>
        <w:pStyle w:val="Heading1"/>
      </w:pPr>
      <w:bookmarkStart w:id="20" w:name="_Toc346310956"/>
      <w:r>
        <w:lastRenderedPageBreak/>
        <w:t>Part A: Characterization of</w:t>
      </w:r>
      <w:r w:rsidR="008C1AA9">
        <w:t xml:space="preserve"> Composite</w:t>
      </w:r>
      <w:r>
        <w:t xml:space="preserve"> Laminates</w:t>
      </w:r>
      <w:bookmarkEnd w:id="20"/>
    </w:p>
    <w:p w14:paraId="62B12ABF" w14:textId="77777777" w:rsidR="00983BCD" w:rsidRDefault="00983BCD" w:rsidP="00F41017">
      <w:pPr>
        <w:ind w:firstLine="360"/>
      </w:pPr>
    </w:p>
    <w:p w14:paraId="704AD6D3" w14:textId="4058A7A0" w:rsidR="003D7492" w:rsidRDefault="00051416" w:rsidP="008C1AA9">
      <w:pPr>
        <w:ind w:firstLine="360"/>
      </w:pPr>
      <w:r>
        <w:t>Part A</w:t>
      </w:r>
      <w:r w:rsidR="003D7492">
        <w:t xml:space="preserve"> of the </w:t>
      </w:r>
      <w:r>
        <w:t>d</w:t>
      </w:r>
      <w:r w:rsidR="003D7492">
        <w:t>issertation will</w:t>
      </w:r>
      <w:r w:rsidR="00F73A56">
        <w:t xml:space="preserve"> focus </w:t>
      </w:r>
      <w:r w:rsidR="003D7492">
        <w:t>on the</w:t>
      </w:r>
      <w:r w:rsidR="00F73A56">
        <w:t xml:space="preserve"> characterization</w:t>
      </w:r>
      <w:r w:rsidR="00383C2B">
        <w:t xml:space="preserve"> techniques and results for the three prepreg materials</w:t>
      </w:r>
      <w:r w:rsidR="00F73A56">
        <w:t xml:space="preserve">.  First, the effect of varying prepreg </w:t>
      </w:r>
      <w:r>
        <w:t>humidity exposure</w:t>
      </w:r>
      <w:r w:rsidR="00F73A56">
        <w:t xml:space="preserve"> and fabrication pressure on the laminate fiber volume fraction and void</w:t>
      </w:r>
      <w:r w:rsidR="00864E40">
        <w:t xml:space="preserve"> volume</w:t>
      </w:r>
      <w:r w:rsidR="00F73A56">
        <w:t xml:space="preserve"> fraction will be discussed</w:t>
      </w:r>
      <w:r>
        <w:t xml:space="preserve"> in Chapter </w:t>
      </w:r>
      <w:r>
        <w:fldChar w:fldCharType="begin"/>
      </w:r>
      <w:r>
        <w:instrText xml:space="preserve"> REF _Ref464562188 \r \h </w:instrText>
      </w:r>
      <w:r>
        <w:fldChar w:fldCharType="separate"/>
      </w:r>
      <w:r w:rsidR="008A1992">
        <w:t>2</w:t>
      </w:r>
      <w:r>
        <w:fldChar w:fldCharType="end"/>
      </w:r>
      <w:r w:rsidR="00F73A56">
        <w:t xml:space="preserve">.  Analysis of the laminate microstructure </w:t>
      </w:r>
      <w:r>
        <w:t>was performed with (i)</w:t>
      </w:r>
      <w:r w:rsidR="00F73A56">
        <w:t xml:space="preserve"> experimental methods, such as specimen suspension method </w:t>
      </w:r>
      <w:r>
        <w:t>or</w:t>
      </w:r>
      <w:r w:rsidR="00F73A56">
        <w:t xml:space="preserve"> acid digestio</w:t>
      </w:r>
      <w:r w:rsidR="00383C2B">
        <w:t xml:space="preserve">n, </w:t>
      </w:r>
      <w:r>
        <w:t>and (ii)</w:t>
      </w:r>
      <w:r w:rsidR="00383C2B">
        <w:t xml:space="preserve"> visual inspection methods, such as</w:t>
      </w:r>
      <w:r w:rsidR="00F73A56">
        <w:t xml:space="preserve"> scanning electron microscopy.  </w:t>
      </w:r>
      <w:r>
        <w:t xml:space="preserve">In Chapter </w:t>
      </w:r>
      <w:r>
        <w:fldChar w:fldCharType="begin"/>
      </w:r>
      <w:r>
        <w:instrText xml:space="preserve"> REF _Ref464564658 \r \h </w:instrText>
      </w:r>
      <w:r>
        <w:fldChar w:fldCharType="separate"/>
      </w:r>
      <w:r w:rsidR="008A1992">
        <w:t>3</w:t>
      </w:r>
      <w:r>
        <w:fldChar w:fldCharType="end"/>
      </w:r>
      <w:r w:rsidR="00F73A56">
        <w:t xml:space="preserve">, the effect of varying prepreg </w:t>
      </w:r>
      <w:r>
        <w:t>humidity exposure</w:t>
      </w:r>
      <w:r w:rsidR="00F73A56">
        <w:t xml:space="preserve"> and fabrication pressure on the laminate </w:t>
      </w:r>
      <w:r w:rsidR="00383C2B">
        <w:t>flexural stiffness and</w:t>
      </w:r>
      <w:r>
        <w:t xml:space="preserve"> flexural</w:t>
      </w:r>
      <w:r w:rsidR="00383C2B">
        <w:t xml:space="preserve"> strength,</w:t>
      </w:r>
      <w:r w:rsidR="00F73A56">
        <w:t xml:space="preserve"> will be introduced.</w:t>
      </w:r>
      <w:r w:rsidR="00383C2B">
        <w:t xml:space="preserve">  Finally, property functions that examine the coupled effect of relative humidity and fabrication pressure on the laminate fiber volume fraction, void </w:t>
      </w:r>
      <w:r w:rsidR="00864E40">
        <w:t xml:space="preserve">volume </w:t>
      </w:r>
      <w:r w:rsidR="00383C2B">
        <w:t>fraction, flexural stiffness, and flexural strength will be introduced</w:t>
      </w:r>
      <w:r>
        <w:t xml:space="preserve"> in Chapter </w:t>
      </w:r>
      <w:r>
        <w:fldChar w:fldCharType="begin"/>
      </w:r>
      <w:r>
        <w:instrText xml:space="preserve"> REF _Ref340738293 \r \h </w:instrText>
      </w:r>
      <w:r>
        <w:fldChar w:fldCharType="separate"/>
      </w:r>
      <w:r w:rsidR="008A1992">
        <w:t>4</w:t>
      </w:r>
      <w:r>
        <w:fldChar w:fldCharType="end"/>
      </w:r>
      <w:r w:rsidR="00383C2B">
        <w:t>.</w:t>
      </w:r>
    </w:p>
    <w:p w14:paraId="73484A4C" w14:textId="77777777" w:rsidR="00F73A56" w:rsidRPr="00F73A56" w:rsidRDefault="00F73A56" w:rsidP="00F73A56">
      <w:pPr>
        <w:tabs>
          <w:tab w:val="left" w:leader="underscore" w:pos="8496"/>
        </w:tabs>
        <w:spacing w:line="240" w:lineRule="auto"/>
        <w:rPr>
          <w:u w:val="single"/>
        </w:rPr>
      </w:pPr>
      <w:r>
        <w:rPr>
          <w:u w:val="single"/>
        </w:rPr>
        <w:tab/>
      </w:r>
    </w:p>
    <w:p w14:paraId="375740B8" w14:textId="77777777" w:rsidR="00F73A56" w:rsidRDefault="00F73A56" w:rsidP="001216B5">
      <w:r>
        <w:t>Work related to this part of the Dissertation has been published in:</w:t>
      </w:r>
    </w:p>
    <w:p w14:paraId="1363AC7F" w14:textId="76387751" w:rsidR="00D92188" w:rsidRDefault="00D92188" w:rsidP="003D7492">
      <w:pPr>
        <w:pStyle w:val="ListParagraph"/>
        <w:numPr>
          <w:ilvl w:val="0"/>
          <w:numId w:val="19"/>
        </w:numPr>
        <w:spacing w:after="600" w:line="240" w:lineRule="auto"/>
        <w:ind w:left="360"/>
      </w:pPr>
      <w:r>
        <w:t>“Coupled Effect of Prepreg Moisture Content and Fabr</w:t>
      </w:r>
      <w:r w:rsidR="003B1AAD">
        <w:t>ication Pressure on Microvoid Formation</w:t>
      </w:r>
      <w:r>
        <w:t xml:space="preserve"> and Mechanical Pro</w:t>
      </w:r>
      <w:r w:rsidR="00864E40">
        <w:t>perties of Composite Laminate”,</w:t>
      </w:r>
      <w:r>
        <w:rPr>
          <w:i/>
        </w:rPr>
        <w:t xml:space="preserve"> </w:t>
      </w:r>
      <w:r w:rsidR="00864E40">
        <w:t xml:space="preserve">Manuscript </w:t>
      </w:r>
      <w:r w:rsidR="009A2A95">
        <w:t>under review (2017</w:t>
      </w:r>
      <w:r>
        <w:t>).</w:t>
      </w:r>
    </w:p>
    <w:p w14:paraId="71DD34C3" w14:textId="77777777" w:rsidR="00D92188" w:rsidRDefault="00D92188" w:rsidP="00D92188">
      <w:pPr>
        <w:pStyle w:val="ListParagraph"/>
        <w:numPr>
          <w:ilvl w:val="0"/>
          <w:numId w:val="19"/>
        </w:numPr>
        <w:spacing w:after="600" w:line="240" w:lineRule="auto"/>
        <w:ind w:left="360"/>
      </w:pPr>
      <w:r>
        <w:t xml:space="preserve">“Effects of Processing Conditions on Mechanical Properties of Quartz/BMI Laminates”, </w:t>
      </w:r>
      <w:r>
        <w:rPr>
          <w:i/>
        </w:rPr>
        <w:t>American Society of Composites 30</w:t>
      </w:r>
      <w:r w:rsidRPr="00D92188">
        <w:rPr>
          <w:i/>
          <w:vertAlign w:val="superscript"/>
        </w:rPr>
        <w:t>th</w:t>
      </w:r>
      <w:r>
        <w:rPr>
          <w:i/>
        </w:rPr>
        <w:t xml:space="preserve"> Technical Conference, </w:t>
      </w:r>
      <w:r>
        <w:t>(2015). East Lansing, MI, 1744.</w:t>
      </w:r>
    </w:p>
    <w:p w14:paraId="4E3E189F" w14:textId="77777777" w:rsidR="00A95E4A" w:rsidRDefault="00A95E4A" w:rsidP="00A95E4A">
      <w:pPr>
        <w:pStyle w:val="ListParagraph"/>
        <w:numPr>
          <w:ilvl w:val="0"/>
          <w:numId w:val="19"/>
        </w:numPr>
        <w:spacing w:after="600" w:line="240" w:lineRule="auto"/>
        <w:ind w:left="360"/>
      </w:pPr>
      <w:r>
        <w:t xml:space="preserve">“The Coupled Effect of Microvoids and Hydraulic Fluid Absorption on Mechanical Properties of Quartz/BMI Laminates”, </w:t>
      </w:r>
      <w:r>
        <w:rPr>
          <w:i/>
        </w:rPr>
        <w:t>American Society of Composites 29</w:t>
      </w:r>
      <w:r w:rsidRPr="00D92188">
        <w:rPr>
          <w:i/>
          <w:vertAlign w:val="superscript"/>
        </w:rPr>
        <w:t>th</w:t>
      </w:r>
      <w:r>
        <w:rPr>
          <w:i/>
        </w:rPr>
        <w:t xml:space="preserve"> Technical Conference, </w:t>
      </w:r>
      <w:r>
        <w:t>(2014). San Diego, CA, 226.</w:t>
      </w:r>
    </w:p>
    <w:p w14:paraId="3F43684C" w14:textId="77777777" w:rsidR="00A95E4A" w:rsidRDefault="00A95E4A" w:rsidP="00A95E4A">
      <w:pPr>
        <w:pStyle w:val="ListParagraph"/>
        <w:numPr>
          <w:ilvl w:val="0"/>
          <w:numId w:val="19"/>
        </w:numPr>
        <w:spacing w:after="600" w:line="240" w:lineRule="auto"/>
        <w:ind w:left="360"/>
      </w:pPr>
      <w:r>
        <w:t xml:space="preserve">“Processing Effects on Formation of Microvoids and Hydraulic Fluid Absorption of Quartz/BMI Laminates”, </w:t>
      </w:r>
      <w:r w:rsidRPr="00A95E4A">
        <w:rPr>
          <w:i/>
        </w:rPr>
        <w:t xml:space="preserve">ASME International Mechanical Engineering Congress &amp; Exposition, </w:t>
      </w:r>
      <w:r>
        <w:t>(2015). Houston, TX, IMECE2015-53717.</w:t>
      </w:r>
    </w:p>
    <w:p w14:paraId="180511F7" w14:textId="77777777" w:rsidR="001216B5" w:rsidRPr="00F67F76" w:rsidRDefault="001216B5" w:rsidP="001216B5">
      <w:pPr>
        <w:pStyle w:val="ListParagraph"/>
        <w:numPr>
          <w:ilvl w:val="0"/>
          <w:numId w:val="19"/>
        </w:numPr>
        <w:spacing w:after="600" w:line="240" w:lineRule="auto"/>
        <w:ind w:left="360" w:firstLine="576"/>
      </w:pPr>
      <w:r>
        <w:br w:type="page"/>
      </w:r>
    </w:p>
    <w:p w14:paraId="158EE8DB" w14:textId="77777777" w:rsidR="00114A2E" w:rsidRDefault="00114A2E" w:rsidP="00114A2E">
      <w:pPr>
        <w:pStyle w:val="Heading1"/>
        <w:numPr>
          <w:ilvl w:val="0"/>
          <w:numId w:val="0"/>
        </w:numPr>
        <w:ind w:left="432"/>
      </w:pPr>
      <w:bookmarkStart w:id="21" w:name="_Toc464644041"/>
      <w:bookmarkStart w:id="22" w:name="_Toc465250256"/>
      <w:bookmarkStart w:id="23" w:name="_Toc345066547"/>
      <w:bookmarkStart w:id="24" w:name="_Toc346310957"/>
      <w:r>
        <w:lastRenderedPageBreak/>
        <w:t xml:space="preserve">chapter </w:t>
      </w:r>
      <w:bookmarkEnd w:id="21"/>
      <w:r w:rsidR="00182A18">
        <w:t>2</w:t>
      </w:r>
      <w:bookmarkEnd w:id="22"/>
      <w:bookmarkEnd w:id="23"/>
      <w:bookmarkEnd w:id="24"/>
    </w:p>
    <w:p w14:paraId="2687CEE9" w14:textId="1EB8F580" w:rsidR="00E91644" w:rsidRDefault="000442B6" w:rsidP="00182A18">
      <w:pPr>
        <w:pStyle w:val="Heading1"/>
        <w:numPr>
          <w:ilvl w:val="0"/>
          <w:numId w:val="22"/>
        </w:numPr>
      </w:pPr>
      <w:bookmarkStart w:id="25" w:name="_Ref464562188"/>
      <w:bookmarkStart w:id="26" w:name="_Toc346310958"/>
      <w:r>
        <w:t>Coupled</w:t>
      </w:r>
      <w:r w:rsidR="00030081">
        <w:t xml:space="preserve"> </w:t>
      </w:r>
      <w:r w:rsidR="00683F8D">
        <w:t xml:space="preserve">Effect of </w:t>
      </w:r>
      <w:r w:rsidR="00182A18">
        <w:t xml:space="preserve">Varying </w:t>
      </w:r>
      <w:r w:rsidR="00833AEB">
        <w:t xml:space="preserve">Prepreg </w:t>
      </w:r>
      <w:r w:rsidR="005078EA">
        <w:t>Humidity Exposure</w:t>
      </w:r>
      <w:r w:rsidR="00833AEB">
        <w:t xml:space="preserve"> and </w:t>
      </w:r>
      <w:r>
        <w:t>Fabrication Pressure</w:t>
      </w:r>
      <w:r w:rsidR="00030081">
        <w:t xml:space="preserve"> </w:t>
      </w:r>
      <w:r>
        <w:t>on Laminate</w:t>
      </w:r>
      <w:r w:rsidR="00030081">
        <w:t xml:space="preserve"> </w:t>
      </w:r>
      <w:r>
        <w:t>Microstructure</w:t>
      </w:r>
      <w:bookmarkEnd w:id="25"/>
      <w:bookmarkEnd w:id="26"/>
    </w:p>
    <w:p w14:paraId="7199299D" w14:textId="77777777" w:rsidR="006520B1" w:rsidRDefault="006520B1" w:rsidP="003D2275">
      <w:pPr>
        <w:ind w:firstLine="360"/>
      </w:pPr>
    </w:p>
    <w:p w14:paraId="7C14DD42" w14:textId="27F32229" w:rsidR="00A1716E" w:rsidRPr="00717FD9" w:rsidRDefault="006520B1" w:rsidP="003D2275">
      <w:pPr>
        <w:ind w:firstLine="360"/>
      </w:pPr>
      <w:r>
        <w:t xml:space="preserve">Introduced </w:t>
      </w:r>
      <w:r w:rsidR="00717FD9" w:rsidRPr="00717FD9">
        <w:t xml:space="preserve">in Section </w:t>
      </w:r>
      <w:r w:rsidR="00717FD9">
        <w:fldChar w:fldCharType="begin"/>
      </w:r>
      <w:r w:rsidR="00717FD9">
        <w:instrText xml:space="preserve"> REF _Ref342731503 \r \h </w:instrText>
      </w:r>
      <w:r w:rsidR="00717FD9">
        <w:fldChar w:fldCharType="separate"/>
      </w:r>
      <w:r w:rsidR="008A1992">
        <w:t>1.1</w:t>
      </w:r>
      <w:r w:rsidR="00717FD9">
        <w:fldChar w:fldCharType="end"/>
      </w:r>
      <w:r w:rsidR="00717FD9">
        <w:t xml:space="preserve">, two variables that can </w:t>
      </w:r>
      <w:r>
        <w:t>influence</w:t>
      </w:r>
      <w:r w:rsidR="00717FD9">
        <w:t xml:space="preserve"> process-induced </w:t>
      </w:r>
      <w:r>
        <w:t xml:space="preserve">microvoid formation include 1) the moisture content of composite prepregs due to humidity exposure, and 2) the applied cure pressure used to fabricate laminates.  The remainder of this Chapter will </w:t>
      </w:r>
      <w:r w:rsidR="00C90B2F">
        <w:t>present</w:t>
      </w:r>
      <w:r>
        <w:t xml:space="preserve"> the experimental method used to condition prepregs at varying humidity exposure levels and the</w:t>
      </w:r>
      <w:r w:rsidR="00C90B2F">
        <w:t>n the</w:t>
      </w:r>
      <w:r>
        <w:t xml:space="preserve"> laminate cure procedure.  The resulting laminate fiber volume fraction and void volume fraction will be analyzed i) experimentally by acid digestion and suspension methods and ii) visually using Scanning Electron Microscopy.</w:t>
      </w:r>
    </w:p>
    <w:p w14:paraId="446B8535" w14:textId="77777777" w:rsidR="00182A18" w:rsidRDefault="00182A18" w:rsidP="00182A18">
      <w:pPr>
        <w:pStyle w:val="Heading2"/>
      </w:pPr>
      <w:bookmarkStart w:id="27" w:name="_Toc346310959"/>
      <w:r>
        <w:t>Prepreg Material Overview</w:t>
      </w:r>
      <w:bookmarkEnd w:id="27"/>
    </w:p>
    <w:p w14:paraId="6BE219D8" w14:textId="22E6B3A8" w:rsidR="00182A18" w:rsidRDefault="00C9150F" w:rsidP="00182A18">
      <w:pPr>
        <w:ind w:firstLine="360"/>
      </w:pPr>
      <w:r>
        <w:t>This study involves t</w:t>
      </w:r>
      <w:r w:rsidR="00182A18">
        <w:t xml:space="preserve">hree commercial prepregs that are commonly used </w:t>
      </w:r>
      <w:r>
        <w:t>in</w:t>
      </w:r>
      <w:r w:rsidR="00182A18">
        <w:t xml:space="preserve"> aerospace </w:t>
      </w:r>
      <w:r>
        <w:t xml:space="preserve">applications, which were </w:t>
      </w:r>
      <w:r w:rsidR="00C90B2F">
        <w:t>presented</w:t>
      </w:r>
      <w:r>
        <w:t xml:space="preserve"> in </w:t>
      </w:r>
      <w:r w:rsidR="00717FD9">
        <w:t>Section</w:t>
      </w:r>
      <w:r>
        <w:t xml:space="preserve"> </w:t>
      </w:r>
      <w:r w:rsidR="00C8570F">
        <w:fldChar w:fldCharType="begin"/>
      </w:r>
      <w:r w:rsidR="00C8570F">
        <w:instrText xml:space="preserve"> REF _Ref342731503 \r \h </w:instrText>
      </w:r>
      <w:r w:rsidR="00C8570F">
        <w:fldChar w:fldCharType="separate"/>
      </w:r>
      <w:r w:rsidR="008A1992">
        <w:t>1.1</w:t>
      </w:r>
      <w:r w:rsidR="00C8570F">
        <w:fldChar w:fldCharType="end"/>
      </w:r>
      <w:r w:rsidR="00C8570F">
        <w:t>.</w:t>
      </w:r>
      <w:r>
        <w:t xml:space="preserve"> </w:t>
      </w:r>
      <w:r w:rsidR="00383C2B">
        <w:t xml:space="preserve"> </w:t>
      </w:r>
      <w:r w:rsidR="00C8570F">
        <w:t>First, is a Bismaleimide (BMI) resin</w:t>
      </w:r>
      <w:r w:rsidR="00C8570F" w:rsidRPr="00C8570F">
        <w:t xml:space="preserve"> </w:t>
      </w:r>
      <w:r w:rsidR="00C8570F">
        <w:t>manufactured by the Hexcel Corporation under the trade name HexPly® F650 with quartz style 581 reinforcement</w:t>
      </w:r>
      <w:r w:rsidR="0011754F">
        <w:t xml:space="preserve"> (</w:t>
      </w:r>
      <w:r w:rsidR="0011754F">
        <w:fldChar w:fldCharType="begin"/>
      </w:r>
      <w:r w:rsidR="0011754F">
        <w:instrText xml:space="preserve"> REF _Ref342732326 \h </w:instrText>
      </w:r>
      <w:r w:rsidR="0011754F">
        <w:fldChar w:fldCharType="separate"/>
      </w:r>
      <w:r w:rsidR="008A1992" w:rsidRPr="00153850">
        <w:t xml:space="preserve">Figure </w:t>
      </w:r>
      <w:r w:rsidR="008A1992">
        <w:rPr>
          <w:noProof/>
        </w:rPr>
        <w:t>2</w:t>
      </w:r>
      <w:r w:rsidR="008A1992">
        <w:t>.</w:t>
      </w:r>
      <w:r w:rsidR="008A1992">
        <w:rPr>
          <w:noProof/>
        </w:rPr>
        <w:t>1</w:t>
      </w:r>
      <w:r w:rsidR="0011754F">
        <w:fldChar w:fldCharType="end"/>
      </w:r>
      <w:r w:rsidR="0011754F">
        <w:t>)</w:t>
      </w:r>
      <w:r w:rsidR="00C8570F">
        <w:t>.  Second</w:t>
      </w:r>
      <w:r w:rsidR="00182A18">
        <w:t>,</w:t>
      </w:r>
      <w:r w:rsidR="00C8570F">
        <w:t xml:space="preserve"> is an epoxy resin manufactured by TenCate® with the trade name EX-1522 that has been reinforced with quartz style 4581 fabric.  </w:t>
      </w:r>
      <w:r w:rsidR="00C90B2F">
        <w:t>Third</w:t>
      </w:r>
      <w:r w:rsidR="00C8570F">
        <w:t xml:space="preserve">, is the </w:t>
      </w:r>
      <w:r w:rsidR="00383C2B">
        <w:t xml:space="preserve">TenCate® </w:t>
      </w:r>
      <w:r w:rsidR="00C8570F">
        <w:t xml:space="preserve">EX-1522 epoxy resin </w:t>
      </w:r>
      <w:r w:rsidR="00182A18">
        <w:t xml:space="preserve">with IM-7 carbon </w:t>
      </w:r>
      <w:r w:rsidR="00C8570F">
        <w:t xml:space="preserve">fiber </w:t>
      </w:r>
      <w:r w:rsidR="00182A18">
        <w:t xml:space="preserve">plain </w:t>
      </w:r>
      <w:r w:rsidR="00182A18">
        <w:lastRenderedPageBreak/>
        <w:t xml:space="preserve">weave reinforcement.  A summary of </w:t>
      </w:r>
      <w:r w:rsidR="00383C2B">
        <w:t xml:space="preserve">the </w:t>
      </w:r>
      <w:r w:rsidR="00182A18">
        <w:t xml:space="preserve">material specifications </w:t>
      </w:r>
      <w:r w:rsidR="00383C2B">
        <w:t xml:space="preserve">for the three-prepreg systems </w:t>
      </w:r>
      <w:r w:rsidR="00182A18">
        <w:t>is provided in</w:t>
      </w:r>
      <w:r w:rsidR="00CD4D53">
        <w:t xml:space="preserve"> </w:t>
      </w:r>
      <w:r w:rsidR="00CF0651">
        <w:fldChar w:fldCharType="begin"/>
      </w:r>
      <w:r w:rsidR="00CD4D53">
        <w:instrText xml:space="preserve"> REF _Ref464736627 \h </w:instrText>
      </w:r>
      <w:r w:rsidR="00CF0651">
        <w:fldChar w:fldCharType="separate"/>
      </w:r>
      <w:r w:rsidR="008A1992" w:rsidRPr="00D7409B">
        <w:t xml:space="preserve">Table </w:t>
      </w:r>
      <w:r w:rsidR="008A1992">
        <w:rPr>
          <w:noProof/>
        </w:rPr>
        <w:t>2</w:t>
      </w:r>
      <w:r w:rsidR="008A1992">
        <w:t>.</w:t>
      </w:r>
      <w:r w:rsidR="008A1992">
        <w:rPr>
          <w:noProof/>
        </w:rPr>
        <w:t>1</w:t>
      </w:r>
      <w:r w:rsidR="00CF0651">
        <w:fldChar w:fldCharType="end"/>
      </w:r>
      <w:r w:rsidR="00182A18">
        <w:t>.</w:t>
      </w:r>
    </w:p>
    <w:p w14:paraId="10A94D18" w14:textId="01FA874A" w:rsidR="0011754F" w:rsidRDefault="0011754F" w:rsidP="00182A18">
      <w:pPr>
        <w:ind w:firstLine="360"/>
      </w:pPr>
      <w:r>
        <w:t xml:space="preserve">It is important to note that high-performance composite materials such as these are </w:t>
      </w:r>
      <w:r w:rsidR="009A2A95">
        <w:t>commonly</w:t>
      </w:r>
      <w:r>
        <w:t xml:space="preserve"> used </w:t>
      </w:r>
      <w:r w:rsidR="00510A75">
        <w:t>in high pres</w:t>
      </w:r>
      <w:r w:rsidR="000D4D91">
        <w:t>sure manufacturing procedures and may include a</w:t>
      </w:r>
      <w:r w:rsidR="00510A75">
        <w:t xml:space="preserve"> vacuum-bag to limit void growth and produce high quality laminates.  </w:t>
      </w:r>
      <w:r w:rsidR="009A2A95">
        <w:t>However, lower-pressure fabrication methods can be utilized for some components.  Additionally,</w:t>
      </w:r>
      <w:r w:rsidR="00510A75">
        <w:t xml:space="preserve"> the research objectives</w:t>
      </w:r>
      <w:r w:rsidR="00C90B2F">
        <w:t xml:space="preserve"> (Section </w:t>
      </w:r>
      <w:r w:rsidR="00C90B2F">
        <w:fldChar w:fldCharType="begin"/>
      </w:r>
      <w:r w:rsidR="00C90B2F">
        <w:instrText xml:space="preserve"> REF _Ref342734412 \r \h </w:instrText>
      </w:r>
      <w:r w:rsidR="00C90B2F">
        <w:fldChar w:fldCharType="separate"/>
      </w:r>
      <w:r w:rsidR="008A1992">
        <w:t>1.3</w:t>
      </w:r>
      <w:r w:rsidR="00C90B2F">
        <w:fldChar w:fldCharType="end"/>
      </w:r>
      <w:r w:rsidR="00C90B2F">
        <w:t>)</w:t>
      </w:r>
      <w:r w:rsidR="00510A75">
        <w:t xml:space="preserve"> in this study require laminates with a variety of void levels at distinct fiber volume fractions.  </w:t>
      </w:r>
      <w:r w:rsidR="000D4D91">
        <w:t>Therefore</w:t>
      </w:r>
      <w:r w:rsidR="00510A75">
        <w:t>, prepreg sheets were exposed to varying relative humidity levels and subsequently cured with a heated compression mold without a vacuum-bag so as to artificially induce varying void contents independently of the laminate fiber volume fraction</w:t>
      </w:r>
      <w:r>
        <w:t>.</w:t>
      </w:r>
    </w:p>
    <w:p w14:paraId="02F3687F" w14:textId="77777777" w:rsidR="000D4D91" w:rsidRDefault="000D4D91" w:rsidP="000D4D91">
      <w:pPr>
        <w:ind w:firstLine="360"/>
      </w:pPr>
    </w:p>
    <w:p w14:paraId="071E7DAF" w14:textId="77777777" w:rsidR="00572B07" w:rsidRDefault="00572B07" w:rsidP="000D4D91">
      <w:pPr>
        <w:ind w:firstLine="360"/>
      </w:pPr>
    </w:p>
    <w:p w14:paraId="4EFC9419" w14:textId="77777777" w:rsidR="000D4D91" w:rsidRDefault="000D4D91" w:rsidP="000D4D91">
      <w:pPr>
        <w:keepNext/>
        <w:spacing w:after="120" w:line="240" w:lineRule="auto"/>
        <w:jc w:val="center"/>
      </w:pPr>
      <w:r w:rsidRPr="00153850">
        <w:rPr>
          <w:noProof/>
        </w:rPr>
        <w:drawing>
          <wp:inline distT="0" distB="0" distL="0" distR="0" wp14:anchorId="575CDA92" wp14:editId="2039FE7D">
            <wp:extent cx="2743200" cy="2063754"/>
            <wp:effectExtent l="19050" t="0" r="0" b="0"/>
            <wp:docPr id="82" name="Picture 4" descr="Photo Jun 04, 14 35 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Photo Jun 04, 14 35 06.jpg"/>
                    <pic:cNvPicPr>
                      <a:picLocks noChangeAspect="1"/>
                    </pic:cNvPicPr>
                  </pic:nvPicPr>
                  <pic:blipFill>
                    <a:blip r:embed="rId12"/>
                    <a:stretch>
                      <a:fillRect/>
                    </a:stretch>
                  </pic:blipFill>
                  <pic:spPr>
                    <a:xfrm>
                      <a:off x="0" y="0"/>
                      <a:ext cx="2743200" cy="2063754"/>
                    </a:xfrm>
                    <a:prstGeom prst="rect">
                      <a:avLst/>
                    </a:prstGeom>
                  </pic:spPr>
                </pic:pic>
              </a:graphicData>
            </a:graphic>
          </wp:inline>
        </w:drawing>
      </w:r>
    </w:p>
    <w:p w14:paraId="4ACA5342" w14:textId="08A6D853" w:rsidR="000D4D91" w:rsidRPr="007200D6" w:rsidRDefault="000D4D91" w:rsidP="000D4D91">
      <w:pPr>
        <w:pStyle w:val="Caption"/>
        <w:spacing w:after="240" w:line="276" w:lineRule="auto"/>
        <w:jc w:val="center"/>
        <w:rPr>
          <w:sz w:val="24"/>
        </w:rPr>
      </w:pPr>
      <w:bookmarkStart w:id="28" w:name="_Ref342732326"/>
      <w:bookmarkStart w:id="29" w:name="_Toc346310409"/>
      <w:proofErr w:type="gramStart"/>
      <w:r w:rsidRPr="00153850">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2</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1</w:t>
      </w:r>
      <w:r w:rsidR="00C16D85">
        <w:rPr>
          <w:sz w:val="24"/>
        </w:rPr>
        <w:fldChar w:fldCharType="end"/>
      </w:r>
      <w:bookmarkEnd w:id="28"/>
      <w:r w:rsidRPr="00153850">
        <w:rPr>
          <w:sz w:val="24"/>
        </w:rPr>
        <w:t xml:space="preserve"> </w:t>
      </w:r>
      <w:r>
        <w:rPr>
          <w:sz w:val="24"/>
        </w:rPr>
        <w:t>Representative quartz/BMI p</w:t>
      </w:r>
      <w:r w:rsidRPr="00153850">
        <w:rPr>
          <w:sz w:val="24"/>
        </w:rPr>
        <w:t xml:space="preserve">repreg </w:t>
      </w:r>
      <w:r>
        <w:rPr>
          <w:sz w:val="24"/>
        </w:rPr>
        <w:t>sheet</w:t>
      </w:r>
      <w:r w:rsidRPr="00153850">
        <w:rPr>
          <w:sz w:val="24"/>
        </w:rPr>
        <w:t xml:space="preserve"> </w:t>
      </w:r>
      <w:r>
        <w:rPr>
          <w:sz w:val="24"/>
        </w:rPr>
        <w:t>prior to conditioning procedure</w:t>
      </w:r>
      <w:bookmarkEnd w:id="29"/>
    </w:p>
    <w:p w14:paraId="22958F70" w14:textId="77794CCD" w:rsidR="00572B07" w:rsidRDefault="00572B07" w:rsidP="00182A18">
      <w:pPr>
        <w:ind w:firstLine="360"/>
      </w:pPr>
      <w:r>
        <w:br w:type="page"/>
      </w:r>
    </w:p>
    <w:p w14:paraId="7AC1EAFF" w14:textId="63F7BCED" w:rsidR="00182A18" w:rsidRPr="00D7409B" w:rsidRDefault="00182A18" w:rsidP="00182A18">
      <w:pPr>
        <w:pStyle w:val="Caption"/>
        <w:keepNext/>
        <w:spacing w:after="120" w:line="276" w:lineRule="auto"/>
        <w:jc w:val="center"/>
        <w:rPr>
          <w:sz w:val="24"/>
        </w:rPr>
      </w:pPr>
      <w:bookmarkStart w:id="30" w:name="_Ref464736627"/>
      <w:bookmarkStart w:id="31" w:name="_Toc346310843"/>
      <w:proofErr w:type="gramStart"/>
      <w:r w:rsidRPr="00D7409B">
        <w:rPr>
          <w:sz w:val="24"/>
        </w:rPr>
        <w:lastRenderedPageBreak/>
        <w:t xml:space="preserve">Table </w:t>
      </w:r>
      <w:r w:rsidR="00707D23">
        <w:rPr>
          <w:sz w:val="24"/>
        </w:rPr>
        <w:fldChar w:fldCharType="begin"/>
      </w:r>
      <w:r w:rsidR="00707D23">
        <w:rPr>
          <w:sz w:val="24"/>
        </w:rPr>
        <w:instrText xml:space="preserve"> STYLEREF 1 \s </w:instrText>
      </w:r>
      <w:r w:rsidR="00707D23">
        <w:rPr>
          <w:sz w:val="24"/>
        </w:rPr>
        <w:fldChar w:fldCharType="separate"/>
      </w:r>
      <w:r w:rsidR="008A1992">
        <w:rPr>
          <w:noProof/>
          <w:sz w:val="24"/>
        </w:rPr>
        <w:t>2</w:t>
      </w:r>
      <w:r w:rsidR="00707D23">
        <w:rPr>
          <w:sz w:val="24"/>
        </w:rPr>
        <w:fldChar w:fldCharType="end"/>
      </w:r>
      <w:r w:rsidR="00707D23">
        <w:rPr>
          <w:sz w:val="24"/>
        </w:rPr>
        <w:t>.</w:t>
      </w:r>
      <w:proofErr w:type="gramEnd"/>
      <w:r w:rsidR="00707D23">
        <w:rPr>
          <w:sz w:val="24"/>
        </w:rPr>
        <w:fldChar w:fldCharType="begin"/>
      </w:r>
      <w:r w:rsidR="00707D23">
        <w:rPr>
          <w:sz w:val="24"/>
        </w:rPr>
        <w:instrText xml:space="preserve"> SEQ Table \* ARABIC \s 1 </w:instrText>
      </w:r>
      <w:r w:rsidR="00707D23">
        <w:rPr>
          <w:sz w:val="24"/>
        </w:rPr>
        <w:fldChar w:fldCharType="separate"/>
      </w:r>
      <w:r w:rsidR="008A1992">
        <w:rPr>
          <w:noProof/>
          <w:sz w:val="24"/>
        </w:rPr>
        <w:t>1</w:t>
      </w:r>
      <w:r w:rsidR="00707D23">
        <w:rPr>
          <w:sz w:val="24"/>
        </w:rPr>
        <w:fldChar w:fldCharType="end"/>
      </w:r>
      <w:bookmarkEnd w:id="30"/>
      <w:r>
        <w:rPr>
          <w:sz w:val="24"/>
        </w:rPr>
        <w:t xml:space="preserve"> Product </w:t>
      </w:r>
      <w:r w:rsidRPr="00D7409B">
        <w:rPr>
          <w:sz w:val="24"/>
        </w:rPr>
        <w:t>specifications for prepreg materials</w:t>
      </w:r>
      <w:bookmarkEnd w:id="31"/>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4"/>
        <w:gridCol w:w="1440"/>
        <w:gridCol w:w="1440"/>
        <w:gridCol w:w="1440"/>
      </w:tblGrid>
      <w:tr w:rsidR="00182A18" w14:paraId="0730AA22" w14:textId="77777777" w:rsidTr="0011754F">
        <w:trPr>
          <w:trHeight w:val="432"/>
          <w:jc w:val="center"/>
        </w:trPr>
        <w:tc>
          <w:tcPr>
            <w:tcW w:w="2304" w:type="dxa"/>
            <w:tcBorders>
              <w:top w:val="single" w:sz="12" w:space="0" w:color="auto"/>
              <w:bottom w:val="single" w:sz="4" w:space="0" w:color="auto"/>
            </w:tcBorders>
            <w:vAlign w:val="center"/>
          </w:tcPr>
          <w:p w14:paraId="7C6121FC" w14:textId="77777777" w:rsidR="00182A18" w:rsidRDefault="00182A18" w:rsidP="00940B2A">
            <w:pPr>
              <w:spacing w:line="240" w:lineRule="auto"/>
              <w:jc w:val="center"/>
            </w:pPr>
          </w:p>
        </w:tc>
        <w:tc>
          <w:tcPr>
            <w:tcW w:w="1440" w:type="dxa"/>
            <w:tcBorders>
              <w:top w:val="single" w:sz="12" w:space="0" w:color="auto"/>
              <w:bottom w:val="single" w:sz="4" w:space="0" w:color="auto"/>
            </w:tcBorders>
            <w:vAlign w:val="center"/>
          </w:tcPr>
          <w:p w14:paraId="3561A95F" w14:textId="77777777" w:rsidR="00182A18" w:rsidRPr="004876B5" w:rsidRDefault="00182A18" w:rsidP="00940B2A">
            <w:pPr>
              <w:spacing w:line="240" w:lineRule="auto"/>
              <w:jc w:val="center"/>
              <w:rPr>
                <w:b/>
              </w:rPr>
            </w:pPr>
            <w:r w:rsidRPr="004876B5">
              <w:rPr>
                <w:b/>
              </w:rPr>
              <w:t>Quartz / BMI</w:t>
            </w:r>
          </w:p>
        </w:tc>
        <w:tc>
          <w:tcPr>
            <w:tcW w:w="1440" w:type="dxa"/>
            <w:tcBorders>
              <w:top w:val="single" w:sz="12" w:space="0" w:color="auto"/>
              <w:bottom w:val="single" w:sz="4" w:space="0" w:color="auto"/>
            </w:tcBorders>
            <w:vAlign w:val="center"/>
          </w:tcPr>
          <w:p w14:paraId="7EAB7FD8" w14:textId="77777777" w:rsidR="00182A18" w:rsidRPr="004876B5" w:rsidRDefault="00182A18" w:rsidP="00940B2A">
            <w:pPr>
              <w:spacing w:line="240" w:lineRule="auto"/>
              <w:jc w:val="center"/>
              <w:rPr>
                <w:b/>
              </w:rPr>
            </w:pPr>
            <w:r w:rsidRPr="004876B5">
              <w:rPr>
                <w:b/>
              </w:rPr>
              <w:t>Quartz / Epoxy</w:t>
            </w:r>
          </w:p>
        </w:tc>
        <w:tc>
          <w:tcPr>
            <w:tcW w:w="1440" w:type="dxa"/>
            <w:tcBorders>
              <w:top w:val="single" w:sz="12" w:space="0" w:color="auto"/>
              <w:bottom w:val="single" w:sz="4" w:space="0" w:color="auto"/>
            </w:tcBorders>
            <w:vAlign w:val="center"/>
          </w:tcPr>
          <w:p w14:paraId="1454759C" w14:textId="77777777" w:rsidR="00182A18" w:rsidRPr="004876B5" w:rsidRDefault="00182A18" w:rsidP="00940B2A">
            <w:pPr>
              <w:spacing w:line="240" w:lineRule="auto"/>
              <w:jc w:val="center"/>
              <w:rPr>
                <w:b/>
              </w:rPr>
            </w:pPr>
            <w:r w:rsidRPr="004876B5">
              <w:rPr>
                <w:b/>
              </w:rPr>
              <w:t>Carbon / Epoxy</w:t>
            </w:r>
          </w:p>
        </w:tc>
      </w:tr>
      <w:tr w:rsidR="00182A18" w14:paraId="56D468BF" w14:textId="77777777" w:rsidTr="0011754F">
        <w:trPr>
          <w:trHeight w:val="432"/>
          <w:jc w:val="center"/>
        </w:trPr>
        <w:tc>
          <w:tcPr>
            <w:tcW w:w="2304" w:type="dxa"/>
            <w:tcBorders>
              <w:top w:val="single" w:sz="4" w:space="0" w:color="auto"/>
            </w:tcBorders>
            <w:vAlign w:val="center"/>
          </w:tcPr>
          <w:p w14:paraId="70FB8043" w14:textId="77777777" w:rsidR="00182A18" w:rsidRDefault="00182A18" w:rsidP="00940B2A">
            <w:pPr>
              <w:spacing w:line="240" w:lineRule="auto"/>
              <w:jc w:val="center"/>
            </w:pPr>
            <w:r>
              <w:t>Supplier</w:t>
            </w:r>
          </w:p>
        </w:tc>
        <w:tc>
          <w:tcPr>
            <w:tcW w:w="1440" w:type="dxa"/>
            <w:tcBorders>
              <w:top w:val="single" w:sz="4" w:space="0" w:color="auto"/>
            </w:tcBorders>
            <w:vAlign w:val="center"/>
          </w:tcPr>
          <w:p w14:paraId="7B748718" w14:textId="77777777" w:rsidR="00182A18" w:rsidRDefault="00182A18" w:rsidP="00940B2A">
            <w:pPr>
              <w:spacing w:line="240" w:lineRule="auto"/>
              <w:jc w:val="center"/>
            </w:pPr>
            <w:r>
              <w:t>Hexcel</w:t>
            </w:r>
          </w:p>
        </w:tc>
        <w:tc>
          <w:tcPr>
            <w:tcW w:w="1440" w:type="dxa"/>
            <w:tcBorders>
              <w:top w:val="single" w:sz="4" w:space="0" w:color="auto"/>
            </w:tcBorders>
            <w:vAlign w:val="center"/>
          </w:tcPr>
          <w:p w14:paraId="406F8E31" w14:textId="77777777" w:rsidR="00182A18" w:rsidRDefault="00182A18" w:rsidP="00940B2A">
            <w:pPr>
              <w:spacing w:line="240" w:lineRule="auto"/>
              <w:jc w:val="center"/>
            </w:pPr>
            <w:r>
              <w:t>TenCate</w:t>
            </w:r>
          </w:p>
        </w:tc>
        <w:tc>
          <w:tcPr>
            <w:tcW w:w="1440" w:type="dxa"/>
            <w:tcBorders>
              <w:top w:val="single" w:sz="4" w:space="0" w:color="auto"/>
            </w:tcBorders>
            <w:vAlign w:val="center"/>
          </w:tcPr>
          <w:p w14:paraId="12AECBFD" w14:textId="77777777" w:rsidR="00182A18" w:rsidRDefault="00182A18" w:rsidP="00940B2A">
            <w:pPr>
              <w:spacing w:line="240" w:lineRule="auto"/>
              <w:jc w:val="center"/>
            </w:pPr>
            <w:r>
              <w:t>TenCate</w:t>
            </w:r>
          </w:p>
        </w:tc>
      </w:tr>
      <w:tr w:rsidR="00182A18" w14:paraId="4C015038" w14:textId="77777777" w:rsidTr="0011754F">
        <w:trPr>
          <w:trHeight w:val="432"/>
          <w:jc w:val="center"/>
        </w:trPr>
        <w:tc>
          <w:tcPr>
            <w:tcW w:w="2304" w:type="dxa"/>
            <w:vAlign w:val="center"/>
          </w:tcPr>
          <w:p w14:paraId="2DC35E4D" w14:textId="3BE91FCB" w:rsidR="00182A18" w:rsidRDefault="0011754F" w:rsidP="00940B2A">
            <w:pPr>
              <w:spacing w:line="240" w:lineRule="auto"/>
              <w:jc w:val="center"/>
            </w:pPr>
            <w:r>
              <w:t>Materia</w:t>
            </w:r>
            <w:r w:rsidR="00182A18">
              <w:t>l Designation</w:t>
            </w:r>
          </w:p>
        </w:tc>
        <w:tc>
          <w:tcPr>
            <w:tcW w:w="1440" w:type="dxa"/>
            <w:vAlign w:val="center"/>
          </w:tcPr>
          <w:p w14:paraId="3B056D90" w14:textId="77777777" w:rsidR="00182A18" w:rsidRDefault="00182A18" w:rsidP="00940B2A">
            <w:pPr>
              <w:spacing w:line="240" w:lineRule="auto"/>
              <w:jc w:val="center"/>
            </w:pPr>
            <w:r>
              <w:t>F650</w:t>
            </w:r>
          </w:p>
        </w:tc>
        <w:tc>
          <w:tcPr>
            <w:tcW w:w="1440" w:type="dxa"/>
            <w:vAlign w:val="center"/>
          </w:tcPr>
          <w:p w14:paraId="5A4912FD" w14:textId="77777777" w:rsidR="00182A18" w:rsidRDefault="00182A18" w:rsidP="00940B2A">
            <w:pPr>
              <w:spacing w:line="240" w:lineRule="auto"/>
              <w:jc w:val="center"/>
            </w:pPr>
            <w:r>
              <w:t>EX-1522</w:t>
            </w:r>
          </w:p>
        </w:tc>
        <w:tc>
          <w:tcPr>
            <w:tcW w:w="1440" w:type="dxa"/>
            <w:vAlign w:val="center"/>
          </w:tcPr>
          <w:p w14:paraId="406A6068" w14:textId="77777777" w:rsidR="00182A18" w:rsidRDefault="00182A18" w:rsidP="00940B2A">
            <w:pPr>
              <w:spacing w:line="240" w:lineRule="auto"/>
              <w:jc w:val="center"/>
            </w:pPr>
            <w:r>
              <w:t>EX-1522</w:t>
            </w:r>
          </w:p>
        </w:tc>
      </w:tr>
      <w:tr w:rsidR="00182A18" w14:paraId="714F8674" w14:textId="77777777" w:rsidTr="0011754F">
        <w:trPr>
          <w:trHeight w:val="432"/>
          <w:jc w:val="center"/>
        </w:trPr>
        <w:tc>
          <w:tcPr>
            <w:tcW w:w="2304" w:type="dxa"/>
            <w:vAlign w:val="center"/>
          </w:tcPr>
          <w:p w14:paraId="696F5766" w14:textId="77777777" w:rsidR="00182A18" w:rsidRDefault="00182A18" w:rsidP="00940B2A">
            <w:pPr>
              <w:spacing w:line="240" w:lineRule="auto"/>
              <w:jc w:val="center"/>
            </w:pPr>
            <w:r>
              <w:t>Matrix Type</w:t>
            </w:r>
          </w:p>
        </w:tc>
        <w:tc>
          <w:tcPr>
            <w:tcW w:w="1440" w:type="dxa"/>
            <w:vAlign w:val="center"/>
          </w:tcPr>
          <w:p w14:paraId="6F78C2D6" w14:textId="77777777" w:rsidR="00182A18" w:rsidRDefault="00182A18" w:rsidP="00940B2A">
            <w:pPr>
              <w:spacing w:line="240" w:lineRule="auto"/>
              <w:jc w:val="center"/>
            </w:pPr>
            <w:r>
              <w:t>BMI</w:t>
            </w:r>
          </w:p>
        </w:tc>
        <w:tc>
          <w:tcPr>
            <w:tcW w:w="1440" w:type="dxa"/>
            <w:vAlign w:val="center"/>
          </w:tcPr>
          <w:p w14:paraId="06D78355" w14:textId="77777777" w:rsidR="00182A18" w:rsidRDefault="00182A18" w:rsidP="00940B2A">
            <w:pPr>
              <w:spacing w:line="240" w:lineRule="auto"/>
              <w:jc w:val="center"/>
            </w:pPr>
            <w:r>
              <w:t>Epoxy</w:t>
            </w:r>
          </w:p>
        </w:tc>
        <w:tc>
          <w:tcPr>
            <w:tcW w:w="1440" w:type="dxa"/>
            <w:vAlign w:val="center"/>
          </w:tcPr>
          <w:p w14:paraId="14D60376" w14:textId="77777777" w:rsidR="00182A18" w:rsidRDefault="00182A18" w:rsidP="00940B2A">
            <w:pPr>
              <w:spacing w:line="240" w:lineRule="auto"/>
              <w:jc w:val="center"/>
            </w:pPr>
            <w:r>
              <w:t>Epoxy</w:t>
            </w:r>
          </w:p>
        </w:tc>
      </w:tr>
      <w:tr w:rsidR="00182A18" w14:paraId="740FF84D" w14:textId="77777777" w:rsidTr="0011754F">
        <w:trPr>
          <w:trHeight w:val="432"/>
          <w:jc w:val="center"/>
        </w:trPr>
        <w:tc>
          <w:tcPr>
            <w:tcW w:w="2304" w:type="dxa"/>
            <w:tcBorders>
              <w:bottom w:val="single" w:sz="4" w:space="0" w:color="auto"/>
            </w:tcBorders>
            <w:vAlign w:val="center"/>
          </w:tcPr>
          <w:p w14:paraId="12E60003" w14:textId="77777777" w:rsidR="00182A18" w:rsidRDefault="00182A18" w:rsidP="00940B2A">
            <w:pPr>
              <w:spacing w:line="240" w:lineRule="auto"/>
              <w:jc w:val="center"/>
            </w:pPr>
            <w:r>
              <w:t>Matrix Density (g/cc)</w:t>
            </w:r>
          </w:p>
        </w:tc>
        <w:tc>
          <w:tcPr>
            <w:tcW w:w="1440" w:type="dxa"/>
            <w:tcBorders>
              <w:bottom w:val="single" w:sz="4" w:space="0" w:color="auto"/>
            </w:tcBorders>
            <w:vAlign w:val="center"/>
          </w:tcPr>
          <w:p w14:paraId="1C9B2DE9" w14:textId="77777777" w:rsidR="00182A18" w:rsidRDefault="00182A18" w:rsidP="00940B2A">
            <w:pPr>
              <w:spacing w:line="240" w:lineRule="auto"/>
              <w:jc w:val="center"/>
            </w:pPr>
            <w:r>
              <w:t>1.27</w:t>
            </w:r>
          </w:p>
        </w:tc>
        <w:tc>
          <w:tcPr>
            <w:tcW w:w="1440" w:type="dxa"/>
            <w:tcBorders>
              <w:bottom w:val="single" w:sz="4" w:space="0" w:color="auto"/>
            </w:tcBorders>
            <w:vAlign w:val="center"/>
          </w:tcPr>
          <w:p w14:paraId="083D0DAD" w14:textId="77777777" w:rsidR="00182A18" w:rsidRDefault="00182A18" w:rsidP="00940B2A">
            <w:pPr>
              <w:spacing w:line="240" w:lineRule="auto"/>
              <w:jc w:val="center"/>
            </w:pPr>
            <w:r>
              <w:t>1.35</w:t>
            </w:r>
          </w:p>
        </w:tc>
        <w:tc>
          <w:tcPr>
            <w:tcW w:w="1440" w:type="dxa"/>
            <w:tcBorders>
              <w:bottom w:val="single" w:sz="4" w:space="0" w:color="auto"/>
            </w:tcBorders>
            <w:vAlign w:val="center"/>
          </w:tcPr>
          <w:p w14:paraId="29426B02" w14:textId="77777777" w:rsidR="00182A18" w:rsidRDefault="00182A18" w:rsidP="00940B2A">
            <w:pPr>
              <w:spacing w:line="240" w:lineRule="auto"/>
              <w:jc w:val="center"/>
            </w:pPr>
            <w:r>
              <w:t>1.35</w:t>
            </w:r>
          </w:p>
        </w:tc>
      </w:tr>
      <w:tr w:rsidR="00182A18" w14:paraId="226DA602" w14:textId="77777777" w:rsidTr="0011754F">
        <w:trPr>
          <w:trHeight w:val="432"/>
          <w:jc w:val="center"/>
        </w:trPr>
        <w:tc>
          <w:tcPr>
            <w:tcW w:w="2304" w:type="dxa"/>
            <w:tcBorders>
              <w:top w:val="single" w:sz="4" w:space="0" w:color="auto"/>
            </w:tcBorders>
            <w:vAlign w:val="center"/>
          </w:tcPr>
          <w:p w14:paraId="23B5943E" w14:textId="77777777" w:rsidR="00182A18" w:rsidRDefault="00182A18" w:rsidP="00940B2A">
            <w:pPr>
              <w:spacing w:line="240" w:lineRule="auto"/>
              <w:jc w:val="center"/>
            </w:pPr>
            <w:r>
              <w:t>Fiber Type</w:t>
            </w:r>
          </w:p>
        </w:tc>
        <w:tc>
          <w:tcPr>
            <w:tcW w:w="1440" w:type="dxa"/>
            <w:tcBorders>
              <w:top w:val="single" w:sz="4" w:space="0" w:color="auto"/>
            </w:tcBorders>
            <w:vAlign w:val="center"/>
          </w:tcPr>
          <w:p w14:paraId="0804C227" w14:textId="77777777" w:rsidR="00182A18" w:rsidRDefault="00182A18" w:rsidP="00940B2A">
            <w:pPr>
              <w:spacing w:line="240" w:lineRule="auto"/>
              <w:jc w:val="center"/>
            </w:pPr>
            <w:r>
              <w:t>AQIII (Quartz)</w:t>
            </w:r>
          </w:p>
        </w:tc>
        <w:tc>
          <w:tcPr>
            <w:tcW w:w="1440" w:type="dxa"/>
            <w:tcBorders>
              <w:top w:val="single" w:sz="4" w:space="0" w:color="auto"/>
            </w:tcBorders>
            <w:vAlign w:val="center"/>
          </w:tcPr>
          <w:p w14:paraId="39990B6A" w14:textId="77777777" w:rsidR="00182A18" w:rsidRDefault="00182A18" w:rsidP="00940B2A">
            <w:pPr>
              <w:spacing w:line="240" w:lineRule="auto"/>
              <w:jc w:val="center"/>
            </w:pPr>
            <w:r>
              <w:t>AQIII (Quartz)</w:t>
            </w:r>
          </w:p>
        </w:tc>
        <w:tc>
          <w:tcPr>
            <w:tcW w:w="1440" w:type="dxa"/>
            <w:tcBorders>
              <w:top w:val="single" w:sz="4" w:space="0" w:color="auto"/>
            </w:tcBorders>
            <w:vAlign w:val="center"/>
          </w:tcPr>
          <w:p w14:paraId="3F57B2A8" w14:textId="77777777" w:rsidR="00182A18" w:rsidRDefault="00182A18" w:rsidP="00940B2A">
            <w:pPr>
              <w:spacing w:line="240" w:lineRule="auto"/>
              <w:jc w:val="center"/>
            </w:pPr>
            <w:r>
              <w:t>IM-7 (Carbon)</w:t>
            </w:r>
          </w:p>
        </w:tc>
      </w:tr>
      <w:tr w:rsidR="00182A18" w14:paraId="1F729206" w14:textId="77777777" w:rsidTr="0011754F">
        <w:trPr>
          <w:trHeight w:val="432"/>
          <w:jc w:val="center"/>
        </w:trPr>
        <w:tc>
          <w:tcPr>
            <w:tcW w:w="2304" w:type="dxa"/>
            <w:vAlign w:val="center"/>
          </w:tcPr>
          <w:p w14:paraId="63865F6F" w14:textId="77777777" w:rsidR="00182A18" w:rsidRDefault="00182A18" w:rsidP="00940B2A">
            <w:pPr>
              <w:spacing w:line="240" w:lineRule="auto"/>
              <w:jc w:val="center"/>
            </w:pPr>
            <w:r>
              <w:t>Fiber Density (g/cc)</w:t>
            </w:r>
          </w:p>
        </w:tc>
        <w:tc>
          <w:tcPr>
            <w:tcW w:w="1440" w:type="dxa"/>
            <w:vAlign w:val="center"/>
          </w:tcPr>
          <w:p w14:paraId="350814D2" w14:textId="77777777" w:rsidR="00182A18" w:rsidRDefault="00182A18" w:rsidP="00940B2A">
            <w:pPr>
              <w:spacing w:line="240" w:lineRule="auto"/>
              <w:jc w:val="center"/>
            </w:pPr>
            <w:r>
              <w:t>2.20</w:t>
            </w:r>
          </w:p>
        </w:tc>
        <w:tc>
          <w:tcPr>
            <w:tcW w:w="1440" w:type="dxa"/>
            <w:vAlign w:val="center"/>
          </w:tcPr>
          <w:p w14:paraId="12137A8F" w14:textId="77777777" w:rsidR="00182A18" w:rsidRDefault="00182A18" w:rsidP="00940B2A">
            <w:pPr>
              <w:spacing w:line="240" w:lineRule="auto"/>
              <w:jc w:val="center"/>
            </w:pPr>
            <w:r>
              <w:t>2.20</w:t>
            </w:r>
          </w:p>
        </w:tc>
        <w:tc>
          <w:tcPr>
            <w:tcW w:w="1440" w:type="dxa"/>
            <w:vAlign w:val="center"/>
          </w:tcPr>
          <w:p w14:paraId="10517141" w14:textId="77777777" w:rsidR="00182A18" w:rsidRDefault="00182A18" w:rsidP="00940B2A">
            <w:pPr>
              <w:spacing w:line="240" w:lineRule="auto"/>
              <w:jc w:val="center"/>
            </w:pPr>
            <w:r>
              <w:t>1.78</w:t>
            </w:r>
          </w:p>
        </w:tc>
      </w:tr>
      <w:tr w:rsidR="00182A18" w14:paraId="53D71969" w14:textId="77777777" w:rsidTr="0011754F">
        <w:trPr>
          <w:trHeight w:val="432"/>
          <w:jc w:val="center"/>
        </w:trPr>
        <w:tc>
          <w:tcPr>
            <w:tcW w:w="2304" w:type="dxa"/>
            <w:tcBorders>
              <w:bottom w:val="single" w:sz="12" w:space="0" w:color="auto"/>
            </w:tcBorders>
            <w:vAlign w:val="center"/>
          </w:tcPr>
          <w:p w14:paraId="0958A7A1" w14:textId="77777777" w:rsidR="00182A18" w:rsidRDefault="00182A18" w:rsidP="00940B2A">
            <w:pPr>
              <w:spacing w:line="240" w:lineRule="auto"/>
              <w:jc w:val="center"/>
            </w:pPr>
            <w:r>
              <w:t>Fabric Weave Type</w:t>
            </w:r>
          </w:p>
        </w:tc>
        <w:tc>
          <w:tcPr>
            <w:tcW w:w="1440" w:type="dxa"/>
            <w:tcBorders>
              <w:bottom w:val="single" w:sz="12" w:space="0" w:color="auto"/>
            </w:tcBorders>
            <w:vAlign w:val="center"/>
          </w:tcPr>
          <w:p w14:paraId="29238EDA" w14:textId="77777777" w:rsidR="00182A18" w:rsidRDefault="00182A18" w:rsidP="00940B2A">
            <w:pPr>
              <w:spacing w:line="240" w:lineRule="auto"/>
              <w:jc w:val="center"/>
            </w:pPr>
            <w:r>
              <w:t>581</w:t>
            </w:r>
          </w:p>
        </w:tc>
        <w:tc>
          <w:tcPr>
            <w:tcW w:w="1440" w:type="dxa"/>
            <w:tcBorders>
              <w:bottom w:val="single" w:sz="12" w:space="0" w:color="auto"/>
            </w:tcBorders>
            <w:vAlign w:val="center"/>
          </w:tcPr>
          <w:p w14:paraId="542BFFFC" w14:textId="77777777" w:rsidR="00182A18" w:rsidRDefault="00182A18" w:rsidP="00940B2A">
            <w:pPr>
              <w:spacing w:line="240" w:lineRule="auto"/>
              <w:jc w:val="center"/>
            </w:pPr>
            <w:r>
              <w:t>4581</w:t>
            </w:r>
          </w:p>
        </w:tc>
        <w:tc>
          <w:tcPr>
            <w:tcW w:w="1440" w:type="dxa"/>
            <w:tcBorders>
              <w:bottom w:val="single" w:sz="12" w:space="0" w:color="auto"/>
            </w:tcBorders>
            <w:vAlign w:val="center"/>
          </w:tcPr>
          <w:p w14:paraId="370848A1" w14:textId="77777777" w:rsidR="00182A18" w:rsidRDefault="00182A18" w:rsidP="00940B2A">
            <w:pPr>
              <w:spacing w:line="240" w:lineRule="auto"/>
              <w:jc w:val="center"/>
            </w:pPr>
            <w:r>
              <w:t>Plain</w:t>
            </w:r>
          </w:p>
        </w:tc>
      </w:tr>
    </w:tbl>
    <w:p w14:paraId="7DF6B193" w14:textId="77777777" w:rsidR="00182A18" w:rsidRDefault="00182A18" w:rsidP="00572B07"/>
    <w:p w14:paraId="68728763" w14:textId="77777777" w:rsidR="00182A18" w:rsidRDefault="00182A18" w:rsidP="00182A18">
      <w:pPr>
        <w:pStyle w:val="Heading2"/>
      </w:pPr>
      <w:bookmarkStart w:id="32" w:name="_Ref464735892"/>
      <w:bookmarkStart w:id="33" w:name="_Toc346310960"/>
      <w:r>
        <w:t>Prepreg Conditioning at Varying Relative Humidity Exposure Levels</w:t>
      </w:r>
      <w:bookmarkEnd w:id="32"/>
      <w:bookmarkEnd w:id="33"/>
    </w:p>
    <w:p w14:paraId="0CC0C67F" w14:textId="1665BEBC" w:rsidR="00182A18" w:rsidRDefault="00182A18" w:rsidP="00182A18">
      <w:pPr>
        <w:pStyle w:val="Heading3"/>
      </w:pPr>
      <w:bookmarkStart w:id="34" w:name="_Toc346310961"/>
      <w:r>
        <w:t>Equipment</w:t>
      </w:r>
      <w:r w:rsidR="003C7BDC">
        <w:t xml:space="preserve"> Used</w:t>
      </w:r>
      <w:r>
        <w:t xml:space="preserve"> and </w:t>
      </w:r>
      <w:r w:rsidR="003C7BDC">
        <w:t xml:space="preserve">Experimental </w:t>
      </w:r>
      <w:r>
        <w:t>Procedure</w:t>
      </w:r>
      <w:r w:rsidR="003C7BDC">
        <w:t xml:space="preserve"> for Prepreg Conditioning</w:t>
      </w:r>
      <w:bookmarkEnd w:id="34"/>
    </w:p>
    <w:p w14:paraId="5A8BAE55" w14:textId="03296C69" w:rsidR="00182A18" w:rsidRDefault="003C7BDC" w:rsidP="00182A18">
      <w:pPr>
        <w:ind w:firstLine="360"/>
      </w:pPr>
      <w:r>
        <w:t>A wide range of void fractions at a specific laminate fiber volume fracti</w:t>
      </w:r>
      <w:r w:rsidR="00EE1CF2">
        <w:t xml:space="preserve">on was required to address the research objectives posed in </w:t>
      </w:r>
      <w:r w:rsidR="00C90B2F">
        <w:t>Section</w:t>
      </w:r>
      <w:r w:rsidR="00EE1CF2">
        <w:t xml:space="preserve"> </w:t>
      </w:r>
      <w:r w:rsidR="00EE1CF2">
        <w:fldChar w:fldCharType="begin"/>
      </w:r>
      <w:r w:rsidR="00EE1CF2">
        <w:instrText xml:space="preserve"> REF _Ref342734412 \r \h </w:instrText>
      </w:r>
      <w:r w:rsidR="00EE1CF2">
        <w:fldChar w:fldCharType="separate"/>
      </w:r>
      <w:r w:rsidR="008A1992">
        <w:t>1.3</w:t>
      </w:r>
      <w:r w:rsidR="00EE1CF2">
        <w:fldChar w:fldCharType="end"/>
      </w:r>
      <w:r w:rsidR="00EE1CF2">
        <w:t>.  Therefore, a procedure for conditioning prepreg sheets p</w:t>
      </w:r>
      <w:r w:rsidR="00182A18">
        <w:t>rior to laminate fabrication</w:t>
      </w:r>
      <w:r w:rsidR="00EE1CF2">
        <w:t xml:space="preserve"> was developed that would artificially induce varying levels of prepreg moisture content and in turn induce varying void </w:t>
      </w:r>
      <w:r w:rsidR="00864E40">
        <w:t>fractions</w:t>
      </w:r>
      <w:r w:rsidR="00EE1CF2">
        <w:t xml:space="preserve"> in the finished laminate.  In the context of this research study, prepreg conditioning is the procedure of exposing prepreg sheets at a specific relative humidity exposure level using a</w:t>
      </w:r>
      <w:r w:rsidR="00182A18">
        <w:t xml:space="preserve"> Thermotron 8200 environmental chamber (</w:t>
      </w:r>
      <w:r w:rsidR="00CF0651">
        <w:fldChar w:fldCharType="begin"/>
      </w:r>
      <w:r w:rsidR="00CD4D53">
        <w:instrText xml:space="preserve"> REF _Ref464736660 \h </w:instrText>
      </w:r>
      <w:r w:rsidR="00CF0651">
        <w:fldChar w:fldCharType="separate"/>
      </w:r>
      <w:r w:rsidR="008A1992" w:rsidRPr="009243D4">
        <w:t xml:space="preserve">Figure </w:t>
      </w:r>
      <w:r w:rsidR="008A1992">
        <w:rPr>
          <w:noProof/>
        </w:rPr>
        <w:t>2</w:t>
      </w:r>
      <w:r w:rsidR="008A1992">
        <w:t>.</w:t>
      </w:r>
      <w:r w:rsidR="008A1992">
        <w:rPr>
          <w:noProof/>
        </w:rPr>
        <w:t>2</w:t>
      </w:r>
      <w:r w:rsidR="00CF0651">
        <w:fldChar w:fldCharType="end"/>
      </w:r>
      <w:r w:rsidR="00EE1CF2">
        <w:t>)</w:t>
      </w:r>
      <w:r w:rsidR="00182A18">
        <w:t xml:space="preserve">.  </w:t>
      </w:r>
      <w:r w:rsidR="00EE1CF2">
        <w:t>The prepreg sheets</w:t>
      </w:r>
      <w:r w:rsidR="007200D6">
        <w:t xml:space="preserve"> were conditioned at room temperature (25°C) for a period of 24 hours at the relative humidity set points of</w:t>
      </w:r>
      <w:r w:rsidR="00182A18">
        <w:t xml:space="preserve"> (i) 2%, (ii) 40%, (iii) 70%, or (iv) 99%</w:t>
      </w:r>
      <w:r w:rsidR="007200D6">
        <w:t>.</w:t>
      </w:r>
      <w:r w:rsidR="00182A18">
        <w:t xml:space="preserve"> </w:t>
      </w:r>
      <w:r w:rsidR="00EE1CF2">
        <w:t xml:space="preserve"> Prepreg sheets absorb moisture based on the humidity level, </w:t>
      </w:r>
      <w:r w:rsidR="007200D6">
        <w:t>which</w:t>
      </w:r>
      <w:r w:rsidR="00182A18">
        <w:t xml:space="preserve"> </w:t>
      </w:r>
      <w:r w:rsidR="00EE1CF2">
        <w:t>in turn</w:t>
      </w:r>
      <w:r w:rsidR="00182A18">
        <w:t xml:space="preserve"> vaporize</w:t>
      </w:r>
      <w:r w:rsidR="00C90B2F">
        <w:t>s</w:t>
      </w:r>
      <w:r w:rsidR="00182A18">
        <w:t xml:space="preserve"> during the </w:t>
      </w:r>
      <w:r w:rsidR="00EE1CF2">
        <w:t>heated</w:t>
      </w:r>
      <w:r w:rsidR="00182A18">
        <w:t xml:space="preserve"> cure process and generate microvoids.  Therefore</w:t>
      </w:r>
      <w:r w:rsidR="00A1716E">
        <w:t>,</w:t>
      </w:r>
      <w:r w:rsidR="00C90B2F">
        <w:t xml:space="preserve"> prepreg moisture content </w:t>
      </w:r>
      <w:r w:rsidR="00C90B2F">
        <w:lastRenderedPageBreak/>
        <w:t xml:space="preserve">increases as humidity exposure increases.  Subsequently, </w:t>
      </w:r>
      <w:r w:rsidR="00A1716E">
        <w:t xml:space="preserve">the void </w:t>
      </w:r>
      <w:r w:rsidR="00C90B2F">
        <w:t>fraction of laminates increases</w:t>
      </w:r>
      <w:r w:rsidR="00A1716E">
        <w:t xml:space="preserve"> </w:t>
      </w:r>
      <w:r w:rsidR="00864E40">
        <w:t xml:space="preserve">as </w:t>
      </w:r>
      <w:r w:rsidR="00C90B2F">
        <w:t>prepreg moisture content increases</w:t>
      </w:r>
      <w:r w:rsidR="00182A18">
        <w:t>.</w:t>
      </w:r>
    </w:p>
    <w:p w14:paraId="3BABD58F" w14:textId="77777777" w:rsidR="00182A18" w:rsidRDefault="00182A18" w:rsidP="007B5482">
      <w:pPr>
        <w:keepNext/>
        <w:spacing w:after="120" w:line="240" w:lineRule="auto"/>
        <w:jc w:val="center"/>
      </w:pPr>
      <w:r w:rsidRPr="00772B80">
        <w:rPr>
          <w:noProof/>
        </w:rPr>
        <w:drawing>
          <wp:inline distT="0" distB="0" distL="0" distR="0" wp14:anchorId="700BF1BC" wp14:editId="34DC69D1">
            <wp:extent cx="3659488" cy="2743200"/>
            <wp:effectExtent l="26035" t="24765" r="24765" b="24765"/>
            <wp:docPr id="83" name="Picture 1" descr="Photo Jun 04, 12 31 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Photo Jun 04, 12 31 57.jpg"/>
                    <pic:cNvPicPr>
                      <a:picLocks noChangeAspect="1"/>
                    </pic:cNvPicPr>
                  </pic:nvPicPr>
                  <pic:blipFill>
                    <a:blip r:embed="rId13"/>
                    <a:stretch>
                      <a:fillRect/>
                    </a:stretch>
                  </pic:blipFill>
                  <pic:spPr>
                    <a:xfrm rot="5400000">
                      <a:off x="0" y="0"/>
                      <a:ext cx="3659488" cy="2743200"/>
                    </a:xfrm>
                    <a:prstGeom prst="rect">
                      <a:avLst/>
                    </a:prstGeom>
                    <a:ln w="19050">
                      <a:solidFill>
                        <a:schemeClr val="tx1"/>
                      </a:solidFill>
                    </a:ln>
                  </pic:spPr>
                </pic:pic>
              </a:graphicData>
            </a:graphic>
          </wp:inline>
        </w:drawing>
      </w:r>
    </w:p>
    <w:p w14:paraId="7103184F" w14:textId="77777777" w:rsidR="00B12774" w:rsidRDefault="00B12774" w:rsidP="00182A18">
      <w:pPr>
        <w:keepNext/>
        <w:spacing w:after="120" w:line="240" w:lineRule="auto"/>
        <w:jc w:val="center"/>
      </w:pPr>
    </w:p>
    <w:p w14:paraId="4A2CB141" w14:textId="7A09118E" w:rsidR="00182A18" w:rsidRDefault="00182A18" w:rsidP="00182A18">
      <w:pPr>
        <w:pStyle w:val="Caption"/>
        <w:spacing w:after="240" w:line="240" w:lineRule="auto"/>
        <w:jc w:val="center"/>
        <w:rPr>
          <w:sz w:val="24"/>
        </w:rPr>
      </w:pPr>
      <w:bookmarkStart w:id="35" w:name="_Ref464736660"/>
      <w:bookmarkStart w:id="36" w:name="_Toc346310410"/>
      <w:proofErr w:type="gramStart"/>
      <w:r w:rsidRPr="009243D4">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2</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2</w:t>
      </w:r>
      <w:r w:rsidR="00C16D85">
        <w:rPr>
          <w:sz w:val="24"/>
        </w:rPr>
        <w:fldChar w:fldCharType="end"/>
      </w:r>
      <w:bookmarkEnd w:id="35"/>
      <w:r w:rsidRPr="009243D4">
        <w:rPr>
          <w:sz w:val="24"/>
        </w:rPr>
        <w:t xml:space="preserve"> </w:t>
      </w:r>
      <w:r w:rsidR="007200D6">
        <w:rPr>
          <w:sz w:val="24"/>
        </w:rPr>
        <w:t>Thermotron 8200 e</w:t>
      </w:r>
      <w:r w:rsidRPr="009243D4">
        <w:rPr>
          <w:sz w:val="24"/>
        </w:rPr>
        <w:t>nvironmental chamber used for conditio</w:t>
      </w:r>
      <w:r w:rsidR="007200D6">
        <w:rPr>
          <w:sz w:val="24"/>
        </w:rPr>
        <w:t>ning prepreg sheets at varying r</w:t>
      </w:r>
      <w:r w:rsidRPr="009243D4">
        <w:rPr>
          <w:sz w:val="24"/>
        </w:rPr>
        <w:t xml:space="preserve">elative </w:t>
      </w:r>
      <w:r w:rsidR="007200D6">
        <w:rPr>
          <w:sz w:val="24"/>
        </w:rPr>
        <w:t>h</w:t>
      </w:r>
      <w:r w:rsidRPr="009243D4">
        <w:rPr>
          <w:sz w:val="24"/>
        </w:rPr>
        <w:t>umidity levels</w:t>
      </w:r>
      <w:bookmarkEnd w:id="36"/>
    </w:p>
    <w:p w14:paraId="2776B805" w14:textId="77777777" w:rsidR="00A1716E" w:rsidRPr="00A1716E" w:rsidRDefault="00A1716E" w:rsidP="00A1716E"/>
    <w:p w14:paraId="194CF31F" w14:textId="77777777" w:rsidR="00182A18" w:rsidRDefault="00182A18" w:rsidP="00182A18">
      <w:pPr>
        <w:pStyle w:val="Heading3"/>
      </w:pPr>
      <w:bookmarkStart w:id="37" w:name="_Ref343149667"/>
      <w:bookmarkStart w:id="38" w:name="_Toc346310962"/>
      <w:r>
        <w:t>Measuring Prepreg Moisture Content before Laminate Fabrication</w:t>
      </w:r>
      <w:bookmarkEnd w:id="37"/>
      <w:bookmarkEnd w:id="38"/>
    </w:p>
    <w:p w14:paraId="3817BE75" w14:textId="6730AE9E" w:rsidR="00182A18" w:rsidRDefault="00A1716E" w:rsidP="00182A18">
      <w:pPr>
        <w:ind w:firstLine="360"/>
      </w:pPr>
      <w:r>
        <w:t>A CompuTrac® Vapor Pro® moisture specific analyzer was used t</w:t>
      </w:r>
      <w:r w:rsidR="007200D6">
        <w:t xml:space="preserve">o </w:t>
      </w:r>
      <w:r>
        <w:t>measure the prepreg moisture content after prepreg conditioning</w:t>
      </w:r>
      <w:r w:rsidR="00182A18">
        <w:t>.  The resulting prepreg moisture content (wt</w:t>
      </w:r>
      <w:r w:rsidR="00864E40">
        <w:t>.</w:t>
      </w:r>
      <w:r w:rsidR="00182A18">
        <w:t xml:space="preserve">%) </w:t>
      </w:r>
      <w:r>
        <w:t xml:space="preserve">for the three-prepreg materials </w:t>
      </w:r>
      <w:r w:rsidR="00182A18">
        <w:t>after an expo</w:t>
      </w:r>
      <w:r>
        <w:t xml:space="preserve">sure period of 24 hours </w:t>
      </w:r>
      <w:r w:rsidR="00182A18">
        <w:t>is provided in</w:t>
      </w:r>
      <w:r w:rsidR="00CD4D53">
        <w:t xml:space="preserve"> </w:t>
      </w:r>
      <w:r w:rsidR="00CF0651">
        <w:fldChar w:fldCharType="begin"/>
      </w:r>
      <w:r w:rsidR="00CD4D53">
        <w:instrText xml:space="preserve"> REF _Ref464736682 \h </w:instrText>
      </w:r>
      <w:r w:rsidR="00CF0651">
        <w:fldChar w:fldCharType="separate"/>
      </w:r>
      <w:r w:rsidR="008A1992" w:rsidRPr="00DE352E">
        <w:t xml:space="preserve">Table </w:t>
      </w:r>
      <w:r w:rsidR="008A1992">
        <w:rPr>
          <w:noProof/>
        </w:rPr>
        <w:t>2</w:t>
      </w:r>
      <w:r w:rsidR="008A1992">
        <w:t>.</w:t>
      </w:r>
      <w:r w:rsidR="008A1992">
        <w:rPr>
          <w:noProof/>
        </w:rPr>
        <w:t>2</w:t>
      </w:r>
      <w:r w:rsidR="00CF0651">
        <w:fldChar w:fldCharType="end"/>
      </w:r>
      <w:r w:rsidR="007200D6">
        <w:t>.</w:t>
      </w:r>
    </w:p>
    <w:p w14:paraId="759650BE" w14:textId="60BB5329" w:rsidR="00572B07" w:rsidRDefault="00572B07" w:rsidP="00182A18">
      <w:pPr>
        <w:ind w:firstLine="360"/>
      </w:pPr>
      <w:r>
        <w:br w:type="page"/>
      </w:r>
    </w:p>
    <w:p w14:paraId="01F27250" w14:textId="65F5CFAF" w:rsidR="00182A18" w:rsidRPr="00DE352E" w:rsidRDefault="00182A18" w:rsidP="00182A18">
      <w:pPr>
        <w:pStyle w:val="Caption"/>
        <w:keepNext/>
        <w:spacing w:after="120" w:line="240" w:lineRule="auto"/>
        <w:jc w:val="center"/>
        <w:rPr>
          <w:sz w:val="24"/>
        </w:rPr>
      </w:pPr>
      <w:bookmarkStart w:id="39" w:name="_Ref464736682"/>
      <w:bookmarkStart w:id="40" w:name="_Toc346310844"/>
      <w:proofErr w:type="gramStart"/>
      <w:r w:rsidRPr="00DE352E">
        <w:rPr>
          <w:sz w:val="24"/>
        </w:rPr>
        <w:lastRenderedPageBreak/>
        <w:t xml:space="preserve">Table </w:t>
      </w:r>
      <w:r w:rsidR="00707D23">
        <w:rPr>
          <w:sz w:val="24"/>
        </w:rPr>
        <w:fldChar w:fldCharType="begin"/>
      </w:r>
      <w:r w:rsidR="00707D23">
        <w:rPr>
          <w:sz w:val="24"/>
        </w:rPr>
        <w:instrText xml:space="preserve"> STYLEREF 1 \s </w:instrText>
      </w:r>
      <w:r w:rsidR="00707D23">
        <w:rPr>
          <w:sz w:val="24"/>
        </w:rPr>
        <w:fldChar w:fldCharType="separate"/>
      </w:r>
      <w:r w:rsidR="008A1992">
        <w:rPr>
          <w:noProof/>
          <w:sz w:val="24"/>
        </w:rPr>
        <w:t>2</w:t>
      </w:r>
      <w:r w:rsidR="00707D23">
        <w:rPr>
          <w:sz w:val="24"/>
        </w:rPr>
        <w:fldChar w:fldCharType="end"/>
      </w:r>
      <w:r w:rsidR="00707D23">
        <w:rPr>
          <w:sz w:val="24"/>
        </w:rPr>
        <w:t>.</w:t>
      </w:r>
      <w:proofErr w:type="gramEnd"/>
      <w:r w:rsidR="00707D23">
        <w:rPr>
          <w:sz w:val="24"/>
        </w:rPr>
        <w:fldChar w:fldCharType="begin"/>
      </w:r>
      <w:r w:rsidR="00707D23">
        <w:rPr>
          <w:sz w:val="24"/>
        </w:rPr>
        <w:instrText xml:space="preserve"> SEQ Table \* ARABIC \s 1 </w:instrText>
      </w:r>
      <w:r w:rsidR="00707D23">
        <w:rPr>
          <w:sz w:val="24"/>
        </w:rPr>
        <w:fldChar w:fldCharType="separate"/>
      </w:r>
      <w:r w:rsidR="008A1992">
        <w:rPr>
          <w:noProof/>
          <w:sz w:val="24"/>
        </w:rPr>
        <w:t>2</w:t>
      </w:r>
      <w:r w:rsidR="00707D23">
        <w:rPr>
          <w:sz w:val="24"/>
        </w:rPr>
        <w:fldChar w:fldCharType="end"/>
      </w:r>
      <w:bookmarkEnd w:id="39"/>
      <w:r w:rsidRPr="00DE352E">
        <w:rPr>
          <w:sz w:val="24"/>
        </w:rPr>
        <w:t xml:space="preserve"> Prepreg moisture content after 24 hours exposure in environmental chamber for varying levels of </w:t>
      </w:r>
      <w:r w:rsidR="00A41BC4">
        <w:rPr>
          <w:sz w:val="24"/>
        </w:rPr>
        <w:t>r</w:t>
      </w:r>
      <w:r w:rsidRPr="00DE352E">
        <w:rPr>
          <w:sz w:val="24"/>
        </w:rPr>
        <w:t xml:space="preserve">elative </w:t>
      </w:r>
      <w:r w:rsidR="00A41BC4">
        <w:rPr>
          <w:sz w:val="24"/>
        </w:rPr>
        <w:t>h</w:t>
      </w:r>
      <w:r w:rsidRPr="00DE352E">
        <w:rPr>
          <w:sz w:val="24"/>
        </w:rPr>
        <w:t>umidity exposure</w:t>
      </w:r>
      <w:r w:rsidR="00864E40">
        <w:rPr>
          <w:sz w:val="24"/>
        </w:rPr>
        <w:t>. Intervals associated with 95% confidence</w:t>
      </w:r>
      <w:r w:rsidR="003F7EF1">
        <w:rPr>
          <w:sz w:val="24"/>
        </w:rPr>
        <w:t xml:space="preserve"> for n=5 samples</w:t>
      </w:r>
      <w:bookmarkEnd w:id="40"/>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1800"/>
        <w:gridCol w:w="1800"/>
        <w:gridCol w:w="1800"/>
      </w:tblGrid>
      <w:tr w:rsidR="00A41BC4" w14:paraId="189BC74B" w14:textId="77777777" w:rsidTr="00A41BC4">
        <w:trPr>
          <w:trHeight w:val="288"/>
          <w:jc w:val="center"/>
        </w:trPr>
        <w:tc>
          <w:tcPr>
            <w:tcW w:w="2178" w:type="dxa"/>
            <w:vMerge w:val="restart"/>
            <w:tcBorders>
              <w:top w:val="single" w:sz="12" w:space="0" w:color="auto"/>
            </w:tcBorders>
            <w:vAlign w:val="bottom"/>
          </w:tcPr>
          <w:p w14:paraId="4D181871" w14:textId="77777777" w:rsidR="00A41BC4" w:rsidRDefault="00A41BC4" w:rsidP="00A1716E">
            <w:pPr>
              <w:spacing w:line="240" w:lineRule="auto"/>
              <w:jc w:val="center"/>
            </w:pPr>
            <w:r w:rsidRPr="002836AC">
              <w:rPr>
                <w:b/>
              </w:rPr>
              <w:t>Relative Humidity (% RH)</w:t>
            </w:r>
          </w:p>
        </w:tc>
        <w:tc>
          <w:tcPr>
            <w:tcW w:w="5400" w:type="dxa"/>
            <w:gridSpan w:val="3"/>
            <w:tcBorders>
              <w:top w:val="single" w:sz="12" w:space="0" w:color="auto"/>
            </w:tcBorders>
            <w:vAlign w:val="center"/>
          </w:tcPr>
          <w:p w14:paraId="306E756E" w14:textId="66CC1E1E" w:rsidR="00A41BC4" w:rsidRPr="002836AC" w:rsidRDefault="00A41BC4" w:rsidP="00940B2A">
            <w:pPr>
              <w:spacing w:line="240" w:lineRule="auto"/>
              <w:jc w:val="center"/>
              <w:rPr>
                <w:b/>
              </w:rPr>
            </w:pPr>
            <w:r w:rsidRPr="002836AC">
              <w:rPr>
                <w:b/>
              </w:rPr>
              <w:t>Prepreg Moisture Content (wt%) after 24 Hours</w:t>
            </w:r>
          </w:p>
        </w:tc>
      </w:tr>
      <w:tr w:rsidR="00182A18" w14:paraId="19064329" w14:textId="77777777" w:rsidTr="00A41BC4">
        <w:trPr>
          <w:trHeight w:val="360"/>
          <w:jc w:val="center"/>
        </w:trPr>
        <w:tc>
          <w:tcPr>
            <w:tcW w:w="2178" w:type="dxa"/>
            <w:vMerge/>
            <w:tcBorders>
              <w:bottom w:val="single" w:sz="4" w:space="0" w:color="auto"/>
            </w:tcBorders>
            <w:vAlign w:val="center"/>
          </w:tcPr>
          <w:p w14:paraId="2B3942EB" w14:textId="77777777" w:rsidR="00182A18" w:rsidRPr="002836AC" w:rsidRDefault="00182A18" w:rsidP="00940B2A">
            <w:pPr>
              <w:spacing w:line="240" w:lineRule="auto"/>
              <w:jc w:val="center"/>
              <w:rPr>
                <w:b/>
              </w:rPr>
            </w:pPr>
          </w:p>
        </w:tc>
        <w:tc>
          <w:tcPr>
            <w:tcW w:w="1800" w:type="dxa"/>
            <w:tcBorders>
              <w:bottom w:val="single" w:sz="4" w:space="0" w:color="auto"/>
            </w:tcBorders>
            <w:vAlign w:val="center"/>
          </w:tcPr>
          <w:p w14:paraId="4EC8ED77" w14:textId="77777777" w:rsidR="00182A18" w:rsidRPr="007200D6" w:rsidRDefault="00182A18" w:rsidP="00940B2A">
            <w:pPr>
              <w:spacing w:line="240" w:lineRule="auto"/>
              <w:jc w:val="center"/>
              <w:rPr>
                <w:i/>
              </w:rPr>
            </w:pPr>
            <w:r w:rsidRPr="007200D6">
              <w:rPr>
                <w:i/>
              </w:rPr>
              <w:t>Quartz / BMI</w:t>
            </w:r>
          </w:p>
        </w:tc>
        <w:tc>
          <w:tcPr>
            <w:tcW w:w="1800" w:type="dxa"/>
            <w:tcBorders>
              <w:bottom w:val="single" w:sz="4" w:space="0" w:color="auto"/>
            </w:tcBorders>
            <w:vAlign w:val="center"/>
          </w:tcPr>
          <w:p w14:paraId="0D4ABBA3" w14:textId="77777777" w:rsidR="00182A18" w:rsidRPr="007200D6" w:rsidRDefault="00182A18" w:rsidP="00940B2A">
            <w:pPr>
              <w:spacing w:line="240" w:lineRule="auto"/>
              <w:jc w:val="center"/>
              <w:rPr>
                <w:i/>
              </w:rPr>
            </w:pPr>
            <w:r w:rsidRPr="007200D6">
              <w:rPr>
                <w:i/>
              </w:rPr>
              <w:t>Quartz / Epoxy</w:t>
            </w:r>
          </w:p>
        </w:tc>
        <w:tc>
          <w:tcPr>
            <w:tcW w:w="1800" w:type="dxa"/>
            <w:tcBorders>
              <w:bottom w:val="single" w:sz="4" w:space="0" w:color="auto"/>
            </w:tcBorders>
            <w:vAlign w:val="center"/>
          </w:tcPr>
          <w:p w14:paraId="070D01AF" w14:textId="77777777" w:rsidR="00182A18" w:rsidRPr="007200D6" w:rsidRDefault="00182A18" w:rsidP="00940B2A">
            <w:pPr>
              <w:spacing w:line="240" w:lineRule="auto"/>
              <w:jc w:val="center"/>
              <w:rPr>
                <w:i/>
              </w:rPr>
            </w:pPr>
            <w:r w:rsidRPr="007200D6">
              <w:rPr>
                <w:i/>
              </w:rPr>
              <w:t>Carbon / Epoxy</w:t>
            </w:r>
          </w:p>
        </w:tc>
      </w:tr>
      <w:tr w:rsidR="00182A18" w14:paraId="43A603A6" w14:textId="77777777" w:rsidTr="00A41BC4">
        <w:trPr>
          <w:trHeight w:val="360"/>
          <w:jc w:val="center"/>
        </w:trPr>
        <w:tc>
          <w:tcPr>
            <w:tcW w:w="2178" w:type="dxa"/>
            <w:tcBorders>
              <w:top w:val="single" w:sz="4" w:space="0" w:color="auto"/>
            </w:tcBorders>
            <w:vAlign w:val="center"/>
          </w:tcPr>
          <w:p w14:paraId="204B324B" w14:textId="77777777" w:rsidR="00182A18" w:rsidRPr="002836AC" w:rsidRDefault="00182A18" w:rsidP="00940B2A">
            <w:pPr>
              <w:spacing w:line="240" w:lineRule="auto"/>
              <w:jc w:val="center"/>
              <w:rPr>
                <w:b/>
              </w:rPr>
            </w:pPr>
            <w:r w:rsidRPr="002836AC">
              <w:rPr>
                <w:b/>
              </w:rPr>
              <w:t>2%</w:t>
            </w:r>
          </w:p>
        </w:tc>
        <w:tc>
          <w:tcPr>
            <w:tcW w:w="1800" w:type="dxa"/>
            <w:tcBorders>
              <w:top w:val="single" w:sz="4" w:space="0" w:color="auto"/>
            </w:tcBorders>
            <w:vAlign w:val="center"/>
          </w:tcPr>
          <w:p w14:paraId="7FD53C23" w14:textId="77777777" w:rsidR="00182A18" w:rsidRDefault="00182A18" w:rsidP="00940B2A">
            <w:pPr>
              <w:spacing w:line="240" w:lineRule="auto"/>
              <w:jc w:val="center"/>
            </w:pPr>
            <w:r>
              <w:t>0.076 ± 0.032</w:t>
            </w:r>
          </w:p>
        </w:tc>
        <w:tc>
          <w:tcPr>
            <w:tcW w:w="1800" w:type="dxa"/>
            <w:tcBorders>
              <w:top w:val="single" w:sz="4" w:space="0" w:color="auto"/>
            </w:tcBorders>
            <w:vAlign w:val="center"/>
          </w:tcPr>
          <w:p w14:paraId="32710333" w14:textId="77777777" w:rsidR="00182A18" w:rsidRDefault="00182A18" w:rsidP="00940B2A">
            <w:pPr>
              <w:spacing w:line="240" w:lineRule="auto"/>
              <w:jc w:val="center"/>
            </w:pPr>
            <w:r>
              <w:t>0.041 ± 0.020</w:t>
            </w:r>
          </w:p>
        </w:tc>
        <w:tc>
          <w:tcPr>
            <w:tcW w:w="1800" w:type="dxa"/>
            <w:tcBorders>
              <w:top w:val="single" w:sz="4" w:space="0" w:color="auto"/>
            </w:tcBorders>
            <w:vAlign w:val="center"/>
          </w:tcPr>
          <w:p w14:paraId="3494985D" w14:textId="77777777" w:rsidR="00182A18" w:rsidRDefault="00182A18" w:rsidP="00940B2A">
            <w:pPr>
              <w:spacing w:line="240" w:lineRule="auto"/>
              <w:jc w:val="center"/>
            </w:pPr>
            <w:r>
              <w:t>0.043 ± 0.009</w:t>
            </w:r>
          </w:p>
        </w:tc>
      </w:tr>
      <w:tr w:rsidR="00182A18" w14:paraId="44C8E479" w14:textId="77777777" w:rsidTr="00A41BC4">
        <w:trPr>
          <w:trHeight w:val="360"/>
          <w:jc w:val="center"/>
        </w:trPr>
        <w:tc>
          <w:tcPr>
            <w:tcW w:w="2178" w:type="dxa"/>
            <w:vAlign w:val="center"/>
          </w:tcPr>
          <w:p w14:paraId="52E6C54E" w14:textId="77777777" w:rsidR="00182A18" w:rsidRPr="002836AC" w:rsidRDefault="00182A18" w:rsidP="00940B2A">
            <w:pPr>
              <w:spacing w:line="240" w:lineRule="auto"/>
              <w:jc w:val="center"/>
              <w:rPr>
                <w:b/>
              </w:rPr>
            </w:pPr>
            <w:r w:rsidRPr="002836AC">
              <w:rPr>
                <w:b/>
              </w:rPr>
              <w:t>40%</w:t>
            </w:r>
          </w:p>
        </w:tc>
        <w:tc>
          <w:tcPr>
            <w:tcW w:w="1800" w:type="dxa"/>
            <w:vAlign w:val="center"/>
          </w:tcPr>
          <w:p w14:paraId="7A2C1E8B" w14:textId="77777777" w:rsidR="00182A18" w:rsidRDefault="00182A18" w:rsidP="00940B2A">
            <w:pPr>
              <w:spacing w:line="240" w:lineRule="auto"/>
              <w:jc w:val="center"/>
            </w:pPr>
            <w:r>
              <w:t>0.160 ± 0.018</w:t>
            </w:r>
          </w:p>
        </w:tc>
        <w:tc>
          <w:tcPr>
            <w:tcW w:w="1800" w:type="dxa"/>
            <w:vAlign w:val="center"/>
          </w:tcPr>
          <w:p w14:paraId="099CB934" w14:textId="77777777" w:rsidR="00182A18" w:rsidRDefault="00182A18" w:rsidP="00940B2A">
            <w:pPr>
              <w:spacing w:line="240" w:lineRule="auto"/>
              <w:jc w:val="center"/>
            </w:pPr>
            <w:r>
              <w:t>0.046 ± 0.014</w:t>
            </w:r>
          </w:p>
        </w:tc>
        <w:tc>
          <w:tcPr>
            <w:tcW w:w="1800" w:type="dxa"/>
            <w:vAlign w:val="center"/>
          </w:tcPr>
          <w:p w14:paraId="5C79B95C" w14:textId="77777777" w:rsidR="00182A18" w:rsidRDefault="00182A18" w:rsidP="00940B2A">
            <w:pPr>
              <w:spacing w:line="240" w:lineRule="auto"/>
              <w:jc w:val="center"/>
            </w:pPr>
            <w:r>
              <w:t>0.070 ± 0.027</w:t>
            </w:r>
          </w:p>
        </w:tc>
      </w:tr>
      <w:tr w:rsidR="00182A18" w14:paraId="23C6D8A8" w14:textId="77777777" w:rsidTr="00A41BC4">
        <w:trPr>
          <w:trHeight w:val="360"/>
          <w:jc w:val="center"/>
        </w:trPr>
        <w:tc>
          <w:tcPr>
            <w:tcW w:w="2178" w:type="dxa"/>
            <w:vAlign w:val="center"/>
          </w:tcPr>
          <w:p w14:paraId="69F1DEEE" w14:textId="77777777" w:rsidR="00182A18" w:rsidRPr="002836AC" w:rsidRDefault="00182A18" w:rsidP="00940B2A">
            <w:pPr>
              <w:spacing w:line="240" w:lineRule="auto"/>
              <w:jc w:val="center"/>
              <w:rPr>
                <w:b/>
              </w:rPr>
            </w:pPr>
            <w:r w:rsidRPr="002836AC">
              <w:rPr>
                <w:b/>
              </w:rPr>
              <w:t>70%</w:t>
            </w:r>
          </w:p>
        </w:tc>
        <w:tc>
          <w:tcPr>
            <w:tcW w:w="1800" w:type="dxa"/>
            <w:vAlign w:val="center"/>
          </w:tcPr>
          <w:p w14:paraId="7F023CA7" w14:textId="77777777" w:rsidR="00182A18" w:rsidRDefault="00182A18" w:rsidP="00940B2A">
            <w:pPr>
              <w:spacing w:line="240" w:lineRule="auto"/>
              <w:jc w:val="center"/>
            </w:pPr>
            <w:r>
              <w:t>0.323 ± 0.036</w:t>
            </w:r>
          </w:p>
        </w:tc>
        <w:tc>
          <w:tcPr>
            <w:tcW w:w="1800" w:type="dxa"/>
            <w:vAlign w:val="center"/>
          </w:tcPr>
          <w:p w14:paraId="13DDDDF6" w14:textId="77777777" w:rsidR="00182A18" w:rsidRDefault="00182A18" w:rsidP="00940B2A">
            <w:pPr>
              <w:spacing w:line="240" w:lineRule="auto"/>
              <w:jc w:val="center"/>
            </w:pPr>
            <w:r>
              <w:t>0.068 ± 0.010</w:t>
            </w:r>
          </w:p>
        </w:tc>
        <w:tc>
          <w:tcPr>
            <w:tcW w:w="1800" w:type="dxa"/>
            <w:vAlign w:val="center"/>
          </w:tcPr>
          <w:p w14:paraId="4198F39E" w14:textId="77777777" w:rsidR="00182A18" w:rsidRDefault="00182A18" w:rsidP="00940B2A">
            <w:pPr>
              <w:spacing w:line="240" w:lineRule="auto"/>
              <w:jc w:val="center"/>
            </w:pPr>
            <w:r>
              <w:t>0.083 ± 0.025</w:t>
            </w:r>
          </w:p>
        </w:tc>
      </w:tr>
      <w:tr w:rsidR="00182A18" w14:paraId="75DA039F" w14:textId="77777777" w:rsidTr="00A41BC4">
        <w:trPr>
          <w:trHeight w:val="360"/>
          <w:jc w:val="center"/>
        </w:trPr>
        <w:tc>
          <w:tcPr>
            <w:tcW w:w="2178" w:type="dxa"/>
            <w:tcBorders>
              <w:bottom w:val="single" w:sz="12" w:space="0" w:color="auto"/>
            </w:tcBorders>
            <w:vAlign w:val="center"/>
          </w:tcPr>
          <w:p w14:paraId="1E7259DC" w14:textId="77777777" w:rsidR="00182A18" w:rsidRPr="002836AC" w:rsidRDefault="00182A18" w:rsidP="00940B2A">
            <w:pPr>
              <w:spacing w:line="240" w:lineRule="auto"/>
              <w:jc w:val="center"/>
              <w:rPr>
                <w:b/>
              </w:rPr>
            </w:pPr>
            <w:r w:rsidRPr="002836AC">
              <w:rPr>
                <w:b/>
              </w:rPr>
              <w:t>99%</w:t>
            </w:r>
          </w:p>
        </w:tc>
        <w:tc>
          <w:tcPr>
            <w:tcW w:w="1800" w:type="dxa"/>
            <w:tcBorders>
              <w:bottom w:val="single" w:sz="12" w:space="0" w:color="auto"/>
            </w:tcBorders>
            <w:vAlign w:val="center"/>
          </w:tcPr>
          <w:p w14:paraId="23EE0293" w14:textId="77777777" w:rsidR="00182A18" w:rsidRDefault="00182A18" w:rsidP="00940B2A">
            <w:pPr>
              <w:spacing w:line="240" w:lineRule="auto"/>
              <w:jc w:val="center"/>
            </w:pPr>
            <w:r>
              <w:t>0.569 ± 0.046</w:t>
            </w:r>
          </w:p>
        </w:tc>
        <w:tc>
          <w:tcPr>
            <w:tcW w:w="1800" w:type="dxa"/>
            <w:tcBorders>
              <w:bottom w:val="single" w:sz="12" w:space="0" w:color="auto"/>
            </w:tcBorders>
            <w:vAlign w:val="center"/>
          </w:tcPr>
          <w:p w14:paraId="7CE576F9" w14:textId="77777777" w:rsidR="00182A18" w:rsidRDefault="00182A18" w:rsidP="00940B2A">
            <w:pPr>
              <w:spacing w:line="240" w:lineRule="auto"/>
              <w:jc w:val="center"/>
            </w:pPr>
            <w:r>
              <w:t>0.077 ± 0.008</w:t>
            </w:r>
          </w:p>
        </w:tc>
        <w:tc>
          <w:tcPr>
            <w:tcW w:w="1800" w:type="dxa"/>
            <w:tcBorders>
              <w:bottom w:val="single" w:sz="12" w:space="0" w:color="auto"/>
            </w:tcBorders>
            <w:vAlign w:val="center"/>
          </w:tcPr>
          <w:p w14:paraId="0A1229CB" w14:textId="77777777" w:rsidR="00182A18" w:rsidRDefault="00182A18" w:rsidP="00940B2A">
            <w:pPr>
              <w:spacing w:line="240" w:lineRule="auto"/>
              <w:jc w:val="center"/>
            </w:pPr>
            <w:r>
              <w:t>0.121 ± 0.040</w:t>
            </w:r>
          </w:p>
        </w:tc>
      </w:tr>
    </w:tbl>
    <w:p w14:paraId="24D4EDD5" w14:textId="77777777" w:rsidR="00572B07" w:rsidRDefault="00572B07" w:rsidP="00182A18">
      <w:pPr>
        <w:ind w:firstLine="360"/>
      </w:pPr>
    </w:p>
    <w:p w14:paraId="2473A3A7" w14:textId="4DDE7FAA" w:rsidR="00182A18" w:rsidRDefault="00A41BC4" w:rsidP="00182A18">
      <w:pPr>
        <w:ind w:firstLine="360"/>
      </w:pPr>
      <w:r>
        <w:fldChar w:fldCharType="begin"/>
      </w:r>
      <w:r>
        <w:instrText xml:space="preserve"> REF _Ref464736695 \h </w:instrText>
      </w:r>
      <w:r>
        <w:fldChar w:fldCharType="separate"/>
      </w:r>
      <w:r w:rsidR="008A1992" w:rsidRPr="00D21C7F">
        <w:t xml:space="preserve">Figure </w:t>
      </w:r>
      <w:r w:rsidR="008A1992">
        <w:rPr>
          <w:noProof/>
        </w:rPr>
        <w:t>2</w:t>
      </w:r>
      <w:r w:rsidR="008A1992">
        <w:t>.</w:t>
      </w:r>
      <w:r w:rsidR="008A1992">
        <w:rPr>
          <w:noProof/>
        </w:rPr>
        <w:t>3</w:t>
      </w:r>
      <w:r>
        <w:fldChar w:fldCharType="end"/>
      </w:r>
      <w:r w:rsidR="00A0670F">
        <w:t xml:space="preserve"> clearly illustrates the high sensitivity of</w:t>
      </w:r>
      <w:r>
        <w:t xml:space="preserve"> the </w:t>
      </w:r>
      <w:r w:rsidR="00E3116C">
        <w:t xml:space="preserve">BMI </w:t>
      </w:r>
      <w:r w:rsidR="00A0670F">
        <w:t>resin</w:t>
      </w:r>
      <w:r w:rsidR="00E3116C">
        <w:t xml:space="preserve"> </w:t>
      </w:r>
      <w:r w:rsidR="00821037">
        <w:t>prepregs to humidity exposure and highlights the importance of proper storage techniques.  Even low levels of humidity exposure resulted in a significant amount of absorbed moisture for BMI.</w:t>
      </w:r>
      <w:r w:rsidR="00E3116C">
        <w:t xml:space="preserve"> </w:t>
      </w:r>
      <w:r w:rsidR="00821037">
        <w:t xml:space="preserve"> Alternatively, the two</w:t>
      </w:r>
      <w:r w:rsidR="00E3116C">
        <w:t xml:space="preserve"> </w:t>
      </w:r>
      <w:r w:rsidR="00772B0E">
        <w:t>epoxy-based</w:t>
      </w:r>
      <w:r w:rsidR="00AA6183">
        <w:t xml:space="preserve"> TenCate® EX-1522 </w:t>
      </w:r>
      <w:r w:rsidR="00E3116C">
        <w:t>prepregs</w:t>
      </w:r>
      <w:r w:rsidR="00821037">
        <w:t xml:space="preserve"> were fairly resilient to a variety of humidity exposure levels.</w:t>
      </w:r>
      <w:r w:rsidR="00AA6183">
        <w:t xml:space="preserve"> </w:t>
      </w:r>
      <w:r>
        <w:t xml:space="preserve"> According to the</w:t>
      </w:r>
      <w:r w:rsidRPr="00A41BC4">
        <w:t xml:space="preserve"> </w:t>
      </w:r>
      <w:r>
        <w:t>TenCate® literature, EX-1522 epoxy material has been modified to restrict moisture absorption, which is clearly supporte</w:t>
      </w:r>
      <w:r w:rsidR="00E3116C">
        <w:t>d by the conditioning results.</w:t>
      </w:r>
      <w:r w:rsidR="00821037">
        <w:t xml:space="preserve">  The </w:t>
      </w:r>
      <w:r w:rsidR="00A0670F">
        <w:t xml:space="preserve">rate of increase for the </w:t>
      </w:r>
      <w:r w:rsidR="00821037">
        <w:t xml:space="preserve">trend line equations, shown in </w:t>
      </w:r>
      <w:r w:rsidR="00821037">
        <w:fldChar w:fldCharType="begin"/>
      </w:r>
      <w:r w:rsidR="00821037">
        <w:instrText xml:space="preserve"> REF _Ref340744911 \h </w:instrText>
      </w:r>
      <w:r w:rsidR="00821037">
        <w:fldChar w:fldCharType="separate"/>
      </w:r>
      <w:r w:rsidR="008A1992" w:rsidRPr="00E04A1D">
        <w:t xml:space="preserve">Table </w:t>
      </w:r>
      <w:r w:rsidR="008A1992">
        <w:rPr>
          <w:noProof/>
        </w:rPr>
        <w:t>2</w:t>
      </w:r>
      <w:r w:rsidR="008A1992">
        <w:t>.</w:t>
      </w:r>
      <w:r w:rsidR="008A1992">
        <w:rPr>
          <w:noProof/>
        </w:rPr>
        <w:t>3</w:t>
      </w:r>
      <w:r w:rsidR="00821037">
        <w:fldChar w:fldCharType="end"/>
      </w:r>
      <w:r w:rsidR="00821037">
        <w:t xml:space="preserve">, indicate that the moisture content for BMI prepregs increases at a rate </w:t>
      </w:r>
      <w:r w:rsidR="00A0670F">
        <w:t>approximately</w:t>
      </w:r>
      <w:r w:rsidR="00821037">
        <w:t xml:space="preserve"> double that of the epoxy material.</w:t>
      </w:r>
    </w:p>
    <w:p w14:paraId="035A16D6" w14:textId="76A1E94E" w:rsidR="00182A18" w:rsidRDefault="00A36CB5" w:rsidP="00182A18">
      <w:pPr>
        <w:keepNext/>
        <w:spacing w:after="120" w:line="240" w:lineRule="auto"/>
      </w:pPr>
      <w:r>
        <w:rPr>
          <w:noProof/>
        </w:rPr>
        <w:lastRenderedPageBreak/>
        <mc:AlternateContent>
          <mc:Choice Requires="wpg">
            <w:drawing>
              <wp:inline distT="0" distB="0" distL="0" distR="0" wp14:anchorId="3C8051F1" wp14:editId="324B0957">
                <wp:extent cx="5322993" cy="2514600"/>
                <wp:effectExtent l="0" t="0" r="11430" b="0"/>
                <wp:docPr id="59" name="Group 2"/>
                <wp:cNvGraphicFramePr/>
                <a:graphic xmlns:a="http://schemas.openxmlformats.org/drawingml/2006/main">
                  <a:graphicData uri="http://schemas.microsoft.com/office/word/2010/wordprocessingGroup">
                    <wpg:wgp>
                      <wpg:cNvGrpSpPr/>
                      <wpg:grpSpPr>
                        <a:xfrm>
                          <a:off x="0" y="0"/>
                          <a:ext cx="5322993" cy="2514600"/>
                          <a:chOff x="0" y="0"/>
                          <a:chExt cx="5322993" cy="2514600"/>
                        </a:xfrm>
                      </wpg:grpSpPr>
                      <wpg:graphicFrame>
                        <wpg:cNvPr id="60" name="Chart 60"/>
                        <wpg:cNvFrPr/>
                        <wpg:xfrm>
                          <a:off x="0" y="0"/>
                          <a:ext cx="2660227" cy="2514600"/>
                        </wpg:xfrm>
                        <a:graphic>
                          <a:graphicData uri="http://schemas.openxmlformats.org/drawingml/2006/chart">
                            <c:chart xmlns:c="http://schemas.openxmlformats.org/drawingml/2006/chart" xmlns:r="http://schemas.openxmlformats.org/officeDocument/2006/relationships" r:id="rId14"/>
                          </a:graphicData>
                        </a:graphic>
                      </wpg:graphicFrame>
                      <wpg:graphicFrame>
                        <wpg:cNvPr id="61" name="Chart 61"/>
                        <wpg:cNvFrPr>
                          <a:graphicFrameLocks/>
                        </wpg:cNvFrPr>
                        <wpg:xfrm>
                          <a:off x="2662766" y="0"/>
                          <a:ext cx="2660227" cy="2514600"/>
                        </wpg:xfrm>
                        <a:graphic>
                          <a:graphicData uri="http://schemas.openxmlformats.org/drawingml/2006/chart">
                            <c:chart xmlns:c="http://schemas.openxmlformats.org/drawingml/2006/chart" xmlns:r="http://schemas.openxmlformats.org/officeDocument/2006/relationships" r:id="rId15"/>
                          </a:graphicData>
                        </a:graphic>
                      </wpg:graphicFrame>
                    </wpg:wgp>
                  </a:graphicData>
                </a:graphic>
              </wp:inline>
            </w:drawing>
          </mc:Choice>
          <mc:Fallback xmlns:w15="http://schemas.microsoft.com/office/word/2012/wordml">
            <w:pict>
              <v:group w14:anchorId="3472FCFE" id="Group 2" o:spid="_x0000_s1026" style="width:419.15pt;height:198pt;mso-position-horizontal-relative:char;mso-position-vertical-relative:line" coordsize="53229,25146" o:gfxdata="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60" o:spid="_x0000_s1027" type="#_x0000_t75" style="position:absolute;width:26639;height:25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">
                  <v:imagedata r:id="rId17" o:title=""/>
                  <o:lock v:ext="edit" aspectratio="f"/>
                </v:shape>
                <v:shape id="Chart 61" o:spid="_x0000_s1028" type="#_x0000_t75" style="position:absolute;left:26578;width:26701;height:25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">
                  <v:imagedata r:id="rId18" o:title=""/>
                  <o:lock v:ext="edit" aspectratio="f"/>
                </v:shape>
                <w10:anchorlock/>
              </v:group>
            </w:pict>
          </mc:Fallback>
        </mc:AlternateContent>
      </w:r>
    </w:p>
    <w:p w14:paraId="322AC910" w14:textId="7C732532" w:rsidR="00182A18" w:rsidRPr="00D21C7F" w:rsidRDefault="00182A18" w:rsidP="00182A18">
      <w:pPr>
        <w:pStyle w:val="Caption"/>
        <w:spacing w:line="240" w:lineRule="auto"/>
        <w:jc w:val="center"/>
        <w:rPr>
          <w:sz w:val="24"/>
        </w:rPr>
      </w:pPr>
      <w:bookmarkStart w:id="41" w:name="_Ref464736695"/>
      <w:bookmarkStart w:id="42" w:name="_Toc346310411"/>
      <w:proofErr w:type="gramStart"/>
      <w:r w:rsidRPr="00D21C7F">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2</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3</w:t>
      </w:r>
      <w:r w:rsidR="00C16D85">
        <w:rPr>
          <w:sz w:val="24"/>
        </w:rPr>
        <w:fldChar w:fldCharType="end"/>
      </w:r>
      <w:bookmarkEnd w:id="41"/>
      <w:r w:rsidRPr="00D21C7F">
        <w:rPr>
          <w:sz w:val="24"/>
        </w:rPr>
        <w:t xml:space="preserve"> Prepreg moi</w:t>
      </w:r>
      <w:r w:rsidR="006C367A">
        <w:rPr>
          <w:sz w:val="24"/>
        </w:rPr>
        <w:t xml:space="preserve">sture content </w:t>
      </w:r>
      <w:r w:rsidR="00A0670F">
        <w:rPr>
          <w:sz w:val="24"/>
        </w:rPr>
        <w:t xml:space="preserve">after </w:t>
      </w:r>
      <w:proofErr w:type="gramStart"/>
      <w:r w:rsidR="00A0670F">
        <w:rPr>
          <w:sz w:val="24"/>
        </w:rPr>
        <w:t>24 hour</w:t>
      </w:r>
      <w:proofErr w:type="gramEnd"/>
      <w:r w:rsidR="00A0670F">
        <w:rPr>
          <w:sz w:val="24"/>
        </w:rPr>
        <w:t xml:space="preserve"> exposure for varying</w:t>
      </w:r>
      <w:r w:rsidR="00E3116C">
        <w:rPr>
          <w:sz w:val="24"/>
        </w:rPr>
        <w:t xml:space="preserve"> </w:t>
      </w:r>
      <w:r w:rsidR="006C367A">
        <w:rPr>
          <w:sz w:val="24"/>
        </w:rPr>
        <w:t>relative h</w:t>
      </w:r>
      <w:r w:rsidRPr="00D21C7F">
        <w:rPr>
          <w:sz w:val="24"/>
        </w:rPr>
        <w:t>umidity co</w:t>
      </w:r>
      <w:r w:rsidR="006C367A">
        <w:rPr>
          <w:sz w:val="24"/>
        </w:rPr>
        <w:t>nditioning levels for the</w:t>
      </w:r>
      <w:r w:rsidR="00E3116C">
        <w:rPr>
          <w:sz w:val="24"/>
        </w:rPr>
        <w:t xml:space="preserve"> (a) BMI </w:t>
      </w:r>
      <w:r w:rsidR="00A0670F">
        <w:rPr>
          <w:sz w:val="24"/>
        </w:rPr>
        <w:t>resin</w:t>
      </w:r>
      <w:r w:rsidR="00E3116C">
        <w:rPr>
          <w:sz w:val="24"/>
        </w:rPr>
        <w:t xml:space="preserve"> and (b) epoxy </w:t>
      </w:r>
      <w:r w:rsidR="00A0670F">
        <w:rPr>
          <w:sz w:val="24"/>
        </w:rPr>
        <w:t>resin</w:t>
      </w:r>
      <w:r w:rsidR="00E3116C">
        <w:rPr>
          <w:sz w:val="24"/>
        </w:rPr>
        <w:t xml:space="preserve"> prepregs</w:t>
      </w:r>
      <w:r w:rsidR="00082F64">
        <w:rPr>
          <w:sz w:val="24"/>
        </w:rPr>
        <w:t xml:space="preserve">.  The model of best fit </w:t>
      </w:r>
      <w:r w:rsidR="00AA29C5">
        <w:rPr>
          <w:sz w:val="24"/>
        </w:rPr>
        <w:t xml:space="preserve">for each trend </w:t>
      </w:r>
      <w:r w:rsidR="00633799">
        <w:rPr>
          <w:sz w:val="24"/>
        </w:rPr>
        <w:t xml:space="preserve">line </w:t>
      </w:r>
      <w:r w:rsidR="00082F64">
        <w:rPr>
          <w:sz w:val="24"/>
        </w:rPr>
        <w:t xml:space="preserve">is provided in </w:t>
      </w:r>
      <w:r w:rsidR="00E04A1D">
        <w:rPr>
          <w:sz w:val="24"/>
        </w:rPr>
        <w:fldChar w:fldCharType="begin"/>
      </w:r>
      <w:r w:rsidR="00E04A1D">
        <w:rPr>
          <w:sz w:val="24"/>
        </w:rPr>
        <w:instrText xml:space="preserve"> REF _Ref340744911 \h </w:instrText>
      </w:r>
      <w:r w:rsidR="00E04A1D">
        <w:rPr>
          <w:sz w:val="24"/>
        </w:rPr>
      </w:r>
      <w:r w:rsidR="00E04A1D">
        <w:rPr>
          <w:sz w:val="24"/>
        </w:rPr>
        <w:fldChar w:fldCharType="separate"/>
      </w:r>
      <w:r w:rsidR="008A1992" w:rsidRPr="00E04A1D">
        <w:rPr>
          <w:sz w:val="24"/>
          <w:szCs w:val="24"/>
        </w:rPr>
        <w:t xml:space="preserve">Table </w:t>
      </w:r>
      <w:r w:rsidR="008A1992">
        <w:rPr>
          <w:noProof/>
          <w:sz w:val="24"/>
          <w:szCs w:val="24"/>
        </w:rPr>
        <w:t>2</w:t>
      </w:r>
      <w:r w:rsidR="008A1992">
        <w:rPr>
          <w:sz w:val="24"/>
          <w:szCs w:val="24"/>
        </w:rPr>
        <w:t>.</w:t>
      </w:r>
      <w:r w:rsidR="008A1992">
        <w:rPr>
          <w:noProof/>
          <w:sz w:val="24"/>
          <w:szCs w:val="24"/>
        </w:rPr>
        <w:t>3</w:t>
      </w:r>
      <w:r w:rsidR="00E04A1D">
        <w:rPr>
          <w:sz w:val="24"/>
        </w:rPr>
        <w:fldChar w:fldCharType="end"/>
      </w:r>
      <w:r w:rsidR="003F7EF1">
        <w:rPr>
          <w:sz w:val="24"/>
        </w:rPr>
        <w:t>. Intervals associated with 95% confidence for n=5 samples</w:t>
      </w:r>
      <w:bookmarkEnd w:id="42"/>
    </w:p>
    <w:p w14:paraId="2E7042EE" w14:textId="77777777" w:rsidR="00182A18" w:rsidRDefault="00182A18" w:rsidP="00182A18"/>
    <w:p w14:paraId="384B5162" w14:textId="48F463F2" w:rsidR="00E04A1D" w:rsidRPr="00E04A1D" w:rsidRDefault="00E04A1D" w:rsidP="00E04A1D">
      <w:pPr>
        <w:pStyle w:val="Caption"/>
        <w:keepNext/>
        <w:spacing w:after="120" w:line="240" w:lineRule="auto"/>
        <w:jc w:val="center"/>
        <w:rPr>
          <w:sz w:val="24"/>
          <w:szCs w:val="24"/>
        </w:rPr>
      </w:pPr>
      <w:bookmarkStart w:id="43" w:name="_Ref340744911"/>
      <w:bookmarkStart w:id="44" w:name="_Toc346310845"/>
      <w:proofErr w:type="gramStart"/>
      <w:r w:rsidRPr="00E04A1D">
        <w:rPr>
          <w:sz w:val="24"/>
          <w:szCs w:val="24"/>
        </w:rPr>
        <w:t xml:space="preserve">Table </w:t>
      </w:r>
      <w:r w:rsidR="00707D23">
        <w:rPr>
          <w:sz w:val="24"/>
          <w:szCs w:val="24"/>
        </w:rPr>
        <w:fldChar w:fldCharType="begin"/>
      </w:r>
      <w:r w:rsidR="00707D23">
        <w:rPr>
          <w:sz w:val="24"/>
          <w:szCs w:val="24"/>
        </w:rPr>
        <w:instrText xml:space="preserve"> STYLEREF 1 \s </w:instrText>
      </w:r>
      <w:r w:rsidR="00707D23">
        <w:rPr>
          <w:sz w:val="24"/>
          <w:szCs w:val="24"/>
        </w:rPr>
        <w:fldChar w:fldCharType="separate"/>
      </w:r>
      <w:r w:rsidR="008A1992">
        <w:rPr>
          <w:noProof/>
          <w:sz w:val="24"/>
          <w:szCs w:val="24"/>
        </w:rPr>
        <w:t>2</w:t>
      </w:r>
      <w:r w:rsidR="00707D23">
        <w:rPr>
          <w:sz w:val="24"/>
          <w:szCs w:val="24"/>
        </w:rPr>
        <w:fldChar w:fldCharType="end"/>
      </w:r>
      <w:r w:rsidR="00707D23">
        <w:rPr>
          <w:sz w:val="24"/>
          <w:szCs w:val="24"/>
        </w:rPr>
        <w:t>.</w:t>
      </w:r>
      <w:proofErr w:type="gramEnd"/>
      <w:r w:rsidR="00707D23">
        <w:rPr>
          <w:sz w:val="24"/>
          <w:szCs w:val="24"/>
        </w:rPr>
        <w:fldChar w:fldCharType="begin"/>
      </w:r>
      <w:r w:rsidR="00707D23">
        <w:rPr>
          <w:sz w:val="24"/>
          <w:szCs w:val="24"/>
        </w:rPr>
        <w:instrText xml:space="preserve"> SEQ Table \* ARABIC \s 1 </w:instrText>
      </w:r>
      <w:r w:rsidR="00707D23">
        <w:rPr>
          <w:sz w:val="24"/>
          <w:szCs w:val="24"/>
        </w:rPr>
        <w:fldChar w:fldCharType="separate"/>
      </w:r>
      <w:r w:rsidR="008A1992">
        <w:rPr>
          <w:noProof/>
          <w:sz w:val="24"/>
          <w:szCs w:val="24"/>
        </w:rPr>
        <w:t>3</w:t>
      </w:r>
      <w:r w:rsidR="00707D23">
        <w:rPr>
          <w:sz w:val="24"/>
          <w:szCs w:val="24"/>
        </w:rPr>
        <w:fldChar w:fldCharType="end"/>
      </w:r>
      <w:bookmarkEnd w:id="43"/>
      <w:r>
        <w:rPr>
          <w:sz w:val="24"/>
          <w:szCs w:val="24"/>
        </w:rPr>
        <w:t xml:space="preserve"> Model of </w:t>
      </w:r>
      <w:proofErr w:type="gramStart"/>
      <w:r>
        <w:rPr>
          <w:sz w:val="24"/>
          <w:szCs w:val="24"/>
        </w:rPr>
        <w:t xml:space="preserve">best </w:t>
      </w:r>
      <w:r w:rsidRPr="00082F64">
        <w:rPr>
          <w:sz w:val="24"/>
          <w:szCs w:val="24"/>
        </w:rPr>
        <w:t>fit</w:t>
      </w:r>
      <w:proofErr w:type="gramEnd"/>
      <w:r w:rsidRPr="00082F64">
        <w:rPr>
          <w:sz w:val="24"/>
          <w:szCs w:val="24"/>
        </w:rPr>
        <w:t xml:space="preserve"> trend</w:t>
      </w:r>
      <w:r w:rsidR="00AA29C5">
        <w:rPr>
          <w:sz w:val="24"/>
          <w:szCs w:val="24"/>
        </w:rPr>
        <w:t xml:space="preserve"> </w:t>
      </w:r>
      <w:r w:rsidRPr="00082F64">
        <w:rPr>
          <w:sz w:val="24"/>
          <w:szCs w:val="24"/>
        </w:rPr>
        <w:t>line for prepreg moisture content after 24 hours</w:t>
      </w:r>
      <w:bookmarkEnd w:id="44"/>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1872"/>
        <w:gridCol w:w="1440"/>
      </w:tblGrid>
      <w:tr w:rsidR="006C367A" w14:paraId="372CFA3F" w14:textId="77777777" w:rsidTr="00A36CB5">
        <w:trPr>
          <w:trHeight w:val="360"/>
          <w:jc w:val="center"/>
        </w:trPr>
        <w:tc>
          <w:tcPr>
            <w:tcW w:w="2016" w:type="dxa"/>
            <w:tcBorders>
              <w:top w:val="single" w:sz="12" w:space="0" w:color="auto"/>
              <w:bottom w:val="single" w:sz="4" w:space="0" w:color="auto"/>
            </w:tcBorders>
            <w:vAlign w:val="center"/>
          </w:tcPr>
          <w:p w14:paraId="1ED9BFA5" w14:textId="77777777" w:rsidR="006C367A" w:rsidRDefault="006C367A" w:rsidP="006C367A">
            <w:pPr>
              <w:spacing w:line="240" w:lineRule="auto"/>
              <w:jc w:val="center"/>
            </w:pPr>
          </w:p>
        </w:tc>
        <w:tc>
          <w:tcPr>
            <w:tcW w:w="1872" w:type="dxa"/>
            <w:tcBorders>
              <w:top w:val="single" w:sz="12" w:space="0" w:color="auto"/>
              <w:bottom w:val="single" w:sz="4" w:space="0" w:color="auto"/>
            </w:tcBorders>
            <w:vAlign w:val="center"/>
          </w:tcPr>
          <w:p w14:paraId="2299F270" w14:textId="44957B9B" w:rsidR="006C367A" w:rsidRPr="006C367A" w:rsidRDefault="00AA29C5" w:rsidP="006C367A">
            <w:pPr>
              <w:spacing w:line="240" w:lineRule="auto"/>
              <w:jc w:val="center"/>
              <w:rPr>
                <w:b/>
              </w:rPr>
            </w:pPr>
            <w:r>
              <w:rPr>
                <w:b/>
              </w:rPr>
              <w:t xml:space="preserve">Trend </w:t>
            </w:r>
            <w:r w:rsidR="006C367A" w:rsidRPr="006C367A">
              <w:rPr>
                <w:b/>
              </w:rPr>
              <w:t>Line Fit</w:t>
            </w:r>
          </w:p>
        </w:tc>
        <w:tc>
          <w:tcPr>
            <w:tcW w:w="1440" w:type="dxa"/>
            <w:tcBorders>
              <w:top w:val="single" w:sz="12" w:space="0" w:color="auto"/>
              <w:bottom w:val="single" w:sz="4" w:space="0" w:color="auto"/>
            </w:tcBorders>
            <w:vAlign w:val="center"/>
          </w:tcPr>
          <w:p w14:paraId="06F66FD5" w14:textId="524734CE" w:rsidR="006C367A" w:rsidRPr="006C367A" w:rsidRDefault="006C367A" w:rsidP="006C367A">
            <w:pPr>
              <w:spacing w:line="240" w:lineRule="auto"/>
              <w:jc w:val="center"/>
              <w:rPr>
                <w:b/>
              </w:rPr>
            </w:pPr>
            <w:r w:rsidRPr="006C367A">
              <w:rPr>
                <w:b/>
              </w:rPr>
              <w:t>R</w:t>
            </w:r>
            <w:r w:rsidRPr="006C367A">
              <w:rPr>
                <w:b/>
                <w:vertAlign w:val="superscript"/>
              </w:rPr>
              <w:t>2</w:t>
            </w:r>
            <w:r w:rsidRPr="006C367A">
              <w:rPr>
                <w:b/>
              </w:rPr>
              <w:t>-Value</w:t>
            </w:r>
          </w:p>
        </w:tc>
      </w:tr>
      <w:tr w:rsidR="006C367A" w14:paraId="589318D1" w14:textId="77777777" w:rsidTr="00A36CB5">
        <w:trPr>
          <w:trHeight w:val="360"/>
          <w:jc w:val="center"/>
        </w:trPr>
        <w:tc>
          <w:tcPr>
            <w:tcW w:w="2016" w:type="dxa"/>
            <w:tcBorders>
              <w:top w:val="single" w:sz="4" w:space="0" w:color="auto"/>
            </w:tcBorders>
            <w:vAlign w:val="center"/>
          </w:tcPr>
          <w:p w14:paraId="538921BF" w14:textId="10C1A2BF" w:rsidR="006C367A" w:rsidRPr="006C367A" w:rsidRDefault="006C367A" w:rsidP="00EB68AF">
            <w:pPr>
              <w:spacing w:line="240" w:lineRule="auto"/>
              <w:jc w:val="right"/>
              <w:rPr>
                <w:b/>
              </w:rPr>
            </w:pPr>
            <w:r w:rsidRPr="006C367A">
              <w:rPr>
                <w:b/>
              </w:rPr>
              <w:t>Quartz/BMI</w:t>
            </w:r>
          </w:p>
        </w:tc>
        <w:tc>
          <w:tcPr>
            <w:tcW w:w="1872" w:type="dxa"/>
            <w:tcBorders>
              <w:top w:val="single" w:sz="4" w:space="0" w:color="auto"/>
              <w:left w:val="nil"/>
            </w:tcBorders>
            <w:vAlign w:val="center"/>
          </w:tcPr>
          <w:p w14:paraId="4EE07494" w14:textId="397C1FA8" w:rsidR="006C367A" w:rsidRDefault="006C367A" w:rsidP="006C367A">
            <w:pPr>
              <w:spacing w:line="240" w:lineRule="auto"/>
              <w:jc w:val="center"/>
            </w:pPr>
            <w:r>
              <w:t>0.0719e</w:t>
            </w:r>
            <w:r w:rsidRPr="006C367A">
              <w:rPr>
                <w:vertAlign w:val="superscript"/>
              </w:rPr>
              <w:t>0.021x</w:t>
            </w:r>
          </w:p>
        </w:tc>
        <w:tc>
          <w:tcPr>
            <w:tcW w:w="1440" w:type="dxa"/>
            <w:tcBorders>
              <w:top w:val="single" w:sz="4" w:space="0" w:color="auto"/>
            </w:tcBorders>
            <w:vAlign w:val="center"/>
          </w:tcPr>
          <w:p w14:paraId="13E52397" w14:textId="3618D38E" w:rsidR="006C367A" w:rsidRDefault="006C367A" w:rsidP="006C367A">
            <w:pPr>
              <w:spacing w:line="240" w:lineRule="auto"/>
              <w:jc w:val="center"/>
            </w:pPr>
            <w:r>
              <w:t>0.9987</w:t>
            </w:r>
          </w:p>
        </w:tc>
      </w:tr>
      <w:tr w:rsidR="006C367A" w14:paraId="50273083" w14:textId="77777777" w:rsidTr="00A36CB5">
        <w:trPr>
          <w:trHeight w:val="360"/>
          <w:jc w:val="center"/>
        </w:trPr>
        <w:tc>
          <w:tcPr>
            <w:tcW w:w="2016" w:type="dxa"/>
            <w:vAlign w:val="center"/>
          </w:tcPr>
          <w:p w14:paraId="1E2BF646" w14:textId="6F8D400B" w:rsidR="006C367A" w:rsidRPr="006C367A" w:rsidRDefault="006C367A" w:rsidP="00EB68AF">
            <w:pPr>
              <w:spacing w:line="240" w:lineRule="auto"/>
              <w:jc w:val="right"/>
              <w:rPr>
                <w:b/>
              </w:rPr>
            </w:pPr>
            <w:r w:rsidRPr="006C367A">
              <w:rPr>
                <w:b/>
              </w:rPr>
              <w:t>Quartz/Epoxy</w:t>
            </w:r>
          </w:p>
        </w:tc>
        <w:tc>
          <w:tcPr>
            <w:tcW w:w="1872" w:type="dxa"/>
            <w:tcBorders>
              <w:left w:val="nil"/>
            </w:tcBorders>
            <w:vAlign w:val="center"/>
          </w:tcPr>
          <w:p w14:paraId="1793A7EF" w14:textId="63655D5F" w:rsidR="006C367A" w:rsidRDefault="00EB68AF" w:rsidP="006C367A">
            <w:pPr>
              <w:spacing w:line="240" w:lineRule="auto"/>
              <w:jc w:val="center"/>
            </w:pPr>
            <w:r>
              <w:t>0.0387</w:t>
            </w:r>
            <w:r w:rsidR="00E3116C">
              <w:t>e</w:t>
            </w:r>
            <w:r>
              <w:rPr>
                <w:vertAlign w:val="superscript"/>
              </w:rPr>
              <w:t>0.007</w:t>
            </w:r>
            <w:r w:rsidR="00E3116C" w:rsidRPr="006C367A">
              <w:rPr>
                <w:vertAlign w:val="superscript"/>
              </w:rPr>
              <w:t>x</w:t>
            </w:r>
          </w:p>
        </w:tc>
        <w:tc>
          <w:tcPr>
            <w:tcW w:w="1440" w:type="dxa"/>
            <w:vAlign w:val="center"/>
          </w:tcPr>
          <w:p w14:paraId="169E40C3" w14:textId="0212F0E2" w:rsidR="006C367A" w:rsidRDefault="00EB68AF" w:rsidP="006C367A">
            <w:pPr>
              <w:spacing w:line="240" w:lineRule="auto"/>
              <w:jc w:val="center"/>
            </w:pPr>
            <w:r>
              <w:t>0.9315</w:t>
            </w:r>
          </w:p>
        </w:tc>
      </w:tr>
      <w:tr w:rsidR="006C367A" w14:paraId="10F3307E" w14:textId="77777777" w:rsidTr="00A36CB5">
        <w:trPr>
          <w:trHeight w:val="360"/>
          <w:jc w:val="center"/>
        </w:trPr>
        <w:tc>
          <w:tcPr>
            <w:tcW w:w="2016" w:type="dxa"/>
            <w:tcBorders>
              <w:bottom w:val="single" w:sz="12" w:space="0" w:color="auto"/>
            </w:tcBorders>
            <w:vAlign w:val="center"/>
          </w:tcPr>
          <w:p w14:paraId="0A7CE9DC" w14:textId="18DECADA" w:rsidR="006C367A" w:rsidRPr="006C367A" w:rsidRDefault="006C367A" w:rsidP="00EB68AF">
            <w:pPr>
              <w:spacing w:line="240" w:lineRule="auto"/>
              <w:jc w:val="right"/>
              <w:rPr>
                <w:b/>
              </w:rPr>
            </w:pPr>
            <w:r w:rsidRPr="006C367A">
              <w:rPr>
                <w:b/>
              </w:rPr>
              <w:t>Carbon/Epoxy</w:t>
            </w:r>
          </w:p>
        </w:tc>
        <w:tc>
          <w:tcPr>
            <w:tcW w:w="1872" w:type="dxa"/>
            <w:tcBorders>
              <w:left w:val="nil"/>
              <w:bottom w:val="single" w:sz="12" w:space="0" w:color="auto"/>
            </w:tcBorders>
            <w:vAlign w:val="center"/>
          </w:tcPr>
          <w:p w14:paraId="75244F58" w14:textId="2BD67ADA" w:rsidR="006C367A" w:rsidRDefault="00EB68AF" w:rsidP="006C367A">
            <w:pPr>
              <w:spacing w:line="240" w:lineRule="auto"/>
              <w:jc w:val="center"/>
            </w:pPr>
            <w:r>
              <w:t>0.0432</w:t>
            </w:r>
            <w:r w:rsidR="00E3116C">
              <w:t>e</w:t>
            </w:r>
            <w:r>
              <w:rPr>
                <w:vertAlign w:val="superscript"/>
              </w:rPr>
              <w:t>0.010</w:t>
            </w:r>
            <w:r w:rsidR="00E3116C" w:rsidRPr="006C367A">
              <w:rPr>
                <w:vertAlign w:val="superscript"/>
              </w:rPr>
              <w:t>x</w:t>
            </w:r>
          </w:p>
        </w:tc>
        <w:tc>
          <w:tcPr>
            <w:tcW w:w="1440" w:type="dxa"/>
            <w:tcBorders>
              <w:bottom w:val="single" w:sz="12" w:space="0" w:color="auto"/>
            </w:tcBorders>
            <w:vAlign w:val="center"/>
          </w:tcPr>
          <w:p w14:paraId="0D04EC8A" w14:textId="0EA27377" w:rsidR="006C367A" w:rsidRDefault="00EB68AF" w:rsidP="006C367A">
            <w:pPr>
              <w:spacing w:line="240" w:lineRule="auto"/>
              <w:jc w:val="center"/>
            </w:pPr>
            <w:r>
              <w:t>0.9814</w:t>
            </w:r>
          </w:p>
        </w:tc>
      </w:tr>
    </w:tbl>
    <w:p w14:paraId="16850AE9" w14:textId="77777777" w:rsidR="00572B07" w:rsidRPr="00572B07" w:rsidRDefault="00572B07" w:rsidP="00572B07">
      <w:bookmarkStart w:id="45" w:name="_Ref464735919"/>
    </w:p>
    <w:p w14:paraId="23C46F51" w14:textId="0F402083" w:rsidR="00182A18" w:rsidRDefault="00821037" w:rsidP="00182A18">
      <w:pPr>
        <w:pStyle w:val="Heading2"/>
      </w:pPr>
      <w:bookmarkStart w:id="46" w:name="_Ref343773724"/>
      <w:bookmarkStart w:id="47" w:name="_Toc346310963"/>
      <w:r>
        <w:t>Laminate</w:t>
      </w:r>
      <w:r w:rsidR="00182A18">
        <w:t xml:space="preserve"> Fabrication at Varying Cure Pressures</w:t>
      </w:r>
      <w:bookmarkEnd w:id="45"/>
      <w:bookmarkEnd w:id="46"/>
      <w:bookmarkEnd w:id="47"/>
    </w:p>
    <w:p w14:paraId="41EF3B83" w14:textId="7D4AB549" w:rsidR="00182A18" w:rsidRDefault="00182A18" w:rsidP="00182A18">
      <w:pPr>
        <w:pStyle w:val="Heading3"/>
      </w:pPr>
      <w:bookmarkStart w:id="48" w:name="_Toc346310964"/>
      <w:r>
        <w:t xml:space="preserve">Equipment </w:t>
      </w:r>
      <w:r w:rsidR="00821037">
        <w:t xml:space="preserve">Used </w:t>
      </w:r>
      <w:r>
        <w:t xml:space="preserve">and </w:t>
      </w:r>
      <w:r w:rsidR="00821037">
        <w:t xml:space="preserve">Experimental </w:t>
      </w:r>
      <w:r>
        <w:t>Procedure</w:t>
      </w:r>
      <w:r w:rsidR="00821037">
        <w:t xml:space="preserve"> for Laminate Fabrication</w:t>
      </w:r>
      <w:bookmarkEnd w:id="48"/>
    </w:p>
    <w:p w14:paraId="491E31EE" w14:textId="0563D25E" w:rsidR="00FD3D77" w:rsidRDefault="00424470" w:rsidP="00D22327">
      <w:pPr>
        <w:ind w:firstLine="360"/>
      </w:pPr>
      <w:r>
        <w:t>L</w:t>
      </w:r>
      <w:r w:rsidR="003F7960">
        <w:t xml:space="preserve">aminates were fabricated </w:t>
      </w:r>
      <w:r>
        <w:t>at</w:t>
      </w:r>
      <w:r w:rsidR="003F7960">
        <w:t xml:space="preserve"> different applied cure pressures</w:t>
      </w:r>
      <w:r>
        <w:t>, which in turn would produce</w:t>
      </w:r>
      <w:r w:rsidR="003F7960">
        <w:t xml:space="preserve"> </w:t>
      </w:r>
      <w:r>
        <w:t>different</w:t>
      </w:r>
      <w:r w:rsidR="003F7960">
        <w:t xml:space="preserve"> fiber volume fraction</w:t>
      </w:r>
      <w:r>
        <w:t>s</w:t>
      </w:r>
      <w:r w:rsidR="003F7960">
        <w:t xml:space="preserve">.  </w:t>
      </w:r>
      <w:r>
        <w:t xml:space="preserve">Therefore, a wide range of fiber volume fractions can be achieved simply by controlling the cure pressure.  Opposed to varying other processing parameters, varying the cure pressure </w:t>
      </w:r>
      <w:r w:rsidR="003F7960">
        <w:t>yield</w:t>
      </w:r>
      <w:r w:rsidR="00D22327">
        <w:t>s</w:t>
      </w:r>
      <w:r w:rsidR="003F7960">
        <w:t xml:space="preserve"> consistent </w:t>
      </w:r>
      <w:r>
        <w:t xml:space="preserve">and repeatable </w:t>
      </w:r>
      <w:r w:rsidR="003F7960">
        <w:t xml:space="preserve">fiber volume fraction results.  </w:t>
      </w:r>
      <w:r>
        <w:t xml:space="preserve">For example, </w:t>
      </w:r>
      <w:r w:rsidR="003F7960">
        <w:t xml:space="preserve">varying </w:t>
      </w:r>
      <w:r>
        <w:t>the temperature cure cycle</w:t>
      </w:r>
      <w:r w:rsidR="003F7960">
        <w:t xml:space="preserve"> can also </w:t>
      </w:r>
      <w:r w:rsidR="003F7960">
        <w:lastRenderedPageBreak/>
        <w:t>have a significant effe</w:t>
      </w:r>
      <w:r w:rsidR="00D22327">
        <w:t xml:space="preserve">ct on the laminate void </w:t>
      </w:r>
      <w:r w:rsidR="00A0670F">
        <w:t xml:space="preserve">volume </w:t>
      </w:r>
      <w:r w:rsidR="00D22327">
        <w:t>fraction</w:t>
      </w:r>
      <w:r w:rsidR="003F7960">
        <w:t xml:space="preserve">.  </w:t>
      </w:r>
      <w:r w:rsidR="00FD3D77">
        <w:t>Using</w:t>
      </w:r>
      <w:r w:rsidR="00182A18">
        <w:t xml:space="preserve"> the conditioned prepreg sheets, eight-ply laminates with</w:t>
      </w:r>
      <w:r w:rsidR="00D22327" w:rsidRPr="00D22327">
        <w:t xml:space="preserve"> </w:t>
      </w:r>
      <w:r w:rsidR="00D22327">
        <w:t>a fiber orientation of [0/</w:t>
      </w:r>
      <w:proofErr w:type="gramStart"/>
      <w:r w:rsidR="00D22327">
        <w:t>90]</w:t>
      </w:r>
      <w:r w:rsidR="00D22327" w:rsidRPr="00577CDE">
        <w:rPr>
          <w:vertAlign w:val="subscript"/>
        </w:rPr>
        <w:t>2s</w:t>
      </w:r>
      <w:proofErr w:type="gramEnd"/>
      <w:r w:rsidR="00D22327">
        <w:t xml:space="preserve"> and</w:t>
      </w:r>
      <w:r w:rsidR="00182A18">
        <w:t xml:space="preserve"> approximate planar dimensions of 25.4 cm by 25.4 cm were fabricated using a Carver </w:t>
      </w:r>
      <w:r w:rsidR="00A0670F">
        <w:t>heated compression mold</w:t>
      </w:r>
      <w:r w:rsidR="00182A18">
        <w:t xml:space="preserve"> (</w:t>
      </w:r>
      <w:r w:rsidR="00CF0651">
        <w:fldChar w:fldCharType="begin"/>
      </w:r>
      <w:r w:rsidR="00CD4D53">
        <w:instrText xml:space="preserve"> REF _Ref464736705 \h </w:instrText>
      </w:r>
      <w:r w:rsidR="00CF0651">
        <w:fldChar w:fldCharType="separate"/>
      </w:r>
      <w:r w:rsidR="008A1992" w:rsidRPr="00577CDE">
        <w:t xml:space="preserve">Figure </w:t>
      </w:r>
      <w:r w:rsidR="008A1992">
        <w:rPr>
          <w:noProof/>
        </w:rPr>
        <w:t>2</w:t>
      </w:r>
      <w:r w:rsidR="008A1992">
        <w:t>.</w:t>
      </w:r>
      <w:r w:rsidR="008A1992">
        <w:rPr>
          <w:noProof/>
        </w:rPr>
        <w:t>4</w:t>
      </w:r>
      <w:r w:rsidR="00CF0651">
        <w:fldChar w:fldCharType="end"/>
      </w:r>
      <w:r w:rsidR="00651CC1">
        <w:t>).</w:t>
      </w:r>
      <w:r>
        <w:t xml:space="preserve">  Four cure pressures of </w:t>
      </w:r>
      <w:r w:rsidR="00FD3D77">
        <w:t>i) 68.9</w:t>
      </w:r>
      <w:r>
        <w:t xml:space="preserve"> kPa (10 psi), </w:t>
      </w:r>
      <w:r w:rsidR="00FD3D77">
        <w:t>ii) 206.8</w:t>
      </w:r>
      <w:r>
        <w:t xml:space="preserve"> kPa (30 psi), </w:t>
      </w:r>
      <w:r w:rsidR="00FD3D77">
        <w:t>iii) 344.7</w:t>
      </w:r>
      <w:r>
        <w:t xml:space="preserve"> kPa (50 psi)</w:t>
      </w:r>
      <w:r w:rsidR="00FD3D77">
        <w:t xml:space="preserve">, </w:t>
      </w:r>
      <w:r w:rsidR="00D22327">
        <w:t>and</w:t>
      </w:r>
      <w:r>
        <w:t xml:space="preserve"> </w:t>
      </w:r>
      <w:r w:rsidR="00FD3D77">
        <w:t>iv) 482.6 kPa</w:t>
      </w:r>
      <w:r>
        <w:t xml:space="preserve"> (70 psi)</w:t>
      </w:r>
      <w:r w:rsidR="00FD3D77">
        <w:t xml:space="preserve"> were used along with the material supplier suggested temperature </w:t>
      </w:r>
      <w:r w:rsidR="00D22327">
        <w:t xml:space="preserve">cure </w:t>
      </w:r>
      <w:r w:rsidR="00FD3D77">
        <w:t>profile for each of the four-prepreg conditioning levels.</w:t>
      </w:r>
      <w:r w:rsidR="00D22327">
        <w:t xml:space="preserve"> </w:t>
      </w:r>
      <w:r w:rsidR="00D22327" w:rsidRPr="00D22327">
        <w:t xml:space="preserve"> </w:t>
      </w:r>
      <w:r w:rsidR="00D22327">
        <w:t>Therefore for each prepreg material, a total of 16 unique laminates were fabricated from a combination of four prepreg conditioning levels and four fabrication pressures</w:t>
      </w:r>
    </w:p>
    <w:p w14:paraId="65546EA8" w14:textId="3D193657" w:rsidR="00FD3D77" w:rsidRDefault="00FD3D77" w:rsidP="00D22327">
      <w:pPr>
        <w:ind w:firstLine="360"/>
      </w:pPr>
      <w:r>
        <w:t>The HexPly® BMI cure cycle</w:t>
      </w:r>
      <w:r w:rsidR="00D22327">
        <w:t xml:space="preserve">, shown in </w:t>
      </w:r>
      <w:r w:rsidR="00D52668">
        <w:fldChar w:fldCharType="begin"/>
      </w:r>
      <w:r w:rsidR="00D52668">
        <w:instrText xml:space="preserve"> REF _Ref342811451 \h </w:instrText>
      </w:r>
      <w:r w:rsidR="00D52668">
        <w:fldChar w:fldCharType="separate"/>
      </w:r>
      <w:r w:rsidR="008A1992" w:rsidRPr="00D52668">
        <w:t xml:space="preserve">Figure </w:t>
      </w:r>
      <w:r w:rsidR="008A1992">
        <w:rPr>
          <w:noProof/>
        </w:rPr>
        <w:t>2</w:t>
      </w:r>
      <w:r w:rsidR="008A1992">
        <w:t>.</w:t>
      </w:r>
      <w:r w:rsidR="008A1992">
        <w:rPr>
          <w:noProof/>
        </w:rPr>
        <w:t>5</w:t>
      </w:r>
      <w:r w:rsidR="00D52668">
        <w:fldChar w:fldCharType="end"/>
      </w:r>
      <w:r w:rsidR="00D22327">
        <w:t>a,</w:t>
      </w:r>
      <w:r>
        <w:t xml:space="preserve"> consists of the following procedure:</w:t>
      </w:r>
    </w:p>
    <w:p w14:paraId="7325FD3E" w14:textId="77777777" w:rsidR="00FD3D77" w:rsidRDefault="00FD3D77" w:rsidP="00FD3D77">
      <w:pPr>
        <w:pStyle w:val="ListParagraph"/>
        <w:numPr>
          <w:ilvl w:val="0"/>
          <w:numId w:val="18"/>
        </w:numPr>
      </w:pPr>
      <w:r>
        <w:t>Apply fabrication pressure at room temperature</w:t>
      </w:r>
    </w:p>
    <w:p w14:paraId="1371280A" w14:textId="77777777" w:rsidR="00FD3D77" w:rsidRDefault="00FD3D77" w:rsidP="00FD3D77">
      <w:pPr>
        <w:pStyle w:val="ListParagraph"/>
        <w:numPr>
          <w:ilvl w:val="0"/>
          <w:numId w:val="18"/>
        </w:numPr>
      </w:pPr>
      <w:r>
        <w:t>Increase temperature to 38°C at a ramp-rate of 3°C/min and hold for 30 minutes</w:t>
      </w:r>
    </w:p>
    <w:p w14:paraId="7719CC7D" w14:textId="77777777" w:rsidR="00FD3D77" w:rsidRDefault="00FD3D77" w:rsidP="00FD3D77">
      <w:pPr>
        <w:pStyle w:val="ListParagraph"/>
        <w:numPr>
          <w:ilvl w:val="0"/>
          <w:numId w:val="18"/>
        </w:numPr>
      </w:pPr>
      <w:r>
        <w:t>Increase temperature to 191°C at a ramp-rate of 3°C/min</w:t>
      </w:r>
    </w:p>
    <w:p w14:paraId="33C6D4D7" w14:textId="77777777" w:rsidR="00FD3D77" w:rsidRDefault="00FD3D77" w:rsidP="00FD3D77">
      <w:pPr>
        <w:pStyle w:val="ListParagraph"/>
        <w:numPr>
          <w:ilvl w:val="0"/>
          <w:numId w:val="18"/>
        </w:numPr>
      </w:pPr>
      <w:r>
        <w:t>Maintain a four-hour isothermal hold at 191°C</w:t>
      </w:r>
    </w:p>
    <w:p w14:paraId="6DE018A4" w14:textId="77777777" w:rsidR="00FD3D77" w:rsidRDefault="00FD3D77" w:rsidP="00FD3D77">
      <w:pPr>
        <w:pStyle w:val="ListParagraph"/>
        <w:numPr>
          <w:ilvl w:val="0"/>
          <w:numId w:val="18"/>
        </w:numPr>
      </w:pPr>
      <w:r>
        <w:t>Cool down to 66°C and remove the finished laminate from the press</w:t>
      </w:r>
    </w:p>
    <w:p w14:paraId="6866FBA7" w14:textId="77777777" w:rsidR="003F7EF1" w:rsidRDefault="00FD3D77" w:rsidP="00FD3D77">
      <w:r>
        <w:t>Each BMI laminate was then post-cured for eight hours at 232°C in a two-step temperature increase ramp-rate of 6°C/min from ambient to 191°C, followed by a ramp-rate of 1.5°C/min from 191°C to 232°C.</w:t>
      </w:r>
      <w:r w:rsidR="00D22327">
        <w:t xml:space="preserve">  </w:t>
      </w:r>
    </w:p>
    <w:p w14:paraId="246993E5" w14:textId="51D125AF" w:rsidR="00FD3D77" w:rsidRDefault="00D22327" w:rsidP="003F7EF1">
      <w:pPr>
        <w:ind w:firstLine="360"/>
      </w:pPr>
      <w:r>
        <w:t>Meanwhile, t</w:t>
      </w:r>
      <w:r w:rsidR="00FD3D77">
        <w:t>he TenCate® epoxy cure cycle</w:t>
      </w:r>
      <w:r>
        <w:t>,</w:t>
      </w:r>
      <w:r w:rsidRPr="00D22327">
        <w:t xml:space="preserve"> </w:t>
      </w:r>
      <w:r>
        <w:t xml:space="preserve">shown in </w:t>
      </w:r>
      <w:r w:rsidR="00D52668">
        <w:fldChar w:fldCharType="begin"/>
      </w:r>
      <w:r w:rsidR="00D52668">
        <w:instrText xml:space="preserve"> REF _Ref342811451 \h </w:instrText>
      </w:r>
      <w:r w:rsidR="00D52668">
        <w:fldChar w:fldCharType="separate"/>
      </w:r>
      <w:r w:rsidR="008A1992" w:rsidRPr="00D52668">
        <w:t xml:space="preserve">Figure </w:t>
      </w:r>
      <w:r w:rsidR="008A1992">
        <w:rPr>
          <w:noProof/>
        </w:rPr>
        <w:t>2</w:t>
      </w:r>
      <w:r w:rsidR="008A1992">
        <w:t>.</w:t>
      </w:r>
      <w:r w:rsidR="008A1992">
        <w:rPr>
          <w:noProof/>
        </w:rPr>
        <w:t>5</w:t>
      </w:r>
      <w:r w:rsidR="00D52668">
        <w:fldChar w:fldCharType="end"/>
      </w:r>
      <w:r>
        <w:t>b,</w:t>
      </w:r>
      <w:r w:rsidR="00FD3D77">
        <w:t xml:space="preserve"> consists of the following procedure:</w:t>
      </w:r>
    </w:p>
    <w:p w14:paraId="015B7DBB" w14:textId="77777777" w:rsidR="00FD3D77" w:rsidRDefault="00FD3D77" w:rsidP="00FD3D77">
      <w:pPr>
        <w:pStyle w:val="ListParagraph"/>
        <w:numPr>
          <w:ilvl w:val="0"/>
          <w:numId w:val="17"/>
        </w:numPr>
      </w:pPr>
      <w:r>
        <w:t>Apply fabrication pressure at room temperature</w:t>
      </w:r>
    </w:p>
    <w:p w14:paraId="2DF311A0" w14:textId="0BAF1550" w:rsidR="00FD3D77" w:rsidRDefault="00A0670F" w:rsidP="00FD3D77">
      <w:pPr>
        <w:pStyle w:val="ListParagraph"/>
        <w:numPr>
          <w:ilvl w:val="0"/>
          <w:numId w:val="17"/>
        </w:numPr>
      </w:pPr>
      <w:r>
        <w:t>Increase temperature to 166</w:t>
      </w:r>
      <w:r w:rsidR="00FD3D77">
        <w:t>°C at a ramp-rate of 3°C/min</w:t>
      </w:r>
    </w:p>
    <w:p w14:paraId="60F804C9" w14:textId="3A0C0BF5" w:rsidR="00FD3D77" w:rsidRDefault="00FD3D77" w:rsidP="00FD3D77">
      <w:pPr>
        <w:pStyle w:val="ListParagraph"/>
        <w:numPr>
          <w:ilvl w:val="0"/>
          <w:numId w:val="17"/>
        </w:numPr>
      </w:pPr>
      <w:r>
        <w:lastRenderedPageBreak/>
        <w:t>Maintain a</w:t>
      </w:r>
      <w:r w:rsidR="00A0670F">
        <w:t xml:space="preserve"> two-hour isothermal hold at 166</w:t>
      </w:r>
      <w:r>
        <w:t>°C</w:t>
      </w:r>
    </w:p>
    <w:p w14:paraId="25DC7A4F" w14:textId="77777777" w:rsidR="00FD3D77" w:rsidRDefault="00FD3D77" w:rsidP="00FD3D77">
      <w:pPr>
        <w:pStyle w:val="ListParagraph"/>
        <w:numPr>
          <w:ilvl w:val="0"/>
          <w:numId w:val="17"/>
        </w:numPr>
      </w:pPr>
      <w:r>
        <w:t>Cool down to 66°C and remove the finished laminate from the press</w:t>
      </w:r>
    </w:p>
    <w:p w14:paraId="230F1774" w14:textId="77777777" w:rsidR="003D2275" w:rsidRDefault="003D2275" w:rsidP="003D2275">
      <w:pPr>
        <w:ind w:left="360"/>
      </w:pPr>
    </w:p>
    <w:p w14:paraId="24B9CB13" w14:textId="7BF714E3" w:rsidR="00E30CA1" w:rsidRDefault="00572B07" w:rsidP="00AA29C5">
      <w:pPr>
        <w:spacing w:line="240" w:lineRule="auto"/>
      </w:pPr>
      <w:r>
        <w:rPr>
          <w:noProof/>
        </w:rPr>
        <mc:AlternateContent>
          <mc:Choice Requires="wps">
            <w:drawing>
              <wp:anchor distT="0" distB="0" distL="114300" distR="114300" simplePos="0" relativeHeight="251725824" behindDoc="0" locked="0" layoutInCell="1" allowOverlap="1" wp14:anchorId="0F1117B3" wp14:editId="210347D8">
                <wp:simplePos x="0" y="0"/>
                <wp:positionH relativeFrom="column">
                  <wp:posOffset>4343400</wp:posOffset>
                </wp:positionH>
                <wp:positionV relativeFrom="paragraph">
                  <wp:posOffset>739140</wp:posOffset>
                </wp:positionV>
                <wp:extent cx="762000" cy="457200"/>
                <wp:effectExtent l="0" t="0" r="0" b="0"/>
                <wp:wrapNone/>
                <wp:docPr id="261" name="Text Box 261"/>
                <wp:cNvGraphicFramePr/>
                <a:graphic xmlns:a="http://schemas.openxmlformats.org/drawingml/2006/main">
                  <a:graphicData uri="http://schemas.microsoft.com/office/word/2010/wordprocessingShape">
                    <wps:wsp>
                      <wps:cNvSpPr txBox="1"/>
                      <wps:spPr>
                        <a:xfrm>
                          <a:off x="0" y="0"/>
                          <a:ext cx="7620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B473DE" w14:textId="025F1E31" w:rsidR="00ED5497" w:rsidRPr="00572B07" w:rsidRDefault="00ED5497" w:rsidP="00AA29C5">
                            <w:pPr>
                              <w:spacing w:line="240" w:lineRule="auto"/>
                              <w:jc w:val="left"/>
                              <w:rPr>
                                <w:b/>
                              </w:rPr>
                            </w:pPr>
                            <w:r w:rsidRPr="00572B07">
                              <w:rPr>
                                <w:b/>
                              </w:rPr>
                              <w:t>Control Panel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61" o:spid="_x0000_s1026" type="#_x0000_t202" style="position:absolute;left:0;text-align:left;margin-left:342pt;margin-top:58.2pt;width:60pt;height:3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" filled="f" stroked="f">
                <v:textbox>
                  <w:txbxContent>
                    <w:p w14:paraId="32B473DE" w14:textId="025F1E31" w:rsidR="00ED5497" w:rsidRPr="00572B07" w:rsidRDefault="00ED5497" w:rsidP="00AA29C5">
                      <w:pPr>
                        <w:spacing w:line="240" w:lineRule="auto"/>
                        <w:jc w:val="left"/>
                        <w:rPr>
                          <w:b/>
                        </w:rPr>
                      </w:pPr>
                      <w:r w:rsidRPr="00572B07">
                        <w:rPr>
                          <w:b/>
                        </w:rPr>
                        <w:t>Control Panel</w:t>
                      </w:r>
                    </w:p>
                  </w:txbxContent>
                </v:textbox>
              </v:shape>
            </w:pict>
          </mc:Fallback>
        </mc:AlternateContent>
      </w:r>
      <w:r w:rsidR="00AA29C5">
        <w:rPr>
          <w:noProof/>
        </w:rPr>
        <mc:AlternateContent>
          <mc:Choice Requires="wps">
            <w:drawing>
              <wp:anchor distT="0" distB="0" distL="114300" distR="114300" simplePos="0" relativeHeight="251728896" behindDoc="0" locked="0" layoutInCell="1" allowOverlap="1" wp14:anchorId="294B0EA4" wp14:editId="0B70D366">
                <wp:simplePos x="0" y="0"/>
                <wp:positionH relativeFrom="column">
                  <wp:posOffset>1066800</wp:posOffset>
                </wp:positionH>
                <wp:positionV relativeFrom="paragraph">
                  <wp:posOffset>739140</wp:posOffset>
                </wp:positionV>
                <wp:extent cx="990600" cy="228600"/>
                <wp:effectExtent l="0" t="0" r="101600" b="101600"/>
                <wp:wrapNone/>
                <wp:docPr id="263" name="Straight Arrow Connector 263"/>
                <wp:cNvGraphicFramePr/>
                <a:graphic xmlns:a="http://schemas.openxmlformats.org/drawingml/2006/main">
                  <a:graphicData uri="http://schemas.microsoft.com/office/word/2010/wordprocessingShape">
                    <wps:wsp>
                      <wps:cNvCnPr/>
                      <wps:spPr>
                        <a:xfrm>
                          <a:off x="0" y="0"/>
                          <a:ext cx="990600" cy="228600"/>
                        </a:xfrm>
                        <a:prstGeom prst="straightConnector1">
                          <a:avLst/>
                        </a:prstGeom>
                        <a:ln>
                          <a:solidFill>
                            <a:srgbClr val="FF0000"/>
                          </a:solidFill>
                          <a:tailEnd type="arrow"/>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14E43DF1" id="_x0000_t32" coordsize="21600,21600" o:spt="32" o:oned="t" path="m,l21600,21600e" filled="f">
                <v:path arrowok="t" fillok="f" o:connecttype="none"/>
                <o:lock v:ext="edit" shapetype="t"/>
              </v:shapetype>
              <v:shape id="Straight Arrow Connector 263" o:spid="_x0000_s1026" type="#_x0000_t32" style="position:absolute;margin-left:84pt;margin-top:58.2pt;width:78pt;height:1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" strokecolor="red" strokeweight="2pt">
                <v:stroke endarrow="open"/>
              </v:shape>
            </w:pict>
          </mc:Fallback>
        </mc:AlternateContent>
      </w:r>
      <w:r w:rsidR="00AA29C5">
        <w:rPr>
          <w:noProof/>
        </w:rPr>
        <mc:AlternateContent>
          <mc:Choice Requires="wps">
            <w:drawing>
              <wp:anchor distT="0" distB="0" distL="114300" distR="114300" simplePos="0" relativeHeight="251726848" behindDoc="0" locked="0" layoutInCell="1" allowOverlap="1" wp14:anchorId="3DCB35F6" wp14:editId="50E9460B">
                <wp:simplePos x="0" y="0"/>
                <wp:positionH relativeFrom="column">
                  <wp:posOffset>3657600</wp:posOffset>
                </wp:positionH>
                <wp:positionV relativeFrom="paragraph">
                  <wp:posOffset>1082040</wp:posOffset>
                </wp:positionV>
                <wp:extent cx="685800" cy="571500"/>
                <wp:effectExtent l="50800" t="0" r="25400" b="63500"/>
                <wp:wrapNone/>
                <wp:docPr id="262" name="Straight Arrow Connector 262"/>
                <wp:cNvGraphicFramePr/>
                <a:graphic xmlns:a="http://schemas.openxmlformats.org/drawingml/2006/main">
                  <a:graphicData uri="http://schemas.microsoft.com/office/word/2010/wordprocessingShape">
                    <wps:wsp>
                      <wps:cNvCnPr/>
                      <wps:spPr>
                        <a:xfrm flipH="1">
                          <a:off x="0" y="0"/>
                          <a:ext cx="685800" cy="571500"/>
                        </a:xfrm>
                        <a:prstGeom prst="straightConnector1">
                          <a:avLst/>
                        </a:prstGeom>
                        <a:ln>
                          <a:solidFill>
                            <a:srgbClr val="FF0000"/>
                          </a:solidFill>
                          <a:tailEnd type="arrow"/>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64C22675" id="Straight Arrow Connector 262" o:spid="_x0000_s1026" type="#_x0000_t32" style="position:absolute;margin-left:4in;margin-top:85.2pt;width:54pt;height:45pt;flip:x;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" strokecolor="red" strokeweight="2pt">
                <v:stroke endarrow="open"/>
              </v:shape>
            </w:pict>
          </mc:Fallback>
        </mc:AlternateContent>
      </w:r>
      <w:r w:rsidR="00AA29C5">
        <w:rPr>
          <w:noProof/>
        </w:rPr>
        <mc:AlternateContent>
          <mc:Choice Requires="wps">
            <w:drawing>
              <wp:anchor distT="0" distB="0" distL="114300" distR="114300" simplePos="0" relativeHeight="251723776" behindDoc="0" locked="0" layoutInCell="1" allowOverlap="1" wp14:anchorId="0B8EFD17" wp14:editId="72FBDAEC">
                <wp:simplePos x="0" y="0"/>
                <wp:positionH relativeFrom="column">
                  <wp:posOffset>228600</wp:posOffset>
                </wp:positionH>
                <wp:positionV relativeFrom="paragraph">
                  <wp:posOffset>396240</wp:posOffset>
                </wp:positionV>
                <wp:extent cx="838200" cy="457200"/>
                <wp:effectExtent l="0" t="0" r="0" b="0"/>
                <wp:wrapNone/>
                <wp:docPr id="259" name="Text Box 259"/>
                <wp:cNvGraphicFramePr/>
                <a:graphic xmlns:a="http://schemas.openxmlformats.org/drawingml/2006/main">
                  <a:graphicData uri="http://schemas.microsoft.com/office/word/2010/wordprocessingShape">
                    <wps:wsp>
                      <wps:cNvSpPr txBox="1"/>
                      <wps:spPr>
                        <a:xfrm>
                          <a:off x="0" y="0"/>
                          <a:ext cx="838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5CE9C5" w14:textId="4A67219D" w:rsidR="00ED5497" w:rsidRPr="00572B07" w:rsidRDefault="00ED5497" w:rsidP="00AA29C5">
                            <w:pPr>
                              <w:spacing w:line="240" w:lineRule="auto"/>
                              <w:jc w:val="right"/>
                              <w:rPr>
                                <w:b/>
                              </w:rPr>
                            </w:pPr>
                            <w:r w:rsidRPr="00572B07">
                              <w:rPr>
                                <w:b/>
                              </w:rPr>
                              <w:t>Carver Hot Press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9" o:spid="_x0000_s1027" type="#_x0000_t202" style="position:absolute;left:0;text-align:left;margin-left:18pt;margin-top:31.2pt;width:66pt;height:36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" filled="f" stroked="f">
                <v:textbox>
                  <w:txbxContent>
                    <w:p w14:paraId="685CE9C5" w14:textId="4A67219D" w:rsidR="00ED5497" w:rsidRPr="00572B07" w:rsidRDefault="00ED5497" w:rsidP="00AA29C5">
                      <w:pPr>
                        <w:spacing w:line="240" w:lineRule="auto"/>
                        <w:jc w:val="right"/>
                        <w:rPr>
                          <w:b/>
                        </w:rPr>
                      </w:pPr>
                      <w:r w:rsidRPr="00572B07">
                        <w:rPr>
                          <w:b/>
                        </w:rPr>
                        <w:t>Carver Hot Press</w:t>
                      </w:r>
                    </w:p>
                  </w:txbxContent>
                </v:textbox>
              </v:shape>
            </w:pict>
          </mc:Fallback>
        </mc:AlternateContent>
      </w:r>
      <w:r w:rsidR="00E30CA1">
        <w:rPr>
          <w:noProof/>
        </w:rPr>
        <mc:AlternateContent>
          <mc:Choice Requires="wps">
            <w:drawing>
              <wp:inline distT="0" distB="0" distL="0" distR="0" wp14:anchorId="0177ED12" wp14:editId="4FEF5B91">
                <wp:extent cx="5394960" cy="2852928"/>
                <wp:effectExtent l="0" t="0" r="0" b="0"/>
                <wp:docPr id="62" name="Text Box 62"/>
                <wp:cNvGraphicFramePr/>
                <a:graphic xmlns:a="http://schemas.openxmlformats.org/drawingml/2006/main">
                  <a:graphicData uri="http://schemas.microsoft.com/office/word/2010/wordprocessingShape">
                    <wps:wsp>
                      <wps:cNvSpPr txBox="1"/>
                      <wps:spPr>
                        <a:xfrm>
                          <a:off x="0" y="0"/>
                          <a:ext cx="5394960" cy="2852928"/>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FD8F8EE" w14:textId="25A62166" w:rsidR="00ED5497" w:rsidRDefault="00ED5497" w:rsidP="00E30CA1">
                            <w:pPr>
                              <w:jc w:val="center"/>
                            </w:pPr>
                            <w:r w:rsidRPr="00577CDE">
                              <w:rPr>
                                <w:noProof/>
                              </w:rPr>
                              <w:drawing>
                                <wp:inline distT="0" distB="0" distL="0" distR="0" wp14:anchorId="715C0D02" wp14:editId="11B13145">
                                  <wp:extent cx="2628900" cy="2743200"/>
                                  <wp:effectExtent l="25400" t="25400" r="38100" b="25400"/>
                                  <wp:docPr id="2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Photo Jun 04, 12 32 15.jpg"/>
                                          <pic:cNvPicPr>
                                            <a:picLocks noChangeAspect="1"/>
                                          </pic:cNvPicPr>
                                        </pic:nvPicPr>
                                        <pic:blipFill rotWithShape="1">
                                          <a:blip r:embed="rId19">
                                            <a:extLst>
                                              <a:ext uri="{28A0092B-C50C-407E-A947-70E740481C1C}">
                                                <a14:useLocalDpi xmlns:a14="http://schemas.microsoft.com/office/drawing/2010/main" val="0"/>
                                              </a:ext>
                                            </a:extLst>
                                          </a:blip>
                                          <a:srcRect l="23438" r="4687"/>
                                          <a:stretch/>
                                        </pic:blipFill>
                                        <pic:spPr bwMode="auto">
                                          <a:xfrm>
                                            <a:off x="0" y="0"/>
                                            <a:ext cx="2628900" cy="2743200"/>
                                          </a:xfrm>
                                          <a:prstGeom prst="rect">
                                            <a:avLst/>
                                          </a:prstGeom>
                                          <a:ln w="190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Text Box 62" o:spid="_x0000_s1028" type="#_x0000_t202" style="width:424.8pt;height:22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" filled="f" stroked="f">
                <v:textbox>
                  <w:txbxContent>
                    <w:p w14:paraId="5FD8F8EE" w14:textId="25A62166" w:rsidR="00ED5497" w:rsidRDefault="00ED5497" w:rsidP="00E30CA1">
                      <w:pPr>
                        <w:jc w:val="center"/>
                      </w:pPr>
                      <w:r w:rsidRPr="00577CDE">
                        <w:rPr>
                          <w:noProof/>
                        </w:rPr>
                        <w:drawing>
                          <wp:inline distT="0" distB="0" distL="0" distR="0" wp14:anchorId="715C0D02" wp14:editId="11B13145">
                            <wp:extent cx="2628900" cy="2743200"/>
                            <wp:effectExtent l="25400" t="25400" r="38100" b="25400"/>
                            <wp:docPr id="2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Photo Jun 04, 12 32 15.jpg"/>
                                    <pic:cNvPicPr>
                                      <a:picLocks noChangeAspect="1"/>
                                    </pic:cNvPicPr>
                                  </pic:nvPicPr>
                                  <pic:blipFill rotWithShape="1">
                                    <a:blip r:embed="rId20">
                                      <a:extLst>
                                        <a:ext uri="{28A0092B-C50C-407E-A947-70E740481C1C}">
                                          <a14:useLocalDpi xmlns:a14="http://schemas.microsoft.com/office/drawing/2010/main" val="0"/>
                                        </a:ext>
                                      </a:extLst>
                                    </a:blip>
                                    <a:srcRect l="23438" r="4687"/>
                                    <a:stretch/>
                                  </pic:blipFill>
                                  <pic:spPr bwMode="auto">
                                    <a:xfrm>
                                      <a:off x="0" y="0"/>
                                      <a:ext cx="2628900" cy="2743200"/>
                                    </a:xfrm>
                                    <a:prstGeom prst="rect">
                                      <a:avLst/>
                                    </a:prstGeom>
                                    <a:ln w="190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txbxContent>
                </v:textbox>
                <w10:anchorlock/>
              </v:shape>
            </w:pict>
          </mc:Fallback>
        </mc:AlternateContent>
      </w:r>
    </w:p>
    <w:p w14:paraId="1C772901" w14:textId="7C868849" w:rsidR="00182A18" w:rsidRDefault="00182A18" w:rsidP="00182A18">
      <w:pPr>
        <w:pStyle w:val="Caption"/>
        <w:spacing w:line="240" w:lineRule="auto"/>
        <w:jc w:val="center"/>
        <w:rPr>
          <w:sz w:val="24"/>
        </w:rPr>
      </w:pPr>
      <w:bookmarkStart w:id="49" w:name="_Ref464736705"/>
      <w:bookmarkStart w:id="50" w:name="_Toc346310412"/>
      <w:proofErr w:type="gramStart"/>
      <w:r w:rsidRPr="00577CDE">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2</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4</w:t>
      </w:r>
      <w:r w:rsidR="00C16D85">
        <w:rPr>
          <w:sz w:val="24"/>
        </w:rPr>
        <w:fldChar w:fldCharType="end"/>
      </w:r>
      <w:bookmarkEnd w:id="49"/>
      <w:r w:rsidRPr="00577CDE">
        <w:rPr>
          <w:sz w:val="24"/>
        </w:rPr>
        <w:t xml:space="preserve"> Carver hot press used for fabricating laminates from conditioned prepregs</w:t>
      </w:r>
      <w:bookmarkEnd w:id="50"/>
    </w:p>
    <w:p w14:paraId="226CCEE0" w14:textId="77777777" w:rsidR="00182A18" w:rsidRDefault="00182A18" w:rsidP="00182A18">
      <w:pPr>
        <w:ind w:firstLine="360"/>
      </w:pPr>
    </w:p>
    <w:p w14:paraId="7003579E" w14:textId="77777777" w:rsidR="00D52668" w:rsidRDefault="00D52668" w:rsidP="00D52668">
      <w:pPr>
        <w:keepNext/>
        <w:jc w:val="center"/>
      </w:pPr>
      <w:r>
        <w:rPr>
          <w:noProof/>
        </w:rPr>
        <mc:AlternateContent>
          <mc:Choice Requires="wpg">
            <w:drawing>
              <wp:inline distT="0" distB="0" distL="0" distR="0" wp14:anchorId="27BD82B1" wp14:editId="5BCF2408">
                <wp:extent cx="5394960" cy="2740942"/>
                <wp:effectExtent l="0" t="0" r="0" b="2540"/>
                <wp:docPr id="63" name="Group 5"/>
                <wp:cNvGraphicFramePr/>
                <a:graphic xmlns:a="http://schemas.openxmlformats.org/drawingml/2006/main">
                  <a:graphicData uri="http://schemas.microsoft.com/office/word/2010/wordprocessingGroup">
                    <wpg:wgp>
                      <wpg:cNvGrpSpPr/>
                      <wpg:grpSpPr>
                        <a:xfrm>
                          <a:off x="0" y="0"/>
                          <a:ext cx="5394960" cy="2740942"/>
                          <a:chOff x="0" y="0"/>
                          <a:chExt cx="5399889" cy="2743200"/>
                        </a:xfrm>
                      </wpg:grpSpPr>
                      <wpg:graphicFrame>
                        <wpg:cNvPr id="256" name="Chart 256"/>
                        <wpg:cNvFrPr/>
                        <wpg:xfrm>
                          <a:off x="0" y="0"/>
                          <a:ext cx="2743200" cy="2743200"/>
                        </wpg:xfrm>
                        <a:graphic>
                          <a:graphicData uri="http://schemas.openxmlformats.org/drawingml/2006/chart">
                            <c:chart xmlns:c="http://schemas.openxmlformats.org/drawingml/2006/chart" xmlns:r="http://schemas.openxmlformats.org/officeDocument/2006/relationships" r:id="rId21"/>
                          </a:graphicData>
                        </a:graphic>
                      </wpg:graphicFrame>
                      <wpg:graphicFrame>
                        <wpg:cNvPr id="257" name="Chart 257"/>
                        <wpg:cNvFrPr/>
                        <wpg:xfrm>
                          <a:off x="2656689" y="0"/>
                          <a:ext cx="2743200" cy="2743200"/>
                        </wpg:xfrm>
                        <a:graphic>
                          <a:graphicData uri="http://schemas.openxmlformats.org/drawingml/2006/chart">
                            <c:chart xmlns:c="http://schemas.openxmlformats.org/drawingml/2006/chart" xmlns:r="http://schemas.openxmlformats.org/officeDocument/2006/relationships" r:id="rId22"/>
                          </a:graphicData>
                        </a:graphic>
                      </wpg:graphicFrame>
                    </wpg:wgp>
                  </a:graphicData>
                </a:graphic>
              </wp:inline>
            </w:drawing>
          </mc:Choice>
          <mc:Fallback xmlns:w15="http://schemas.microsoft.com/office/word/2012/wordml">
            <w:pict>
              <v:group w14:anchorId="40AC8B2E" id="Group 5" o:spid="_x0000_s1026" style="width:424.8pt;height:215.8pt;mso-position-horizontal-relative:char;mso-position-vertical-relative:line" coordsize="53998,27432" o:gfxdata="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">
                <v:shape id="Chart 256" o:spid="_x0000_s1027" type="#_x0000_t75" style="position:absolute;width:27457;height:2745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">
                  <v:imagedata r:id="rId23" o:title=""/>
                  <o:lock v:ext="edit" aspectratio="f"/>
                </v:shape>
                <v:shape id="Chart 257" o:spid="_x0000_s1028" type="#_x0000_t75" style="position:absolute;left:26541;width:27457;height:2745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">
                  <v:imagedata r:id="rId24" o:title=""/>
                  <o:lock v:ext="edit" aspectratio="f"/>
                </v:shape>
                <w10:anchorlock/>
              </v:group>
            </w:pict>
          </mc:Fallback>
        </mc:AlternateContent>
      </w:r>
    </w:p>
    <w:p w14:paraId="13B85D6A" w14:textId="34D2F527" w:rsidR="00D52668" w:rsidRPr="00D52668" w:rsidRDefault="00D52668" w:rsidP="00D52668">
      <w:pPr>
        <w:pStyle w:val="Caption"/>
        <w:spacing w:line="240" w:lineRule="auto"/>
        <w:jc w:val="center"/>
        <w:rPr>
          <w:sz w:val="24"/>
        </w:rPr>
      </w:pPr>
      <w:bookmarkStart w:id="51" w:name="_Ref342811451"/>
      <w:bookmarkStart w:id="52" w:name="_Toc346310413"/>
      <w:proofErr w:type="gramStart"/>
      <w:r w:rsidRPr="00D52668">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2</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5</w:t>
      </w:r>
      <w:r w:rsidR="00C16D85">
        <w:rPr>
          <w:sz w:val="24"/>
        </w:rPr>
        <w:fldChar w:fldCharType="end"/>
      </w:r>
      <w:bookmarkEnd w:id="51"/>
      <w:r w:rsidRPr="00D52668">
        <w:rPr>
          <w:sz w:val="24"/>
        </w:rPr>
        <w:t xml:space="preserve"> Manufacturer suggested temperature cure cycle for (a) BMI prepreg material and (b) epoxy prepreg material</w:t>
      </w:r>
      <w:bookmarkEnd w:id="52"/>
    </w:p>
    <w:p w14:paraId="34A6411E" w14:textId="77777777" w:rsidR="00D52668" w:rsidRDefault="00D52668" w:rsidP="00D52668">
      <w:pPr>
        <w:jc w:val="center"/>
      </w:pPr>
    </w:p>
    <w:p w14:paraId="01DE97EE" w14:textId="2BF1D7CD" w:rsidR="00182A18" w:rsidRDefault="00FD3D77" w:rsidP="00182A18">
      <w:pPr>
        <w:pStyle w:val="Heading3"/>
      </w:pPr>
      <w:bookmarkStart w:id="53" w:name="_Toc346310965"/>
      <w:r>
        <w:lastRenderedPageBreak/>
        <w:t>Initial Assessment of Fabricated</w:t>
      </w:r>
      <w:r w:rsidR="00182A18">
        <w:t xml:space="preserve"> Laminate</w:t>
      </w:r>
      <w:r w:rsidR="00D52668">
        <w:t xml:space="preserve"> Thickness</w:t>
      </w:r>
      <w:bookmarkEnd w:id="53"/>
    </w:p>
    <w:p w14:paraId="53773CD5" w14:textId="7B338473" w:rsidR="00182A18" w:rsidRDefault="00182A18" w:rsidP="00182A18">
      <w:pPr>
        <w:ind w:firstLine="360"/>
      </w:pPr>
      <w:r>
        <w:t>The average laminate thickness for varying fabrication pressures is shown in</w:t>
      </w:r>
      <w:r w:rsidR="00CD4D53">
        <w:t xml:space="preserve"> </w:t>
      </w:r>
      <w:r w:rsidR="00CF0651">
        <w:fldChar w:fldCharType="begin"/>
      </w:r>
      <w:r w:rsidR="00CD4D53">
        <w:instrText xml:space="preserve"> REF _Ref464736588 \h </w:instrText>
      </w:r>
      <w:r w:rsidR="00CF0651">
        <w:fldChar w:fldCharType="separate"/>
      </w:r>
      <w:r w:rsidR="008A1992" w:rsidRPr="00EC2BAE">
        <w:t xml:space="preserve">Figure </w:t>
      </w:r>
      <w:r w:rsidR="008A1992">
        <w:rPr>
          <w:noProof/>
        </w:rPr>
        <w:t>2</w:t>
      </w:r>
      <w:r w:rsidR="008A1992">
        <w:t>.</w:t>
      </w:r>
      <w:r w:rsidR="008A1992">
        <w:rPr>
          <w:noProof/>
        </w:rPr>
        <w:t>6</w:t>
      </w:r>
      <w:r w:rsidR="00CF0651">
        <w:fldChar w:fldCharType="end"/>
      </w:r>
      <w:r>
        <w:t xml:space="preserve">.  </w:t>
      </w:r>
      <w:r w:rsidR="001757B4">
        <w:t>The laminate thickness decreased for a</w:t>
      </w:r>
      <w:r>
        <w:t xml:space="preserve">ll </w:t>
      </w:r>
      <w:r w:rsidR="001757B4">
        <w:t>three-</w:t>
      </w:r>
      <w:r>
        <w:t>prepreg materials</w:t>
      </w:r>
      <w:r w:rsidR="001757B4">
        <w:t>, with the largest incremental decreases occurring at low initial fabrication pressures.</w:t>
      </w:r>
      <w:r>
        <w:t xml:space="preserve">  </w:t>
      </w:r>
      <w:r w:rsidR="00037CAB">
        <w:t xml:space="preserve">The trend line fits shown in </w:t>
      </w:r>
      <w:r w:rsidR="00037CAB">
        <w:fldChar w:fldCharType="begin"/>
      </w:r>
      <w:r w:rsidR="00037CAB">
        <w:instrText xml:space="preserve"> REF _Ref340747102 \h </w:instrText>
      </w:r>
      <w:r w:rsidR="00037CAB">
        <w:fldChar w:fldCharType="separate"/>
      </w:r>
      <w:r w:rsidR="008A1992" w:rsidRPr="00E04A1D">
        <w:t xml:space="preserve">Table </w:t>
      </w:r>
      <w:r w:rsidR="008A1992">
        <w:rPr>
          <w:noProof/>
        </w:rPr>
        <w:t>2</w:t>
      </w:r>
      <w:r w:rsidR="008A1992">
        <w:t>.</w:t>
      </w:r>
      <w:r w:rsidR="008A1992">
        <w:rPr>
          <w:noProof/>
        </w:rPr>
        <w:t>4</w:t>
      </w:r>
      <w:r w:rsidR="00037CAB">
        <w:fldChar w:fldCharType="end"/>
      </w:r>
      <w:r w:rsidR="00037CAB">
        <w:t xml:space="preserve"> indicate that both quartz-reinforced prepregs (BMI and Epoxy) have similar decaying slopes as the fabrication pressure increases.  Additionally, the zero-intercept value is significantly higher when compared to the IM7 carbon-fiber fabric.  This behavior</w:t>
      </w:r>
      <w:r w:rsidR="001757B4">
        <w:t xml:space="preserve"> was expected </w:t>
      </w:r>
      <w:r w:rsidR="00037CAB">
        <w:t>because</w:t>
      </w:r>
      <w:r w:rsidR="001757B4">
        <w:t xml:space="preserve"> the fiber diameter for the AQIII </w:t>
      </w:r>
      <w:r w:rsidR="00037CAB">
        <w:t xml:space="preserve">quartz </w:t>
      </w:r>
      <w:r w:rsidR="001757B4">
        <w:t xml:space="preserve">fibers is nearly four times larger than the IM-7 </w:t>
      </w:r>
      <w:r w:rsidR="00037CAB">
        <w:t xml:space="preserve">carbon </w:t>
      </w:r>
      <w:r w:rsidR="001757B4">
        <w:t xml:space="preserve">fiber </w:t>
      </w:r>
      <w:r w:rsidR="00037CAB">
        <w:t>reinforcement</w:t>
      </w:r>
      <w:r w:rsidR="001757B4">
        <w:t>.</w:t>
      </w:r>
      <w:r w:rsidR="00AA29C5">
        <w:t xml:space="preserve">  </w:t>
      </w:r>
      <w:r w:rsidR="00F8122A">
        <w:t>After the initial thickness assessment was completed, each fabricated laminate</w:t>
      </w:r>
      <w:r w:rsidR="00037CAB">
        <w:t xml:space="preserve">, similar to the one shown in </w:t>
      </w:r>
      <w:r w:rsidR="00037CAB">
        <w:fldChar w:fldCharType="begin"/>
      </w:r>
      <w:r w:rsidR="00037CAB">
        <w:instrText xml:space="preserve"> REF _Ref342814802 \h </w:instrText>
      </w:r>
      <w:r w:rsidR="00037CAB">
        <w:fldChar w:fldCharType="separate"/>
      </w:r>
      <w:r w:rsidR="008A1992" w:rsidRPr="00153850">
        <w:t xml:space="preserve">Figure </w:t>
      </w:r>
      <w:r w:rsidR="008A1992">
        <w:rPr>
          <w:noProof/>
        </w:rPr>
        <w:t>2</w:t>
      </w:r>
      <w:r w:rsidR="008A1992">
        <w:t>.</w:t>
      </w:r>
      <w:r w:rsidR="008A1992">
        <w:rPr>
          <w:noProof/>
        </w:rPr>
        <w:t>7</w:t>
      </w:r>
      <w:r w:rsidR="00037CAB">
        <w:fldChar w:fldCharType="end"/>
      </w:r>
      <w:r w:rsidR="00F8122A">
        <w:t>, was categorized and prepared for specimen extraction to address the research objectives</w:t>
      </w:r>
      <w:r w:rsidR="00ED7DC7">
        <w:t xml:space="preserve"> pertaining to laminate microstructure, flexural properties, and absorption behavior</w:t>
      </w:r>
      <w:r w:rsidR="00F8122A">
        <w:t>.</w:t>
      </w:r>
    </w:p>
    <w:p w14:paraId="15E7FD64" w14:textId="77777777" w:rsidR="00572B07" w:rsidRDefault="00572B07" w:rsidP="00182A18">
      <w:pPr>
        <w:ind w:firstLine="360"/>
      </w:pPr>
    </w:p>
    <w:p w14:paraId="20659A24" w14:textId="09AA91A4" w:rsidR="00182A18" w:rsidRDefault="00E86022" w:rsidP="00E86022">
      <w:pPr>
        <w:keepNext/>
        <w:spacing w:after="120" w:line="240" w:lineRule="auto"/>
        <w:jc w:val="center"/>
      </w:pPr>
      <w:r>
        <w:rPr>
          <w:noProof/>
        </w:rPr>
        <w:drawing>
          <wp:inline distT="0" distB="0" distL="0" distR="0" wp14:anchorId="6FA1E4B1" wp14:editId="30CF6044">
            <wp:extent cx="4572000" cy="2743200"/>
            <wp:effectExtent l="0" t="0" r="0" b="0"/>
            <wp:docPr id="258" name="Chart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4D70AA0" w14:textId="404DEBBE" w:rsidR="00182A18" w:rsidRDefault="00182A18" w:rsidP="00182A18">
      <w:pPr>
        <w:pStyle w:val="Caption"/>
        <w:spacing w:line="240" w:lineRule="auto"/>
        <w:jc w:val="center"/>
        <w:rPr>
          <w:sz w:val="24"/>
        </w:rPr>
      </w:pPr>
      <w:bookmarkStart w:id="54" w:name="_Ref464736588"/>
      <w:bookmarkStart w:id="55" w:name="_Toc346310414"/>
      <w:proofErr w:type="gramStart"/>
      <w:r w:rsidRPr="00EC2BAE">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2</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6</w:t>
      </w:r>
      <w:r w:rsidR="00C16D85">
        <w:rPr>
          <w:sz w:val="24"/>
        </w:rPr>
        <w:fldChar w:fldCharType="end"/>
      </w:r>
      <w:bookmarkEnd w:id="54"/>
      <w:r w:rsidRPr="00EC2BAE">
        <w:rPr>
          <w:sz w:val="24"/>
        </w:rPr>
        <w:t xml:space="preserve"> Laminate thickness for varying fabrication pressures for each prepreg material</w:t>
      </w:r>
      <w:bookmarkEnd w:id="55"/>
    </w:p>
    <w:p w14:paraId="4CAA7ECA" w14:textId="77777777" w:rsidR="001757B4" w:rsidRDefault="001757B4" w:rsidP="00182A18"/>
    <w:p w14:paraId="3B644D64" w14:textId="410D3646" w:rsidR="001757B4" w:rsidRPr="00E04A1D" w:rsidRDefault="001757B4" w:rsidP="001757B4">
      <w:pPr>
        <w:pStyle w:val="Caption"/>
        <w:keepNext/>
        <w:spacing w:after="120" w:line="240" w:lineRule="auto"/>
        <w:jc w:val="center"/>
        <w:rPr>
          <w:sz w:val="24"/>
          <w:szCs w:val="24"/>
        </w:rPr>
      </w:pPr>
      <w:bookmarkStart w:id="56" w:name="_Ref340747102"/>
      <w:bookmarkStart w:id="57" w:name="_Toc346310846"/>
      <w:proofErr w:type="gramStart"/>
      <w:r w:rsidRPr="00E04A1D">
        <w:rPr>
          <w:sz w:val="24"/>
          <w:szCs w:val="24"/>
        </w:rPr>
        <w:t xml:space="preserve">Table </w:t>
      </w:r>
      <w:r w:rsidR="00707D23">
        <w:rPr>
          <w:sz w:val="24"/>
          <w:szCs w:val="24"/>
        </w:rPr>
        <w:fldChar w:fldCharType="begin"/>
      </w:r>
      <w:r w:rsidR="00707D23">
        <w:rPr>
          <w:sz w:val="24"/>
          <w:szCs w:val="24"/>
        </w:rPr>
        <w:instrText xml:space="preserve"> STYLEREF 1 \s </w:instrText>
      </w:r>
      <w:r w:rsidR="00707D23">
        <w:rPr>
          <w:sz w:val="24"/>
          <w:szCs w:val="24"/>
        </w:rPr>
        <w:fldChar w:fldCharType="separate"/>
      </w:r>
      <w:r w:rsidR="008A1992">
        <w:rPr>
          <w:noProof/>
          <w:sz w:val="24"/>
          <w:szCs w:val="24"/>
        </w:rPr>
        <w:t>2</w:t>
      </w:r>
      <w:r w:rsidR="00707D23">
        <w:rPr>
          <w:sz w:val="24"/>
          <w:szCs w:val="24"/>
        </w:rPr>
        <w:fldChar w:fldCharType="end"/>
      </w:r>
      <w:r w:rsidR="00707D23">
        <w:rPr>
          <w:sz w:val="24"/>
          <w:szCs w:val="24"/>
        </w:rPr>
        <w:t>.</w:t>
      </w:r>
      <w:proofErr w:type="gramEnd"/>
      <w:r w:rsidR="00707D23">
        <w:rPr>
          <w:sz w:val="24"/>
          <w:szCs w:val="24"/>
        </w:rPr>
        <w:fldChar w:fldCharType="begin"/>
      </w:r>
      <w:r w:rsidR="00707D23">
        <w:rPr>
          <w:sz w:val="24"/>
          <w:szCs w:val="24"/>
        </w:rPr>
        <w:instrText xml:space="preserve"> SEQ Table \* ARABIC \s 1 </w:instrText>
      </w:r>
      <w:r w:rsidR="00707D23">
        <w:rPr>
          <w:sz w:val="24"/>
          <w:szCs w:val="24"/>
        </w:rPr>
        <w:fldChar w:fldCharType="separate"/>
      </w:r>
      <w:r w:rsidR="008A1992">
        <w:rPr>
          <w:noProof/>
          <w:sz w:val="24"/>
          <w:szCs w:val="24"/>
        </w:rPr>
        <w:t>4</w:t>
      </w:r>
      <w:r w:rsidR="00707D23">
        <w:rPr>
          <w:sz w:val="24"/>
          <w:szCs w:val="24"/>
        </w:rPr>
        <w:fldChar w:fldCharType="end"/>
      </w:r>
      <w:bookmarkEnd w:id="56"/>
      <w:r>
        <w:rPr>
          <w:sz w:val="24"/>
          <w:szCs w:val="24"/>
        </w:rPr>
        <w:t xml:space="preserve"> Model of </w:t>
      </w:r>
      <w:proofErr w:type="gramStart"/>
      <w:r>
        <w:rPr>
          <w:sz w:val="24"/>
          <w:szCs w:val="24"/>
        </w:rPr>
        <w:t xml:space="preserve">best </w:t>
      </w:r>
      <w:r w:rsidR="00AA29C5">
        <w:rPr>
          <w:sz w:val="24"/>
          <w:szCs w:val="24"/>
        </w:rPr>
        <w:t>fit</w:t>
      </w:r>
      <w:proofErr w:type="gramEnd"/>
      <w:r w:rsidR="00AA29C5">
        <w:rPr>
          <w:sz w:val="24"/>
          <w:szCs w:val="24"/>
        </w:rPr>
        <w:t xml:space="preserve"> trend </w:t>
      </w:r>
      <w:r w:rsidRPr="00082F64">
        <w:rPr>
          <w:sz w:val="24"/>
          <w:szCs w:val="24"/>
        </w:rPr>
        <w:t xml:space="preserve">line for </w:t>
      </w:r>
      <w:r>
        <w:rPr>
          <w:sz w:val="24"/>
          <w:szCs w:val="24"/>
        </w:rPr>
        <w:t>laminate thickness</w:t>
      </w:r>
      <w:bookmarkEnd w:id="57"/>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2016"/>
        <w:gridCol w:w="1440"/>
      </w:tblGrid>
      <w:tr w:rsidR="001757B4" w14:paraId="1F994F42" w14:textId="77777777" w:rsidTr="00E86022">
        <w:trPr>
          <w:trHeight w:val="360"/>
          <w:jc w:val="center"/>
        </w:trPr>
        <w:tc>
          <w:tcPr>
            <w:tcW w:w="1872" w:type="dxa"/>
            <w:tcBorders>
              <w:top w:val="single" w:sz="12" w:space="0" w:color="auto"/>
              <w:bottom w:val="single" w:sz="4" w:space="0" w:color="auto"/>
            </w:tcBorders>
            <w:vAlign w:val="center"/>
          </w:tcPr>
          <w:p w14:paraId="11F9D504" w14:textId="77777777" w:rsidR="001757B4" w:rsidRDefault="001757B4" w:rsidP="001757B4">
            <w:pPr>
              <w:spacing w:line="240" w:lineRule="auto"/>
              <w:jc w:val="center"/>
            </w:pPr>
          </w:p>
        </w:tc>
        <w:tc>
          <w:tcPr>
            <w:tcW w:w="2016" w:type="dxa"/>
            <w:tcBorders>
              <w:top w:val="single" w:sz="12" w:space="0" w:color="auto"/>
              <w:bottom w:val="single" w:sz="4" w:space="0" w:color="auto"/>
            </w:tcBorders>
            <w:vAlign w:val="center"/>
          </w:tcPr>
          <w:p w14:paraId="386DAC35" w14:textId="4D4C6F3A" w:rsidR="001757B4" w:rsidRPr="006C367A" w:rsidRDefault="00AA29C5" w:rsidP="001757B4">
            <w:pPr>
              <w:spacing w:line="240" w:lineRule="auto"/>
              <w:jc w:val="center"/>
              <w:rPr>
                <w:b/>
              </w:rPr>
            </w:pPr>
            <w:r>
              <w:rPr>
                <w:b/>
              </w:rPr>
              <w:t xml:space="preserve">Trend </w:t>
            </w:r>
            <w:r w:rsidR="001757B4" w:rsidRPr="006C367A">
              <w:rPr>
                <w:b/>
              </w:rPr>
              <w:t>Line Fit</w:t>
            </w:r>
          </w:p>
        </w:tc>
        <w:tc>
          <w:tcPr>
            <w:tcW w:w="1440" w:type="dxa"/>
            <w:tcBorders>
              <w:top w:val="single" w:sz="12" w:space="0" w:color="auto"/>
              <w:bottom w:val="single" w:sz="4" w:space="0" w:color="auto"/>
            </w:tcBorders>
            <w:vAlign w:val="center"/>
          </w:tcPr>
          <w:p w14:paraId="6274381B" w14:textId="77777777" w:rsidR="001757B4" w:rsidRPr="006C367A" w:rsidRDefault="001757B4" w:rsidP="001757B4">
            <w:pPr>
              <w:spacing w:line="240" w:lineRule="auto"/>
              <w:jc w:val="center"/>
              <w:rPr>
                <w:b/>
              </w:rPr>
            </w:pPr>
            <w:r w:rsidRPr="006C367A">
              <w:rPr>
                <w:b/>
              </w:rPr>
              <w:t>R</w:t>
            </w:r>
            <w:r w:rsidRPr="006C367A">
              <w:rPr>
                <w:b/>
                <w:vertAlign w:val="superscript"/>
              </w:rPr>
              <w:t>2</w:t>
            </w:r>
            <w:r w:rsidRPr="006C367A">
              <w:rPr>
                <w:b/>
              </w:rPr>
              <w:t>-Value</w:t>
            </w:r>
          </w:p>
        </w:tc>
      </w:tr>
      <w:tr w:rsidR="001757B4" w14:paraId="41A320EF" w14:textId="77777777" w:rsidTr="00E86022">
        <w:trPr>
          <w:trHeight w:val="360"/>
          <w:jc w:val="center"/>
        </w:trPr>
        <w:tc>
          <w:tcPr>
            <w:tcW w:w="1872" w:type="dxa"/>
            <w:tcBorders>
              <w:top w:val="single" w:sz="4" w:space="0" w:color="auto"/>
            </w:tcBorders>
            <w:vAlign w:val="center"/>
          </w:tcPr>
          <w:p w14:paraId="57825C95" w14:textId="77777777" w:rsidR="001757B4" w:rsidRPr="006C367A" w:rsidRDefault="001757B4" w:rsidP="00E86022">
            <w:pPr>
              <w:spacing w:line="240" w:lineRule="auto"/>
              <w:jc w:val="right"/>
              <w:rPr>
                <w:b/>
              </w:rPr>
            </w:pPr>
            <w:r w:rsidRPr="006C367A">
              <w:rPr>
                <w:b/>
              </w:rPr>
              <w:t>Quartz/BMI</w:t>
            </w:r>
          </w:p>
        </w:tc>
        <w:tc>
          <w:tcPr>
            <w:tcW w:w="2016" w:type="dxa"/>
            <w:tcBorders>
              <w:top w:val="single" w:sz="4" w:space="0" w:color="auto"/>
            </w:tcBorders>
            <w:vAlign w:val="center"/>
          </w:tcPr>
          <w:p w14:paraId="3F26B684" w14:textId="417D44A5" w:rsidR="001757B4" w:rsidRDefault="00843315" w:rsidP="00843315">
            <w:pPr>
              <w:spacing w:line="240" w:lineRule="auto"/>
              <w:jc w:val="center"/>
            </w:pPr>
            <w:r>
              <w:t>3.2258x</w:t>
            </w:r>
            <w:r>
              <w:rPr>
                <w:vertAlign w:val="superscript"/>
              </w:rPr>
              <w:t>-0</w:t>
            </w:r>
            <w:r w:rsidR="001757B4" w:rsidRPr="006C367A">
              <w:rPr>
                <w:vertAlign w:val="superscript"/>
              </w:rPr>
              <w:t>.1</w:t>
            </w:r>
            <w:r>
              <w:rPr>
                <w:vertAlign w:val="superscript"/>
              </w:rPr>
              <w:t>04</w:t>
            </w:r>
          </w:p>
        </w:tc>
        <w:tc>
          <w:tcPr>
            <w:tcW w:w="1440" w:type="dxa"/>
            <w:tcBorders>
              <w:top w:val="single" w:sz="4" w:space="0" w:color="auto"/>
            </w:tcBorders>
            <w:vAlign w:val="center"/>
          </w:tcPr>
          <w:p w14:paraId="4B34BF7E" w14:textId="2AFB7A51" w:rsidR="001757B4" w:rsidRDefault="00843315" w:rsidP="001757B4">
            <w:pPr>
              <w:spacing w:line="240" w:lineRule="auto"/>
              <w:jc w:val="center"/>
            </w:pPr>
            <w:r>
              <w:t>0.9929</w:t>
            </w:r>
          </w:p>
        </w:tc>
      </w:tr>
      <w:tr w:rsidR="001757B4" w14:paraId="7F6B8C4F" w14:textId="77777777" w:rsidTr="00E86022">
        <w:trPr>
          <w:trHeight w:val="360"/>
          <w:jc w:val="center"/>
        </w:trPr>
        <w:tc>
          <w:tcPr>
            <w:tcW w:w="1872" w:type="dxa"/>
            <w:vAlign w:val="center"/>
          </w:tcPr>
          <w:p w14:paraId="2A335AB3" w14:textId="77777777" w:rsidR="001757B4" w:rsidRPr="006C367A" w:rsidRDefault="001757B4" w:rsidP="00E86022">
            <w:pPr>
              <w:spacing w:line="240" w:lineRule="auto"/>
              <w:jc w:val="right"/>
              <w:rPr>
                <w:b/>
              </w:rPr>
            </w:pPr>
            <w:r w:rsidRPr="006C367A">
              <w:rPr>
                <w:b/>
              </w:rPr>
              <w:t>Quartz/Epoxy</w:t>
            </w:r>
          </w:p>
        </w:tc>
        <w:tc>
          <w:tcPr>
            <w:tcW w:w="2016" w:type="dxa"/>
            <w:vAlign w:val="center"/>
          </w:tcPr>
          <w:p w14:paraId="0F2B51C2" w14:textId="4A2009E3" w:rsidR="001757B4" w:rsidRDefault="00843315" w:rsidP="001757B4">
            <w:pPr>
              <w:spacing w:line="240" w:lineRule="auto"/>
              <w:jc w:val="center"/>
            </w:pPr>
            <w:r>
              <w:t>3.6396x</w:t>
            </w:r>
            <w:r>
              <w:rPr>
                <w:vertAlign w:val="superscript"/>
              </w:rPr>
              <w:t>-0</w:t>
            </w:r>
            <w:r w:rsidRPr="006C367A">
              <w:rPr>
                <w:vertAlign w:val="superscript"/>
              </w:rPr>
              <w:t>.1</w:t>
            </w:r>
            <w:r>
              <w:rPr>
                <w:vertAlign w:val="superscript"/>
              </w:rPr>
              <w:t>16</w:t>
            </w:r>
          </w:p>
        </w:tc>
        <w:tc>
          <w:tcPr>
            <w:tcW w:w="1440" w:type="dxa"/>
            <w:vAlign w:val="center"/>
          </w:tcPr>
          <w:p w14:paraId="0BEC32F5" w14:textId="0188D162" w:rsidR="001757B4" w:rsidRDefault="00843315" w:rsidP="001757B4">
            <w:pPr>
              <w:spacing w:line="240" w:lineRule="auto"/>
              <w:jc w:val="center"/>
            </w:pPr>
            <w:r>
              <w:t>0.9879</w:t>
            </w:r>
          </w:p>
        </w:tc>
      </w:tr>
      <w:tr w:rsidR="001757B4" w14:paraId="6090BAC9" w14:textId="77777777" w:rsidTr="00E86022">
        <w:trPr>
          <w:trHeight w:val="360"/>
          <w:jc w:val="center"/>
        </w:trPr>
        <w:tc>
          <w:tcPr>
            <w:tcW w:w="1872" w:type="dxa"/>
            <w:tcBorders>
              <w:bottom w:val="single" w:sz="12" w:space="0" w:color="auto"/>
            </w:tcBorders>
            <w:vAlign w:val="center"/>
          </w:tcPr>
          <w:p w14:paraId="5BF2B273" w14:textId="77777777" w:rsidR="001757B4" w:rsidRPr="006C367A" w:rsidRDefault="001757B4" w:rsidP="00E86022">
            <w:pPr>
              <w:spacing w:line="240" w:lineRule="auto"/>
              <w:jc w:val="right"/>
              <w:rPr>
                <w:b/>
              </w:rPr>
            </w:pPr>
            <w:r w:rsidRPr="006C367A">
              <w:rPr>
                <w:b/>
              </w:rPr>
              <w:t>Carbon/Epoxy</w:t>
            </w:r>
          </w:p>
        </w:tc>
        <w:tc>
          <w:tcPr>
            <w:tcW w:w="2016" w:type="dxa"/>
            <w:tcBorders>
              <w:bottom w:val="single" w:sz="12" w:space="0" w:color="auto"/>
            </w:tcBorders>
            <w:vAlign w:val="center"/>
          </w:tcPr>
          <w:p w14:paraId="08B4DA72" w14:textId="1D60EE34" w:rsidR="001757B4" w:rsidRDefault="00843315" w:rsidP="001757B4">
            <w:pPr>
              <w:spacing w:line="240" w:lineRule="auto"/>
              <w:jc w:val="center"/>
            </w:pPr>
            <w:r>
              <w:t>2.6111x</w:t>
            </w:r>
            <w:r>
              <w:rPr>
                <w:vertAlign w:val="superscript"/>
              </w:rPr>
              <w:t>-0</w:t>
            </w:r>
            <w:r w:rsidR="001E7CC3">
              <w:rPr>
                <w:vertAlign w:val="superscript"/>
              </w:rPr>
              <w:t>.</w:t>
            </w:r>
            <w:r>
              <w:rPr>
                <w:vertAlign w:val="superscript"/>
              </w:rPr>
              <w:t>0</w:t>
            </w:r>
            <w:r w:rsidR="001E7CC3">
              <w:rPr>
                <w:vertAlign w:val="superscript"/>
              </w:rPr>
              <w:t>82</w:t>
            </w:r>
          </w:p>
        </w:tc>
        <w:tc>
          <w:tcPr>
            <w:tcW w:w="1440" w:type="dxa"/>
            <w:tcBorders>
              <w:bottom w:val="single" w:sz="12" w:space="0" w:color="auto"/>
            </w:tcBorders>
            <w:vAlign w:val="center"/>
          </w:tcPr>
          <w:p w14:paraId="1D2CF3C6" w14:textId="301CDFCB" w:rsidR="001757B4" w:rsidRDefault="001E7CC3" w:rsidP="001757B4">
            <w:pPr>
              <w:spacing w:line="240" w:lineRule="auto"/>
              <w:jc w:val="center"/>
            </w:pPr>
            <w:r>
              <w:t>0.9689</w:t>
            </w:r>
          </w:p>
        </w:tc>
      </w:tr>
    </w:tbl>
    <w:p w14:paraId="2B5A9247" w14:textId="77777777" w:rsidR="001757B4" w:rsidRDefault="001757B4" w:rsidP="001757B4"/>
    <w:p w14:paraId="2D1BEAE5" w14:textId="77777777" w:rsidR="003D2275" w:rsidRDefault="003D2275" w:rsidP="001757B4"/>
    <w:p w14:paraId="6B8D4956" w14:textId="77777777" w:rsidR="00ED7DC7" w:rsidRDefault="00ED7DC7" w:rsidP="001757B4"/>
    <w:p w14:paraId="69AF1654" w14:textId="77777777" w:rsidR="00182A18" w:rsidRDefault="00182A18" w:rsidP="00182A18">
      <w:pPr>
        <w:keepNext/>
        <w:spacing w:after="120" w:line="240" w:lineRule="auto"/>
        <w:jc w:val="center"/>
      </w:pPr>
      <w:r w:rsidRPr="00153850">
        <w:rPr>
          <w:noProof/>
        </w:rPr>
        <w:drawing>
          <wp:inline distT="0" distB="0" distL="0" distR="0" wp14:anchorId="14DBEA88" wp14:editId="53C12DCF">
            <wp:extent cx="2743200" cy="2063754"/>
            <wp:effectExtent l="19050" t="0" r="0" b="0"/>
            <wp:docPr id="89" name="Picture 3" descr="Photo Jun 04, 14 22 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Photo Jun 04, 14 22 29.jpg"/>
                    <pic:cNvPicPr>
                      <a:picLocks noChangeAspect="1"/>
                    </pic:cNvPicPr>
                  </pic:nvPicPr>
                  <pic:blipFill>
                    <a:blip r:embed="rId26"/>
                    <a:stretch>
                      <a:fillRect/>
                    </a:stretch>
                  </pic:blipFill>
                  <pic:spPr>
                    <a:xfrm>
                      <a:off x="0" y="0"/>
                      <a:ext cx="2743200" cy="2063754"/>
                    </a:xfrm>
                    <a:prstGeom prst="rect">
                      <a:avLst/>
                    </a:prstGeom>
                  </pic:spPr>
                </pic:pic>
              </a:graphicData>
            </a:graphic>
          </wp:inline>
        </w:drawing>
      </w:r>
    </w:p>
    <w:p w14:paraId="7CF89085" w14:textId="31262E79" w:rsidR="00182A18" w:rsidRDefault="00182A18" w:rsidP="00182A18">
      <w:pPr>
        <w:pStyle w:val="Caption"/>
        <w:spacing w:after="240" w:line="240" w:lineRule="auto"/>
        <w:jc w:val="center"/>
        <w:rPr>
          <w:sz w:val="24"/>
        </w:rPr>
      </w:pPr>
      <w:bookmarkStart w:id="58" w:name="_Ref342814802"/>
      <w:bookmarkStart w:id="59" w:name="_Toc346310415"/>
      <w:proofErr w:type="gramStart"/>
      <w:r w:rsidRPr="00153850">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2</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7</w:t>
      </w:r>
      <w:r w:rsidR="00C16D85">
        <w:rPr>
          <w:sz w:val="24"/>
        </w:rPr>
        <w:fldChar w:fldCharType="end"/>
      </w:r>
      <w:bookmarkEnd w:id="58"/>
      <w:r w:rsidRPr="00153850">
        <w:rPr>
          <w:sz w:val="24"/>
        </w:rPr>
        <w:t xml:space="preserve"> Finished qua</w:t>
      </w:r>
      <w:r w:rsidR="001E7CC3">
        <w:rPr>
          <w:sz w:val="24"/>
        </w:rPr>
        <w:t>rtz/BMI laminate</w:t>
      </w:r>
      <w:r w:rsidR="00037CAB">
        <w:rPr>
          <w:sz w:val="24"/>
        </w:rPr>
        <w:t xml:space="preserve"> that is representative of other laminates in study</w:t>
      </w:r>
      <w:bookmarkEnd w:id="59"/>
    </w:p>
    <w:p w14:paraId="7FF0A996" w14:textId="77777777" w:rsidR="00572B07" w:rsidRPr="00572B07" w:rsidRDefault="00572B07" w:rsidP="00572B07"/>
    <w:p w14:paraId="68ADFF9D" w14:textId="5187E45C" w:rsidR="00182A18" w:rsidRDefault="00182A18" w:rsidP="00182A18">
      <w:pPr>
        <w:pStyle w:val="Heading2"/>
      </w:pPr>
      <w:bookmarkStart w:id="60" w:name="_Ref342827112"/>
      <w:bookmarkStart w:id="61" w:name="_Ref343173914"/>
      <w:bookmarkStart w:id="62" w:name="_Toc346310966"/>
      <w:r>
        <w:t xml:space="preserve">Specimen </w:t>
      </w:r>
      <w:r w:rsidR="00F8122A">
        <w:t xml:space="preserve">Preparation and </w:t>
      </w:r>
      <w:r w:rsidR="001E7CC3">
        <w:t>Allocation</w:t>
      </w:r>
      <w:r>
        <w:t xml:space="preserve"> </w:t>
      </w:r>
      <w:r w:rsidR="00F8122A">
        <w:t>to Address the Research Objectives</w:t>
      </w:r>
      <w:bookmarkEnd w:id="60"/>
      <w:bookmarkEnd w:id="61"/>
      <w:bookmarkEnd w:id="62"/>
    </w:p>
    <w:p w14:paraId="65507F5A" w14:textId="78463896" w:rsidR="00F8122A" w:rsidRDefault="00ED7DC7" w:rsidP="00182A18">
      <w:pPr>
        <w:ind w:firstLine="360"/>
      </w:pPr>
      <w:r>
        <w:t xml:space="preserve">Section </w:t>
      </w:r>
      <w:r>
        <w:fldChar w:fldCharType="begin"/>
      </w:r>
      <w:r>
        <w:instrText xml:space="preserve"> REF _Ref342815203 \r \h </w:instrText>
      </w:r>
      <w:r>
        <w:fldChar w:fldCharType="separate"/>
      </w:r>
      <w:r w:rsidR="008A1992">
        <w:t>1.3</w:t>
      </w:r>
      <w:r>
        <w:fldChar w:fldCharType="end"/>
      </w:r>
      <w:r>
        <w:t xml:space="preserve"> introduced t</w:t>
      </w:r>
      <w:r w:rsidR="00F8122A">
        <w:t xml:space="preserve">hree primary research objectives </w:t>
      </w:r>
      <w:r>
        <w:t xml:space="preserve">that were posed to investigate the coupled effect of varying prepreg humidity exposure and fabrication pressure on several laminate properties.  </w:t>
      </w:r>
      <w:r w:rsidR="00F302E7">
        <w:t>In brevity, the research objectives we</w:t>
      </w:r>
      <w:r w:rsidR="00F8122A">
        <w:t>re:</w:t>
      </w:r>
    </w:p>
    <w:p w14:paraId="1ECE47F4" w14:textId="2CCE2BBA" w:rsidR="00C90B2F" w:rsidRDefault="00F302E7" w:rsidP="00C90B2F">
      <w:pPr>
        <w:pStyle w:val="ListParagraph"/>
        <w:numPr>
          <w:ilvl w:val="0"/>
          <w:numId w:val="27"/>
        </w:numPr>
      </w:pPr>
      <w:r>
        <w:rPr>
          <w:i/>
        </w:rPr>
        <w:t>H</w:t>
      </w:r>
      <w:r w:rsidR="00C90B2F">
        <w:rPr>
          <w:i/>
        </w:rPr>
        <w:t>umidity exposure and fabrication pressure</w:t>
      </w:r>
      <w:r>
        <w:rPr>
          <w:i/>
        </w:rPr>
        <w:t xml:space="preserve"> effects</w:t>
      </w:r>
      <w:r w:rsidR="00C90B2F">
        <w:rPr>
          <w:i/>
        </w:rPr>
        <w:t xml:space="preserve"> on laminate fiber volume fraction and void </w:t>
      </w:r>
      <w:r>
        <w:rPr>
          <w:i/>
        </w:rPr>
        <w:t>volume fraction</w:t>
      </w:r>
    </w:p>
    <w:p w14:paraId="6AAB16AF" w14:textId="19A4293F" w:rsidR="00C90B2F" w:rsidRDefault="00F302E7" w:rsidP="00C90B2F">
      <w:pPr>
        <w:pStyle w:val="ListParagraph"/>
        <w:numPr>
          <w:ilvl w:val="0"/>
          <w:numId w:val="27"/>
        </w:numPr>
      </w:pPr>
      <w:r>
        <w:rPr>
          <w:i/>
        </w:rPr>
        <w:lastRenderedPageBreak/>
        <w:t>H</w:t>
      </w:r>
      <w:r w:rsidR="00C90B2F" w:rsidRPr="00275102">
        <w:rPr>
          <w:i/>
        </w:rPr>
        <w:t>umidity exposure</w:t>
      </w:r>
      <w:r w:rsidR="00C90B2F">
        <w:rPr>
          <w:i/>
        </w:rPr>
        <w:t xml:space="preserve"> </w:t>
      </w:r>
      <w:r w:rsidR="00C90B2F" w:rsidRPr="00275102">
        <w:rPr>
          <w:i/>
        </w:rPr>
        <w:t>and fabrication</w:t>
      </w:r>
      <w:r w:rsidR="00C90B2F">
        <w:rPr>
          <w:i/>
        </w:rPr>
        <w:t xml:space="preserve"> </w:t>
      </w:r>
      <w:r w:rsidR="00C90B2F" w:rsidRPr="00275102">
        <w:rPr>
          <w:i/>
        </w:rPr>
        <w:t>pressure</w:t>
      </w:r>
      <w:r>
        <w:rPr>
          <w:i/>
        </w:rPr>
        <w:t xml:space="preserve"> effects</w:t>
      </w:r>
      <w:r w:rsidR="00C90B2F" w:rsidRPr="00275102">
        <w:rPr>
          <w:i/>
        </w:rPr>
        <w:t xml:space="preserve"> </w:t>
      </w:r>
      <w:r w:rsidR="00C90B2F">
        <w:rPr>
          <w:i/>
        </w:rPr>
        <w:t xml:space="preserve">on </w:t>
      </w:r>
      <w:r w:rsidR="00C90B2F" w:rsidRPr="00275102">
        <w:rPr>
          <w:i/>
        </w:rPr>
        <w:t>laminate</w:t>
      </w:r>
      <w:r w:rsidR="00C90B2F">
        <w:rPr>
          <w:i/>
        </w:rPr>
        <w:t xml:space="preserve"> flexural stiffness, flexural strength, and hydraulic fluid absorption</w:t>
      </w:r>
    </w:p>
    <w:p w14:paraId="4E876356" w14:textId="304E7376" w:rsidR="00F8122A" w:rsidRPr="00DD628F" w:rsidRDefault="00C90B2F" w:rsidP="00C90B2F">
      <w:pPr>
        <w:pStyle w:val="ListParagraph"/>
        <w:numPr>
          <w:ilvl w:val="0"/>
          <w:numId w:val="27"/>
        </w:numPr>
      </w:pPr>
      <w:r>
        <w:rPr>
          <w:i/>
        </w:rPr>
        <w:t xml:space="preserve">Effect of </w:t>
      </w:r>
      <w:r w:rsidRPr="00275102">
        <w:rPr>
          <w:i/>
        </w:rPr>
        <w:t xml:space="preserve">long-term </w:t>
      </w:r>
      <w:r>
        <w:rPr>
          <w:i/>
        </w:rPr>
        <w:t>hydraulic fluid</w:t>
      </w:r>
      <w:r w:rsidRPr="00275102">
        <w:rPr>
          <w:i/>
        </w:rPr>
        <w:t xml:space="preserve"> contamination </w:t>
      </w:r>
      <w:r>
        <w:rPr>
          <w:i/>
        </w:rPr>
        <w:t>on flexural properties</w:t>
      </w:r>
    </w:p>
    <w:p w14:paraId="08E70EE6" w14:textId="77777777" w:rsidR="00F8122A" w:rsidRDefault="00F8122A" w:rsidP="00182A18">
      <w:pPr>
        <w:ind w:firstLine="360"/>
      </w:pPr>
    </w:p>
    <w:p w14:paraId="569ED00E" w14:textId="314B54EB" w:rsidR="00F8122A" w:rsidRDefault="00F8122A" w:rsidP="00182A18">
      <w:pPr>
        <w:ind w:firstLine="360"/>
      </w:pPr>
      <w:r>
        <w:t xml:space="preserve">Several Research Tasks were developed to </w:t>
      </w:r>
      <w:r w:rsidR="00F302E7">
        <w:t>investigate</w:t>
      </w:r>
      <w:r>
        <w:t xml:space="preserve"> the research objectives.  Research Task 1 would be a complete characterization of the laminate microstructure</w:t>
      </w:r>
      <w:r w:rsidR="00B877BC">
        <w:t xml:space="preserve"> for the three prepreg</w:t>
      </w:r>
      <w:r w:rsidR="00FC2D89">
        <w:t>s due to variations in the humidity exposure and fabrication pressure.  Laminate fiber volume fractions and void</w:t>
      </w:r>
      <w:r w:rsidR="00DD2B53">
        <w:t xml:space="preserve"> volume</w:t>
      </w:r>
      <w:r w:rsidR="00FC2D89">
        <w:t xml:space="preserve"> fractions would be investigated on two distinct fronts.  First, would be a comprehensive assessment of the fiber volume fraction and void</w:t>
      </w:r>
      <w:r w:rsidR="00DD2B53">
        <w:t xml:space="preserve"> volume</w:t>
      </w:r>
      <w:r w:rsidR="00FC2D89">
        <w:t xml:space="preserve"> fraction using experimental methods including specimen suspension, acid digestion, and pycnometer studies.  Second, would be a visual inspection of the void shape and spatial distribution using images from scanning electron microscopy.  Results from Research Task 1 would be used to address the first research objective.  Research Task 2 would be an assessment of the laminate mechanical properties, specifically the flexural stiffness and flexural strength.  Flexural specimens would be prepared and experimental testing performed in accordance with ASTM Standards for fiber-reinforced polymers.  The first study for Task 2 would be an assessment of </w:t>
      </w:r>
      <w:r w:rsidR="00050DB0">
        <w:t xml:space="preserve">the laminates after </w:t>
      </w:r>
      <w:r w:rsidR="005E1FCF">
        <w:t>fabrication</w:t>
      </w:r>
      <w:r w:rsidR="00050DB0">
        <w:t>.  This study would serve as a comparative baseline for any future environmental degradation, i.e. hydraulic fluid contamination.</w:t>
      </w:r>
      <w:r w:rsidR="005E1FCF">
        <w:t xml:space="preserve"> </w:t>
      </w:r>
      <w:r w:rsidR="00DD2B53">
        <w:t xml:space="preserve"> The first study for T</w:t>
      </w:r>
      <w:r w:rsidR="00050DB0">
        <w:t>ask 2</w:t>
      </w:r>
      <w:r w:rsidR="005E1FCF">
        <w:t xml:space="preserve"> would be used to partially address the second research objective.  The second study for Task 2 would be an assessment of the flexural performance after long-term hydraulic fluid contamination, which would be used to address the third research objective.  Research Task 3 would be an investigation of the </w:t>
      </w:r>
      <w:r w:rsidR="005E1FCF">
        <w:lastRenderedPageBreak/>
        <w:t>long-term absorption behavior</w:t>
      </w:r>
      <w:r w:rsidR="00050DB0">
        <w:t>.  The</w:t>
      </w:r>
      <w:r w:rsidR="005E1FCF">
        <w:t xml:space="preserve"> emphasis</w:t>
      </w:r>
      <w:r w:rsidR="00050DB0">
        <w:t xml:space="preserve"> for this research task was investigating </w:t>
      </w:r>
      <w:r w:rsidR="005E1FCF">
        <w:t xml:space="preserve">the effect </w:t>
      </w:r>
      <w:r w:rsidR="00050DB0">
        <w:t>of</w:t>
      </w:r>
      <w:r w:rsidR="005E1FCF">
        <w:t xml:space="preserve"> prepreg humidity exposure and fabrication pressure on the equilibrium fluid content.  Results from Research Task 3, along with the aforementioned Research Task 2, will be used to address the second research objective.</w:t>
      </w:r>
    </w:p>
    <w:p w14:paraId="6EF9AE00" w14:textId="75ED6446" w:rsidR="005E1FCF" w:rsidRDefault="005E1FCF" w:rsidP="00182A18">
      <w:pPr>
        <w:ind w:firstLine="360"/>
      </w:pPr>
      <w:r>
        <w:t xml:space="preserve">Utilizing ASTM Standards and prior experience </w:t>
      </w:r>
      <w:r w:rsidR="008E3000">
        <w:t>with experimental testing, the</w:t>
      </w:r>
      <w:r>
        <w:t xml:space="preserve"> specimen allocations and dimensions</w:t>
      </w:r>
      <w:r w:rsidR="008E3000">
        <w:t xml:space="preserve"> shown in </w:t>
      </w:r>
      <w:r w:rsidR="008E3000">
        <w:fldChar w:fldCharType="begin"/>
      </w:r>
      <w:r w:rsidR="008E3000">
        <w:instrText xml:space="preserve"> REF _Ref342816961 \h </w:instrText>
      </w:r>
      <w:r w:rsidR="008E3000">
        <w:fldChar w:fldCharType="separate"/>
      </w:r>
      <w:r w:rsidR="008A1992" w:rsidRPr="008E3000">
        <w:t xml:space="preserve">Table </w:t>
      </w:r>
      <w:r w:rsidR="008A1992">
        <w:rPr>
          <w:noProof/>
        </w:rPr>
        <w:t>2</w:t>
      </w:r>
      <w:r w:rsidR="008A1992">
        <w:t>.</w:t>
      </w:r>
      <w:r w:rsidR="008A1992">
        <w:rPr>
          <w:noProof/>
        </w:rPr>
        <w:t>5</w:t>
      </w:r>
      <w:r w:rsidR="008E3000">
        <w:fldChar w:fldCharType="end"/>
      </w:r>
      <w:r>
        <w:t xml:space="preserve"> were deemed appropriate </w:t>
      </w:r>
      <w:r w:rsidR="00050DB0">
        <w:t>for each Research Task</w:t>
      </w:r>
      <w:r>
        <w:t>.</w:t>
      </w:r>
    </w:p>
    <w:p w14:paraId="3B1EF14D" w14:textId="77777777" w:rsidR="003D2275" w:rsidRDefault="003D2275" w:rsidP="00182A18">
      <w:pPr>
        <w:ind w:firstLine="360"/>
      </w:pPr>
    </w:p>
    <w:p w14:paraId="06824AB2" w14:textId="31F018AC" w:rsidR="008E3000" w:rsidRPr="008E3000" w:rsidRDefault="008E3000" w:rsidP="008E3000">
      <w:pPr>
        <w:pStyle w:val="Caption"/>
        <w:keepNext/>
        <w:spacing w:after="120" w:line="240" w:lineRule="auto"/>
        <w:jc w:val="center"/>
        <w:rPr>
          <w:sz w:val="24"/>
        </w:rPr>
      </w:pPr>
      <w:bookmarkStart w:id="63" w:name="_Ref342816961"/>
      <w:bookmarkStart w:id="64" w:name="_Toc346310847"/>
      <w:proofErr w:type="gramStart"/>
      <w:r w:rsidRPr="008E3000">
        <w:rPr>
          <w:sz w:val="24"/>
        </w:rPr>
        <w:t xml:space="preserve">Table </w:t>
      </w:r>
      <w:r w:rsidR="00707D23">
        <w:rPr>
          <w:sz w:val="24"/>
        </w:rPr>
        <w:fldChar w:fldCharType="begin"/>
      </w:r>
      <w:r w:rsidR="00707D23">
        <w:rPr>
          <w:sz w:val="24"/>
        </w:rPr>
        <w:instrText xml:space="preserve"> STYLEREF 1 \s </w:instrText>
      </w:r>
      <w:r w:rsidR="00707D23">
        <w:rPr>
          <w:sz w:val="24"/>
        </w:rPr>
        <w:fldChar w:fldCharType="separate"/>
      </w:r>
      <w:r w:rsidR="008A1992">
        <w:rPr>
          <w:noProof/>
          <w:sz w:val="24"/>
        </w:rPr>
        <w:t>2</w:t>
      </w:r>
      <w:r w:rsidR="00707D23">
        <w:rPr>
          <w:sz w:val="24"/>
        </w:rPr>
        <w:fldChar w:fldCharType="end"/>
      </w:r>
      <w:r w:rsidR="00707D23">
        <w:rPr>
          <w:sz w:val="24"/>
        </w:rPr>
        <w:t>.</w:t>
      </w:r>
      <w:proofErr w:type="gramEnd"/>
      <w:r w:rsidR="00707D23">
        <w:rPr>
          <w:sz w:val="24"/>
        </w:rPr>
        <w:fldChar w:fldCharType="begin"/>
      </w:r>
      <w:r w:rsidR="00707D23">
        <w:rPr>
          <w:sz w:val="24"/>
        </w:rPr>
        <w:instrText xml:space="preserve"> SEQ Table \* ARABIC \s 1 </w:instrText>
      </w:r>
      <w:r w:rsidR="00707D23">
        <w:rPr>
          <w:sz w:val="24"/>
        </w:rPr>
        <w:fldChar w:fldCharType="separate"/>
      </w:r>
      <w:r w:rsidR="008A1992">
        <w:rPr>
          <w:noProof/>
          <w:sz w:val="24"/>
        </w:rPr>
        <w:t>5</w:t>
      </w:r>
      <w:r w:rsidR="00707D23">
        <w:rPr>
          <w:sz w:val="24"/>
        </w:rPr>
        <w:fldChar w:fldCharType="end"/>
      </w:r>
      <w:bookmarkEnd w:id="63"/>
      <w:r w:rsidRPr="008E3000">
        <w:rPr>
          <w:sz w:val="24"/>
        </w:rPr>
        <w:t xml:space="preserve"> Specimen allocation and dimensions used for each Research Task</w:t>
      </w:r>
      <w:r w:rsidR="00DD2B53">
        <w:rPr>
          <w:sz w:val="24"/>
        </w:rPr>
        <w:t>. Note: Specimen quantities are for a single laminate (i.e. one humidity exposure and one cure pressure)</w:t>
      </w:r>
      <w:bookmarkEnd w:id="6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3600"/>
        <w:gridCol w:w="1440"/>
        <w:gridCol w:w="1137"/>
      </w:tblGrid>
      <w:tr w:rsidR="008E3000" w14:paraId="5801ECB3" w14:textId="77777777" w:rsidTr="00274ABB">
        <w:tc>
          <w:tcPr>
            <w:tcW w:w="2448" w:type="dxa"/>
            <w:tcBorders>
              <w:top w:val="single" w:sz="12" w:space="0" w:color="auto"/>
              <w:bottom w:val="single" w:sz="4" w:space="0" w:color="auto"/>
            </w:tcBorders>
            <w:vAlign w:val="center"/>
          </w:tcPr>
          <w:p w14:paraId="2E58EC13" w14:textId="77777777" w:rsidR="008E3000" w:rsidRDefault="008E3000" w:rsidP="008E3000">
            <w:pPr>
              <w:spacing w:line="240" w:lineRule="auto"/>
              <w:jc w:val="center"/>
            </w:pPr>
          </w:p>
        </w:tc>
        <w:tc>
          <w:tcPr>
            <w:tcW w:w="3600" w:type="dxa"/>
            <w:tcBorders>
              <w:top w:val="single" w:sz="12" w:space="0" w:color="auto"/>
              <w:bottom w:val="single" w:sz="4" w:space="0" w:color="auto"/>
            </w:tcBorders>
          </w:tcPr>
          <w:p w14:paraId="24654E00" w14:textId="471A3720" w:rsidR="008E3000" w:rsidRPr="008E3000" w:rsidRDefault="008E3000" w:rsidP="00CD25F1">
            <w:pPr>
              <w:spacing w:line="240" w:lineRule="auto"/>
              <w:jc w:val="left"/>
              <w:rPr>
                <w:b/>
              </w:rPr>
            </w:pPr>
            <w:r w:rsidRPr="008E3000">
              <w:rPr>
                <w:b/>
              </w:rPr>
              <w:t>Study</w:t>
            </w:r>
          </w:p>
        </w:tc>
        <w:tc>
          <w:tcPr>
            <w:tcW w:w="1440" w:type="dxa"/>
            <w:tcBorders>
              <w:top w:val="single" w:sz="12" w:space="0" w:color="auto"/>
              <w:bottom w:val="single" w:sz="4" w:space="0" w:color="auto"/>
            </w:tcBorders>
            <w:vAlign w:val="center"/>
          </w:tcPr>
          <w:p w14:paraId="362DE886" w14:textId="42971A8C" w:rsidR="008E3000" w:rsidRPr="008E3000" w:rsidRDefault="008E3000" w:rsidP="008E3000">
            <w:pPr>
              <w:spacing w:line="240" w:lineRule="auto"/>
              <w:jc w:val="center"/>
              <w:rPr>
                <w:b/>
              </w:rPr>
            </w:pPr>
            <w:r w:rsidRPr="008E3000">
              <w:rPr>
                <w:b/>
              </w:rPr>
              <w:t>Dimension</w:t>
            </w:r>
          </w:p>
          <w:p w14:paraId="5D6E1936" w14:textId="1A3E3459" w:rsidR="008E3000" w:rsidRPr="008E3000" w:rsidRDefault="008E3000" w:rsidP="008E3000">
            <w:pPr>
              <w:spacing w:line="240" w:lineRule="auto"/>
              <w:jc w:val="center"/>
              <w:rPr>
                <w:i/>
              </w:rPr>
            </w:pPr>
            <w:r w:rsidRPr="008E3000">
              <w:rPr>
                <w:i/>
              </w:rPr>
              <w:t>(</w:t>
            </w:r>
            <w:proofErr w:type="gramStart"/>
            <w:r w:rsidRPr="008E3000">
              <w:rPr>
                <w:i/>
              </w:rPr>
              <w:t>mm</w:t>
            </w:r>
            <w:proofErr w:type="gramEnd"/>
            <w:r w:rsidRPr="008E3000">
              <w:rPr>
                <w:i/>
              </w:rPr>
              <w:t>)</w:t>
            </w:r>
          </w:p>
        </w:tc>
        <w:tc>
          <w:tcPr>
            <w:tcW w:w="1137" w:type="dxa"/>
            <w:tcBorders>
              <w:top w:val="single" w:sz="12" w:space="0" w:color="auto"/>
              <w:bottom w:val="single" w:sz="4" w:space="0" w:color="auto"/>
            </w:tcBorders>
          </w:tcPr>
          <w:p w14:paraId="63CA03D5" w14:textId="4494F9A8" w:rsidR="008E3000" w:rsidRPr="008E3000" w:rsidRDefault="008E3000" w:rsidP="00CD25F1">
            <w:pPr>
              <w:spacing w:line="240" w:lineRule="auto"/>
              <w:jc w:val="center"/>
              <w:rPr>
                <w:b/>
              </w:rPr>
            </w:pPr>
            <w:r w:rsidRPr="008E3000">
              <w:rPr>
                <w:b/>
              </w:rPr>
              <w:t>Quantity</w:t>
            </w:r>
          </w:p>
        </w:tc>
      </w:tr>
      <w:tr w:rsidR="00274ABB" w14:paraId="52BF7457" w14:textId="77777777" w:rsidTr="00274ABB">
        <w:tc>
          <w:tcPr>
            <w:tcW w:w="2448" w:type="dxa"/>
            <w:vMerge w:val="restart"/>
            <w:tcBorders>
              <w:top w:val="single" w:sz="4" w:space="0" w:color="auto"/>
            </w:tcBorders>
          </w:tcPr>
          <w:p w14:paraId="5CE28590" w14:textId="386AFC2A" w:rsidR="00274ABB" w:rsidRPr="00274ABB" w:rsidRDefault="00274ABB" w:rsidP="00274ABB">
            <w:pPr>
              <w:spacing w:line="240" w:lineRule="auto"/>
              <w:jc w:val="left"/>
              <w:rPr>
                <w:i/>
              </w:rPr>
            </w:pPr>
            <w:r w:rsidRPr="00274ABB">
              <w:rPr>
                <w:i/>
              </w:rPr>
              <w:t>Task 1: Laminate Microstructure</w:t>
            </w:r>
            <w:r>
              <w:rPr>
                <w:i/>
              </w:rPr>
              <w:t xml:space="preserve"> Characterization</w:t>
            </w:r>
          </w:p>
        </w:tc>
        <w:tc>
          <w:tcPr>
            <w:tcW w:w="3600" w:type="dxa"/>
            <w:tcBorders>
              <w:top w:val="single" w:sz="4" w:space="0" w:color="auto"/>
              <w:bottom w:val="single" w:sz="4" w:space="0" w:color="auto"/>
            </w:tcBorders>
            <w:vAlign w:val="center"/>
          </w:tcPr>
          <w:p w14:paraId="792ACCC9" w14:textId="64FC21B6" w:rsidR="00274ABB" w:rsidRDefault="00274ABB" w:rsidP="00274ABB">
            <w:pPr>
              <w:spacing w:line="240" w:lineRule="auto"/>
              <w:jc w:val="left"/>
            </w:pPr>
            <w:r>
              <w:t>Experimental analysis of fiber volume fraction and void fraction</w:t>
            </w:r>
          </w:p>
        </w:tc>
        <w:tc>
          <w:tcPr>
            <w:tcW w:w="1440" w:type="dxa"/>
            <w:tcBorders>
              <w:top w:val="single" w:sz="4" w:space="0" w:color="auto"/>
              <w:bottom w:val="single" w:sz="4" w:space="0" w:color="auto"/>
            </w:tcBorders>
            <w:vAlign w:val="center"/>
          </w:tcPr>
          <w:p w14:paraId="79FF354D" w14:textId="1F296D9E" w:rsidR="00274ABB" w:rsidRDefault="00274ABB" w:rsidP="008E3000">
            <w:pPr>
              <w:spacing w:line="240" w:lineRule="auto"/>
              <w:jc w:val="center"/>
            </w:pPr>
            <w:r>
              <w:t>57.2 x 12.7</w:t>
            </w:r>
          </w:p>
        </w:tc>
        <w:tc>
          <w:tcPr>
            <w:tcW w:w="1137" w:type="dxa"/>
            <w:tcBorders>
              <w:top w:val="single" w:sz="4" w:space="0" w:color="auto"/>
              <w:bottom w:val="single" w:sz="4" w:space="0" w:color="auto"/>
            </w:tcBorders>
            <w:vAlign w:val="center"/>
          </w:tcPr>
          <w:p w14:paraId="4EACB598" w14:textId="41E36729" w:rsidR="00274ABB" w:rsidRDefault="00274ABB" w:rsidP="008E3000">
            <w:pPr>
              <w:spacing w:line="240" w:lineRule="auto"/>
              <w:jc w:val="center"/>
            </w:pPr>
            <w:r>
              <w:t>8</w:t>
            </w:r>
          </w:p>
        </w:tc>
      </w:tr>
      <w:tr w:rsidR="00274ABB" w14:paraId="7B36860F" w14:textId="77777777" w:rsidTr="00274ABB">
        <w:tc>
          <w:tcPr>
            <w:tcW w:w="2448" w:type="dxa"/>
            <w:vMerge/>
            <w:tcBorders>
              <w:bottom w:val="single" w:sz="4" w:space="0" w:color="auto"/>
            </w:tcBorders>
            <w:vAlign w:val="center"/>
          </w:tcPr>
          <w:p w14:paraId="15DF0B92" w14:textId="77777777" w:rsidR="00274ABB" w:rsidRDefault="00274ABB" w:rsidP="008E3000">
            <w:pPr>
              <w:spacing w:line="240" w:lineRule="auto"/>
              <w:jc w:val="center"/>
            </w:pPr>
          </w:p>
        </w:tc>
        <w:tc>
          <w:tcPr>
            <w:tcW w:w="3600" w:type="dxa"/>
            <w:tcBorders>
              <w:top w:val="single" w:sz="4" w:space="0" w:color="auto"/>
              <w:bottom w:val="single" w:sz="4" w:space="0" w:color="auto"/>
            </w:tcBorders>
            <w:vAlign w:val="center"/>
          </w:tcPr>
          <w:p w14:paraId="28CB8AFA" w14:textId="16759EB2" w:rsidR="00274ABB" w:rsidRDefault="00274ABB" w:rsidP="00CD25F1">
            <w:pPr>
              <w:spacing w:line="240" w:lineRule="auto"/>
              <w:jc w:val="left"/>
            </w:pPr>
            <w:r>
              <w:t>SEM image analysis</w:t>
            </w:r>
          </w:p>
        </w:tc>
        <w:tc>
          <w:tcPr>
            <w:tcW w:w="1440" w:type="dxa"/>
            <w:tcBorders>
              <w:top w:val="single" w:sz="4" w:space="0" w:color="auto"/>
              <w:bottom w:val="single" w:sz="4" w:space="0" w:color="auto"/>
            </w:tcBorders>
            <w:vAlign w:val="center"/>
          </w:tcPr>
          <w:p w14:paraId="239F4F5F" w14:textId="3D8FEC13" w:rsidR="00274ABB" w:rsidRDefault="00274ABB" w:rsidP="008E3000">
            <w:pPr>
              <w:spacing w:line="240" w:lineRule="auto"/>
              <w:jc w:val="center"/>
            </w:pPr>
            <w:r>
              <w:t>31.8 x 12.7</w:t>
            </w:r>
          </w:p>
        </w:tc>
        <w:tc>
          <w:tcPr>
            <w:tcW w:w="1137" w:type="dxa"/>
            <w:tcBorders>
              <w:top w:val="single" w:sz="4" w:space="0" w:color="auto"/>
              <w:bottom w:val="single" w:sz="4" w:space="0" w:color="auto"/>
            </w:tcBorders>
            <w:vAlign w:val="center"/>
          </w:tcPr>
          <w:p w14:paraId="31B4ABFB" w14:textId="55606F0A" w:rsidR="00274ABB" w:rsidRDefault="00274ABB" w:rsidP="008E3000">
            <w:pPr>
              <w:spacing w:line="240" w:lineRule="auto"/>
              <w:jc w:val="center"/>
            </w:pPr>
            <w:r>
              <w:t>6</w:t>
            </w:r>
          </w:p>
        </w:tc>
      </w:tr>
      <w:tr w:rsidR="00274ABB" w14:paraId="37A24F95" w14:textId="77777777" w:rsidTr="00274ABB">
        <w:tc>
          <w:tcPr>
            <w:tcW w:w="2448" w:type="dxa"/>
            <w:vMerge w:val="restart"/>
            <w:tcBorders>
              <w:top w:val="single" w:sz="4" w:space="0" w:color="auto"/>
            </w:tcBorders>
            <w:vAlign w:val="center"/>
          </w:tcPr>
          <w:p w14:paraId="75C1F165" w14:textId="6000381C" w:rsidR="00274ABB" w:rsidRPr="00274ABB" w:rsidRDefault="00274ABB" w:rsidP="00274ABB">
            <w:pPr>
              <w:spacing w:line="240" w:lineRule="auto"/>
              <w:jc w:val="left"/>
              <w:rPr>
                <w:i/>
              </w:rPr>
            </w:pPr>
            <w:r>
              <w:rPr>
                <w:i/>
              </w:rPr>
              <w:t>Task 2: Laminate Mechanical Property Assessment</w:t>
            </w:r>
          </w:p>
        </w:tc>
        <w:tc>
          <w:tcPr>
            <w:tcW w:w="3600" w:type="dxa"/>
            <w:tcBorders>
              <w:top w:val="single" w:sz="4" w:space="0" w:color="auto"/>
              <w:bottom w:val="single" w:sz="4" w:space="0" w:color="auto"/>
            </w:tcBorders>
            <w:vAlign w:val="center"/>
          </w:tcPr>
          <w:p w14:paraId="2C56AAF3" w14:textId="20F1B740" w:rsidR="00274ABB" w:rsidRDefault="00274ABB" w:rsidP="00CD25F1">
            <w:pPr>
              <w:spacing w:line="240" w:lineRule="auto"/>
              <w:jc w:val="left"/>
            </w:pPr>
            <w:r>
              <w:t>Baseline flexural property analysis before degradation</w:t>
            </w:r>
          </w:p>
        </w:tc>
        <w:tc>
          <w:tcPr>
            <w:tcW w:w="1440" w:type="dxa"/>
            <w:tcBorders>
              <w:top w:val="single" w:sz="4" w:space="0" w:color="auto"/>
              <w:bottom w:val="single" w:sz="4" w:space="0" w:color="auto"/>
            </w:tcBorders>
            <w:vAlign w:val="center"/>
          </w:tcPr>
          <w:p w14:paraId="13E8FE7A" w14:textId="4A6DAE8B" w:rsidR="00274ABB" w:rsidRDefault="00274ABB" w:rsidP="008E3000">
            <w:pPr>
              <w:spacing w:line="240" w:lineRule="auto"/>
              <w:jc w:val="center"/>
            </w:pPr>
            <w:r>
              <w:t>57.2 x 12.7</w:t>
            </w:r>
          </w:p>
        </w:tc>
        <w:tc>
          <w:tcPr>
            <w:tcW w:w="1137" w:type="dxa"/>
            <w:tcBorders>
              <w:top w:val="single" w:sz="4" w:space="0" w:color="auto"/>
              <w:bottom w:val="single" w:sz="4" w:space="0" w:color="auto"/>
            </w:tcBorders>
            <w:vAlign w:val="center"/>
          </w:tcPr>
          <w:p w14:paraId="6C774BC2" w14:textId="6CCDF797" w:rsidR="00274ABB" w:rsidRDefault="00274ABB" w:rsidP="008E3000">
            <w:pPr>
              <w:spacing w:line="240" w:lineRule="auto"/>
              <w:jc w:val="center"/>
            </w:pPr>
            <w:r>
              <w:t>6</w:t>
            </w:r>
          </w:p>
        </w:tc>
      </w:tr>
      <w:tr w:rsidR="00274ABB" w14:paraId="0F23D5C6" w14:textId="77777777" w:rsidTr="00FC2E5C">
        <w:tc>
          <w:tcPr>
            <w:tcW w:w="2448" w:type="dxa"/>
            <w:vMerge/>
            <w:tcBorders>
              <w:bottom w:val="single" w:sz="4" w:space="0" w:color="auto"/>
            </w:tcBorders>
          </w:tcPr>
          <w:p w14:paraId="0610FBC9" w14:textId="77777777" w:rsidR="00274ABB" w:rsidRDefault="00274ABB" w:rsidP="00274ABB">
            <w:pPr>
              <w:spacing w:line="240" w:lineRule="auto"/>
              <w:jc w:val="left"/>
              <w:rPr>
                <w:i/>
              </w:rPr>
            </w:pPr>
          </w:p>
        </w:tc>
        <w:tc>
          <w:tcPr>
            <w:tcW w:w="3600" w:type="dxa"/>
            <w:tcBorders>
              <w:top w:val="single" w:sz="4" w:space="0" w:color="auto"/>
              <w:bottom w:val="single" w:sz="4" w:space="0" w:color="auto"/>
            </w:tcBorders>
            <w:vAlign w:val="center"/>
          </w:tcPr>
          <w:p w14:paraId="5497F3B5" w14:textId="6C8BC40D" w:rsidR="00274ABB" w:rsidRDefault="00274ABB" w:rsidP="00274ABB">
            <w:pPr>
              <w:spacing w:line="240" w:lineRule="auto"/>
              <w:jc w:val="left"/>
            </w:pPr>
            <w:r>
              <w:t>Flexural property analysis after long-term hydraulic fluid exposure</w:t>
            </w:r>
          </w:p>
        </w:tc>
        <w:tc>
          <w:tcPr>
            <w:tcW w:w="1440" w:type="dxa"/>
            <w:tcBorders>
              <w:top w:val="single" w:sz="4" w:space="0" w:color="auto"/>
              <w:bottom w:val="single" w:sz="4" w:space="0" w:color="auto"/>
            </w:tcBorders>
            <w:vAlign w:val="center"/>
          </w:tcPr>
          <w:p w14:paraId="646D4E9A" w14:textId="48ED14B8" w:rsidR="00274ABB" w:rsidRDefault="00274ABB" w:rsidP="008E3000">
            <w:pPr>
              <w:spacing w:line="240" w:lineRule="auto"/>
              <w:jc w:val="center"/>
            </w:pPr>
            <w:r>
              <w:t>57.2 x 12.7</w:t>
            </w:r>
          </w:p>
        </w:tc>
        <w:tc>
          <w:tcPr>
            <w:tcW w:w="1137" w:type="dxa"/>
            <w:tcBorders>
              <w:top w:val="single" w:sz="4" w:space="0" w:color="auto"/>
              <w:bottom w:val="single" w:sz="4" w:space="0" w:color="auto"/>
            </w:tcBorders>
            <w:vAlign w:val="center"/>
          </w:tcPr>
          <w:p w14:paraId="506D60B5" w14:textId="4A40A332" w:rsidR="00274ABB" w:rsidRDefault="00274ABB" w:rsidP="008E3000">
            <w:pPr>
              <w:spacing w:line="240" w:lineRule="auto"/>
              <w:jc w:val="center"/>
            </w:pPr>
            <w:r>
              <w:t>6</w:t>
            </w:r>
          </w:p>
        </w:tc>
      </w:tr>
      <w:tr w:rsidR="00274ABB" w14:paraId="3A6E5D08" w14:textId="77777777" w:rsidTr="00FC2E5C">
        <w:tc>
          <w:tcPr>
            <w:tcW w:w="2448" w:type="dxa"/>
            <w:tcBorders>
              <w:top w:val="single" w:sz="4" w:space="0" w:color="auto"/>
              <w:bottom w:val="single" w:sz="12" w:space="0" w:color="auto"/>
            </w:tcBorders>
          </w:tcPr>
          <w:p w14:paraId="3B0AFFDC" w14:textId="1D2F0C55" w:rsidR="00274ABB" w:rsidRDefault="00274ABB" w:rsidP="00274ABB">
            <w:pPr>
              <w:spacing w:line="240" w:lineRule="auto"/>
              <w:jc w:val="left"/>
              <w:rPr>
                <w:i/>
              </w:rPr>
            </w:pPr>
            <w:r>
              <w:rPr>
                <w:i/>
              </w:rPr>
              <w:t>Task 3: Laminate Absorption Behavior</w:t>
            </w:r>
          </w:p>
        </w:tc>
        <w:tc>
          <w:tcPr>
            <w:tcW w:w="3600" w:type="dxa"/>
            <w:tcBorders>
              <w:top w:val="single" w:sz="4" w:space="0" w:color="auto"/>
              <w:bottom w:val="single" w:sz="12" w:space="0" w:color="auto"/>
            </w:tcBorders>
            <w:vAlign w:val="center"/>
          </w:tcPr>
          <w:p w14:paraId="30065DAF" w14:textId="35C71D9E" w:rsidR="00274ABB" w:rsidRDefault="00274ABB" w:rsidP="00274ABB">
            <w:pPr>
              <w:spacing w:line="240" w:lineRule="auto"/>
              <w:jc w:val="left"/>
            </w:pPr>
            <w:r>
              <w:t>Long-term hydraulic fluid</w:t>
            </w:r>
            <w:r w:rsidR="00FC2E5C">
              <w:t xml:space="preserve"> contamination</w:t>
            </w:r>
          </w:p>
        </w:tc>
        <w:tc>
          <w:tcPr>
            <w:tcW w:w="1440" w:type="dxa"/>
            <w:tcBorders>
              <w:top w:val="single" w:sz="4" w:space="0" w:color="auto"/>
              <w:bottom w:val="single" w:sz="12" w:space="0" w:color="auto"/>
            </w:tcBorders>
            <w:vAlign w:val="center"/>
          </w:tcPr>
          <w:p w14:paraId="7F44D657" w14:textId="32C814BC" w:rsidR="00274ABB" w:rsidRDefault="00FC2E5C" w:rsidP="008E3000">
            <w:pPr>
              <w:spacing w:line="240" w:lineRule="auto"/>
              <w:jc w:val="center"/>
            </w:pPr>
            <w:r>
              <w:t>31.8 x 31.8</w:t>
            </w:r>
          </w:p>
        </w:tc>
        <w:tc>
          <w:tcPr>
            <w:tcW w:w="1137" w:type="dxa"/>
            <w:tcBorders>
              <w:top w:val="single" w:sz="4" w:space="0" w:color="auto"/>
              <w:bottom w:val="single" w:sz="12" w:space="0" w:color="auto"/>
            </w:tcBorders>
            <w:vAlign w:val="center"/>
          </w:tcPr>
          <w:p w14:paraId="0EDFCAA9" w14:textId="40D03E13" w:rsidR="00274ABB" w:rsidRDefault="00FC2E5C" w:rsidP="008E3000">
            <w:pPr>
              <w:spacing w:line="240" w:lineRule="auto"/>
              <w:jc w:val="center"/>
            </w:pPr>
            <w:r>
              <w:t>6</w:t>
            </w:r>
          </w:p>
        </w:tc>
      </w:tr>
    </w:tbl>
    <w:p w14:paraId="64494D36" w14:textId="77777777" w:rsidR="008E3000" w:rsidRDefault="008E3000" w:rsidP="008E3000"/>
    <w:p w14:paraId="76341794" w14:textId="4CB5DF16" w:rsidR="00182A18" w:rsidRDefault="00CD25F1" w:rsidP="00182A18">
      <w:pPr>
        <w:ind w:firstLine="360"/>
      </w:pPr>
      <w:r>
        <w:t>Therefore</w:t>
      </w:r>
      <w:r w:rsidR="001E7CC3">
        <w:t>, a</w:t>
      </w:r>
      <w:r w:rsidR="00182A18">
        <w:t xml:space="preserve"> total of </w:t>
      </w:r>
      <w:r w:rsidR="00FC2E5C">
        <w:t>32</w:t>
      </w:r>
      <w:r w:rsidR="00182A18">
        <w:t xml:space="preserve"> specimens </w:t>
      </w:r>
      <w:r>
        <w:t xml:space="preserve">from each laminate </w:t>
      </w:r>
      <w:r w:rsidR="00182A18">
        <w:t xml:space="preserve">were </w:t>
      </w:r>
      <w:r>
        <w:t xml:space="preserve">required </w:t>
      </w:r>
      <w:r w:rsidR="005E1FCF">
        <w:t>to satisfy the R</w:t>
      </w:r>
      <w:r w:rsidR="00182A18">
        <w:t>esearch Tasks</w:t>
      </w:r>
      <w:r>
        <w:t xml:space="preserve">.  Randomization of the specimen location within the laminate is an important criterion to ensure that any local defects or variations would not significantly influence a specific research study.  Therefore, no two samples </w:t>
      </w:r>
      <w:r w:rsidR="00DD2B53">
        <w:t>from</w:t>
      </w:r>
      <w:r>
        <w:t xml:space="preserve"> the same research study shared a common edge, i.e. at least one specimen from another research study separate</w:t>
      </w:r>
      <w:r w:rsidR="00DD2B53">
        <w:t>s</w:t>
      </w:r>
      <w:r>
        <w:t xml:space="preserve"> two specimens from the same study</w:t>
      </w:r>
      <w:r w:rsidR="00182A18">
        <w:t xml:space="preserve">.  </w:t>
      </w:r>
      <w:r>
        <w:t xml:space="preserve">Additionally, each fabricated laminate </w:t>
      </w:r>
      <w:r>
        <w:lastRenderedPageBreak/>
        <w:t xml:space="preserve">for each prepreg material had identical cut patterns.  </w:t>
      </w:r>
      <w:r w:rsidR="00182A18">
        <w:t xml:space="preserve">The </w:t>
      </w:r>
      <w:r>
        <w:t xml:space="preserve">global location for each </w:t>
      </w:r>
      <w:r w:rsidR="00182A18">
        <w:t xml:space="preserve">specimen </w:t>
      </w:r>
      <w:r>
        <w:t>and study assignment</w:t>
      </w:r>
      <w:r w:rsidR="00182A18">
        <w:t xml:space="preserve"> is shown</w:t>
      </w:r>
      <w:r w:rsidR="00D60198">
        <w:t xml:space="preserve"> in</w:t>
      </w:r>
      <w:r w:rsidR="009C6868">
        <w:t xml:space="preserve"> </w:t>
      </w:r>
      <w:r w:rsidR="009C6868">
        <w:fldChar w:fldCharType="begin"/>
      </w:r>
      <w:r w:rsidR="009C6868">
        <w:instrText xml:space="preserve"> REF _Ref343419674 \h </w:instrText>
      </w:r>
      <w:r w:rsidR="009C6868">
        <w:fldChar w:fldCharType="separate"/>
      </w:r>
      <w:r w:rsidR="008A1992" w:rsidRPr="00EC64FA">
        <w:t xml:space="preserve">Figure </w:t>
      </w:r>
      <w:r w:rsidR="008A1992">
        <w:rPr>
          <w:noProof/>
        </w:rPr>
        <w:t>2</w:t>
      </w:r>
      <w:r w:rsidR="008A1992">
        <w:t>.</w:t>
      </w:r>
      <w:r w:rsidR="008A1992">
        <w:rPr>
          <w:noProof/>
        </w:rPr>
        <w:t>8</w:t>
      </w:r>
      <w:r w:rsidR="009C6868">
        <w:fldChar w:fldCharType="end"/>
      </w:r>
      <w:r w:rsidR="00182A18">
        <w:t>.</w:t>
      </w:r>
    </w:p>
    <w:p w14:paraId="7DA1D283" w14:textId="77777777" w:rsidR="00050DB0" w:rsidRDefault="00050DB0" w:rsidP="00182A18">
      <w:pPr>
        <w:ind w:firstLine="360"/>
      </w:pPr>
    </w:p>
    <w:p w14:paraId="3AD7A355" w14:textId="77777777" w:rsidR="00050DB0" w:rsidRDefault="00050DB0" w:rsidP="00182A18">
      <w:pPr>
        <w:ind w:firstLine="360"/>
      </w:pPr>
    </w:p>
    <w:p w14:paraId="2439B37B" w14:textId="77777777" w:rsidR="00EC64FA" w:rsidRDefault="00EC64FA" w:rsidP="009C6868">
      <w:pPr>
        <w:keepNext/>
        <w:spacing w:line="240" w:lineRule="auto"/>
        <w:jc w:val="center"/>
      </w:pPr>
      <w:r>
        <w:rPr>
          <w:noProof/>
        </w:rPr>
        <w:drawing>
          <wp:inline distT="0" distB="0" distL="0" distR="0" wp14:anchorId="524751F7" wp14:editId="72724DC7">
            <wp:extent cx="4572000" cy="6401661"/>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jpg"/>
                    <pic:cNvPicPr/>
                  </pic:nvPicPr>
                  <pic:blipFill>
                    <a:blip r:embed="rId27">
                      <a:extLst>
                        <a:ext uri="{28A0092B-C50C-407E-A947-70E740481C1C}">
                          <a14:useLocalDpi xmlns:a14="http://schemas.microsoft.com/office/drawing/2010/main" val="0"/>
                        </a:ext>
                      </a:extLst>
                    </a:blip>
                    <a:stretch>
                      <a:fillRect/>
                    </a:stretch>
                  </pic:blipFill>
                  <pic:spPr>
                    <a:xfrm>
                      <a:off x="0" y="0"/>
                      <a:ext cx="4572000" cy="6401661"/>
                    </a:xfrm>
                    <a:prstGeom prst="rect">
                      <a:avLst/>
                    </a:prstGeom>
                  </pic:spPr>
                </pic:pic>
              </a:graphicData>
            </a:graphic>
          </wp:inline>
        </w:drawing>
      </w:r>
    </w:p>
    <w:p w14:paraId="711DEDFD" w14:textId="2F0A6EA2" w:rsidR="00EC64FA" w:rsidRDefault="00EC64FA" w:rsidP="00EC64FA">
      <w:pPr>
        <w:pStyle w:val="Caption"/>
        <w:jc w:val="center"/>
        <w:rPr>
          <w:sz w:val="24"/>
        </w:rPr>
      </w:pPr>
      <w:bookmarkStart w:id="65" w:name="_Ref343419674"/>
      <w:bookmarkStart w:id="66" w:name="_Toc346310416"/>
      <w:proofErr w:type="gramStart"/>
      <w:r w:rsidRPr="00EC64FA">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2</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8</w:t>
      </w:r>
      <w:r w:rsidR="00C16D85">
        <w:rPr>
          <w:sz w:val="24"/>
        </w:rPr>
        <w:fldChar w:fldCharType="end"/>
      </w:r>
      <w:bookmarkEnd w:id="65"/>
      <w:r>
        <w:rPr>
          <w:sz w:val="24"/>
        </w:rPr>
        <w:t xml:space="preserve"> Location </w:t>
      </w:r>
      <w:r w:rsidR="009C6868">
        <w:rPr>
          <w:sz w:val="24"/>
        </w:rPr>
        <w:t>and s</w:t>
      </w:r>
      <w:r w:rsidR="009C6868" w:rsidRPr="00FB0822">
        <w:rPr>
          <w:sz w:val="24"/>
        </w:rPr>
        <w:t xml:space="preserve">pecimen allocation </w:t>
      </w:r>
      <w:r w:rsidR="009C6868">
        <w:rPr>
          <w:sz w:val="24"/>
        </w:rPr>
        <w:t>for each Research Task</w:t>
      </w:r>
      <w:bookmarkEnd w:id="66"/>
    </w:p>
    <w:p w14:paraId="5C4FF701" w14:textId="783C35B7" w:rsidR="004D56FF" w:rsidRDefault="004A4F3E" w:rsidP="00B91027">
      <w:pPr>
        <w:pStyle w:val="Heading2"/>
      </w:pPr>
      <w:bookmarkStart w:id="67" w:name="_Ref343168350"/>
      <w:bookmarkStart w:id="68" w:name="_Toc346310967"/>
      <w:r>
        <w:lastRenderedPageBreak/>
        <w:t>Laminate</w:t>
      </w:r>
      <w:r w:rsidR="00094C9A">
        <w:t xml:space="preserve"> Fiber Volume Fraction and Void</w:t>
      </w:r>
      <w:r w:rsidR="00DD2B53">
        <w:t xml:space="preserve"> Volume</w:t>
      </w:r>
      <w:r w:rsidR="00094C9A">
        <w:t xml:space="preserve"> </w:t>
      </w:r>
      <w:r>
        <w:t>Fraction</w:t>
      </w:r>
      <w:bookmarkEnd w:id="67"/>
      <w:bookmarkEnd w:id="68"/>
    </w:p>
    <w:p w14:paraId="02C3D821" w14:textId="5E700274" w:rsidR="0057694C" w:rsidRPr="0057694C" w:rsidRDefault="009F00F8" w:rsidP="00F41017">
      <w:pPr>
        <w:ind w:firstLine="360"/>
      </w:pPr>
      <w:r>
        <w:rPr>
          <w:rFonts w:eastAsia="MS Mincho"/>
        </w:rPr>
        <w:t>Process-induced microvoids remain one of the most common defects associated with composites, r</w:t>
      </w:r>
      <w:r w:rsidR="0057694C" w:rsidRPr="00944480">
        <w:rPr>
          <w:rFonts w:eastAsia="MS Mincho"/>
        </w:rPr>
        <w:t xml:space="preserve">egardless of </w:t>
      </w:r>
      <w:r>
        <w:rPr>
          <w:rFonts w:eastAsia="MS Mincho"/>
        </w:rPr>
        <w:t xml:space="preserve">the </w:t>
      </w:r>
      <w:r w:rsidR="0057694C" w:rsidRPr="00944480">
        <w:rPr>
          <w:rFonts w:eastAsia="MS Mincho"/>
        </w:rPr>
        <w:t>l</w:t>
      </w:r>
      <w:r>
        <w:rPr>
          <w:rFonts w:eastAsia="MS Mincho"/>
        </w:rPr>
        <w:t xml:space="preserve">aminate manufacturing technique.  It is well known that microvoids </w:t>
      </w:r>
      <w:r w:rsidR="004A4F3E">
        <w:rPr>
          <w:rFonts w:eastAsia="MS Mincho"/>
        </w:rPr>
        <w:t>have a</w:t>
      </w:r>
      <w:r w:rsidR="0057694C" w:rsidRPr="00944480">
        <w:rPr>
          <w:rFonts w:eastAsia="MS Mincho"/>
        </w:rPr>
        <w:t xml:space="preserve"> deleterious effect on mechanical properties</w:t>
      </w:r>
      <w:r w:rsidR="007B5482">
        <w:rPr>
          <w:rFonts w:eastAsia="MS Mincho"/>
        </w:rPr>
        <w:t xml:space="preserve"> [1,2,20-23]</w:t>
      </w:r>
      <w:r w:rsidR="0057694C">
        <w:rPr>
          <w:rFonts w:eastAsia="MS Mincho"/>
        </w:rPr>
        <w:t xml:space="preserve"> </w:t>
      </w:r>
      <w:r w:rsidR="001569D7">
        <w:rPr>
          <w:rFonts w:eastAsia="MS Mincho"/>
        </w:rPr>
        <w:t>and contribute to anomalous absorption behavior</w:t>
      </w:r>
      <w:r w:rsidR="0057694C" w:rsidRPr="00944480">
        <w:rPr>
          <w:rFonts w:eastAsia="MS Mincho"/>
        </w:rPr>
        <w:t>.  Therefore, the void content of composite materials is often used to judge the</w:t>
      </w:r>
      <w:r w:rsidR="001569D7">
        <w:rPr>
          <w:rFonts w:eastAsia="MS Mincho"/>
        </w:rPr>
        <w:t xml:space="preserve"> quality of a finished product</w:t>
      </w:r>
      <w:r w:rsidR="007B5482">
        <w:rPr>
          <w:rFonts w:eastAsia="MS Mincho"/>
        </w:rPr>
        <w:t xml:space="preserve"> [22]</w:t>
      </w:r>
      <w:r w:rsidR="001569D7">
        <w:rPr>
          <w:rFonts w:eastAsia="MS Mincho"/>
        </w:rPr>
        <w:t>.</w:t>
      </w:r>
      <w:r w:rsidR="00F35A52">
        <w:rPr>
          <w:rFonts w:eastAsia="MS Mincho"/>
        </w:rPr>
        <w:t xml:space="preserve">  </w:t>
      </w:r>
      <w:r w:rsidR="00CC3EEB">
        <w:rPr>
          <w:rFonts w:eastAsia="MS Mincho"/>
        </w:rPr>
        <w:t xml:space="preserve">The average fiber volume fraction and void </w:t>
      </w:r>
      <w:r w:rsidR="00DD2B53">
        <w:rPr>
          <w:rFonts w:eastAsia="MS Mincho"/>
        </w:rPr>
        <w:t>volume fraction</w:t>
      </w:r>
      <w:r w:rsidR="00CC3EEB">
        <w:rPr>
          <w:rFonts w:eastAsia="MS Mincho"/>
        </w:rPr>
        <w:t xml:space="preserve"> </w:t>
      </w:r>
      <w:r w:rsidR="0073592D">
        <w:rPr>
          <w:rFonts w:eastAsia="MS Mincho"/>
        </w:rPr>
        <w:t xml:space="preserve">presented in </w:t>
      </w:r>
      <w:r w:rsidR="003A6D05">
        <w:rPr>
          <w:rFonts w:eastAsia="MS Mincho"/>
        </w:rPr>
        <w:t>Section</w:t>
      </w:r>
      <w:r w:rsidR="0073592D">
        <w:rPr>
          <w:rFonts w:eastAsia="MS Mincho"/>
        </w:rPr>
        <w:t xml:space="preserve"> </w:t>
      </w:r>
      <w:r w:rsidR="00CF0651">
        <w:rPr>
          <w:rFonts w:eastAsia="MS Mincho"/>
        </w:rPr>
        <w:fldChar w:fldCharType="begin"/>
      </w:r>
      <w:r w:rsidR="0073592D">
        <w:rPr>
          <w:rFonts w:eastAsia="MS Mincho"/>
        </w:rPr>
        <w:instrText xml:space="preserve"> REF _Ref460937023 \r \h </w:instrText>
      </w:r>
      <w:r w:rsidR="00CF0651">
        <w:rPr>
          <w:rFonts w:eastAsia="MS Mincho"/>
        </w:rPr>
      </w:r>
      <w:r w:rsidR="00CF0651">
        <w:rPr>
          <w:rFonts w:eastAsia="MS Mincho"/>
        </w:rPr>
        <w:fldChar w:fldCharType="separate"/>
      </w:r>
      <w:r w:rsidR="008A1992">
        <w:rPr>
          <w:rFonts w:eastAsia="MS Mincho"/>
        </w:rPr>
        <w:t>2.5.2</w:t>
      </w:r>
      <w:r w:rsidR="00CF0651">
        <w:rPr>
          <w:rFonts w:eastAsia="MS Mincho"/>
        </w:rPr>
        <w:fldChar w:fldCharType="end"/>
      </w:r>
      <w:r w:rsidR="0073592D">
        <w:rPr>
          <w:rFonts w:eastAsia="MS Mincho"/>
        </w:rPr>
        <w:t xml:space="preserve"> </w:t>
      </w:r>
      <w:r w:rsidR="00CC3EEB">
        <w:rPr>
          <w:rFonts w:eastAsia="MS Mincho"/>
        </w:rPr>
        <w:t>was determined from specimens prepared and tested (i.e. specimen suspension, acid digestion) by Jacob P. Anderson.</w:t>
      </w:r>
    </w:p>
    <w:p w14:paraId="2E4719A5" w14:textId="0A1B1262" w:rsidR="00555F32" w:rsidRDefault="00094C9A" w:rsidP="00030081">
      <w:pPr>
        <w:pStyle w:val="Heading3"/>
      </w:pPr>
      <w:bookmarkStart w:id="69" w:name="_Ref460488391"/>
      <w:bookmarkStart w:id="70" w:name="_Ref460488397"/>
      <w:bookmarkStart w:id="71" w:name="_Toc346310968"/>
      <w:r>
        <w:t xml:space="preserve">Experimental </w:t>
      </w:r>
      <w:r w:rsidR="00030081">
        <w:t>Procedure</w:t>
      </w:r>
      <w:bookmarkEnd w:id="69"/>
      <w:bookmarkEnd w:id="70"/>
      <w:r w:rsidR="00E96BD0">
        <w:t xml:space="preserve"> to Determine Fiber Volume Fraction and Void</w:t>
      </w:r>
      <w:r w:rsidR="00DD2B53">
        <w:t xml:space="preserve"> Volume</w:t>
      </w:r>
      <w:r w:rsidR="00E96BD0">
        <w:t xml:space="preserve"> </w:t>
      </w:r>
      <w:r w:rsidR="00627045">
        <w:t>Fraction</w:t>
      </w:r>
      <w:bookmarkEnd w:id="71"/>
    </w:p>
    <w:p w14:paraId="78AF967F" w14:textId="430F8140" w:rsidR="00FD4FA3" w:rsidRDefault="00FD4FA3" w:rsidP="00F41017">
      <w:pPr>
        <w:ind w:firstLine="360"/>
      </w:pPr>
      <w:r>
        <w:t>As mentioned previously</w:t>
      </w:r>
      <w:r w:rsidR="00AE25CE">
        <w:t xml:space="preserve"> in Section </w:t>
      </w:r>
      <w:r w:rsidR="00AE25CE">
        <w:fldChar w:fldCharType="begin"/>
      </w:r>
      <w:r w:rsidR="00AE25CE">
        <w:instrText xml:space="preserve"> REF _Ref342827112 \r \h </w:instrText>
      </w:r>
      <w:r w:rsidR="00AE25CE">
        <w:fldChar w:fldCharType="separate"/>
      </w:r>
      <w:r w:rsidR="008A1992">
        <w:t>2.4</w:t>
      </w:r>
      <w:r w:rsidR="00AE25CE">
        <w:fldChar w:fldCharType="end"/>
      </w:r>
      <w:r>
        <w:t xml:space="preserve">, eight rectangular specimens with planar dimensions of 31.8 mm by 12.7 mm were cut from each laminate to determine the </w:t>
      </w:r>
      <w:r w:rsidR="0032328B">
        <w:t>average</w:t>
      </w:r>
      <w:r w:rsidR="002667AA">
        <w:t xml:space="preserve"> </w:t>
      </w:r>
      <w:r w:rsidR="000C74BA">
        <w:t xml:space="preserve">void </w:t>
      </w:r>
      <w:r w:rsidR="00DD2B53">
        <w:t xml:space="preserve">volume </w:t>
      </w:r>
      <w:r w:rsidR="000C74BA">
        <w:t>fraction</w:t>
      </w:r>
      <w:r>
        <w:t xml:space="preserve"> (</w:t>
      </w:r>
      <w:r>
        <w:rPr>
          <w:i/>
        </w:rPr>
        <w:t>V</w:t>
      </w:r>
      <w:r>
        <w:rPr>
          <w:i/>
          <w:vertAlign w:val="subscript"/>
        </w:rPr>
        <w:t>v</w:t>
      </w:r>
      <w:r>
        <w:t>) and fiber volume fraction (</w:t>
      </w:r>
      <w:r>
        <w:rPr>
          <w:i/>
        </w:rPr>
        <w:t>V</w:t>
      </w:r>
      <w:r>
        <w:rPr>
          <w:i/>
          <w:vertAlign w:val="subscript"/>
        </w:rPr>
        <w:t>f</w:t>
      </w:r>
      <w:r>
        <w:t>)</w:t>
      </w:r>
      <w:r w:rsidR="002667AA">
        <w:t>.</w:t>
      </w:r>
      <w:r>
        <w:t xml:space="preserve"> </w:t>
      </w:r>
      <w:r w:rsidR="002667AA">
        <w:t xml:space="preserve"> The experimental procedure involved a combination of specimen suspe</w:t>
      </w:r>
      <w:r w:rsidR="00DD2B53">
        <w:t>nsion-method and acid-digestion method</w:t>
      </w:r>
      <w:r w:rsidR="002667AA">
        <w:t xml:space="preserve"> </w:t>
      </w:r>
      <w:r>
        <w:t>outlined by ASTM D2734-09</w:t>
      </w:r>
      <w:r w:rsidR="00DD2B53">
        <w:t xml:space="preserve"> and </w:t>
      </w:r>
      <w:r w:rsidR="00DD2B53" w:rsidRPr="00A00096">
        <w:t>ASTM D3171-15</w:t>
      </w:r>
      <w:r w:rsidR="00DD2B53">
        <w:t>, respectively.  These procedures are</w:t>
      </w:r>
      <w:r>
        <w:t xml:space="preserve"> reported by Anderson and Altan</w:t>
      </w:r>
      <w:r w:rsidR="007B5482">
        <w:t xml:space="preserve"> [1,2]</w:t>
      </w:r>
      <w:r>
        <w:t xml:space="preserve"> to be capable of resolving microvoid contents to within </w:t>
      </w:r>
      <w:r>
        <w:rPr>
          <w:rFonts w:cstheme="minorHAnsi"/>
        </w:rPr>
        <w:t>±</w:t>
      </w:r>
      <w:r w:rsidR="00DD2B53">
        <w:t>0.22%.  Acid digestion method was used as opposed to the resin burn-off method.  Resin burn-off is not recommended for carbon fiber reinforcement as it may cause oxidation damage and lead to errone</w:t>
      </w:r>
      <w:r w:rsidR="00274108">
        <w:t>ous results.  T</w:t>
      </w:r>
      <w:r w:rsidR="00DD2B53">
        <w:t>he acid digestion method was</w:t>
      </w:r>
      <w:r w:rsidR="00274108">
        <w:t xml:space="preserve"> used for all prepreg materials to maintain consistency.  </w:t>
      </w:r>
      <w:r w:rsidR="00DD2B53">
        <w:t>The experimental</w:t>
      </w:r>
      <w:r>
        <w:t xml:space="preserve"> procedure involves determining the density of the bulk composite (</w:t>
      </w:r>
      <w:r>
        <w:rPr>
          <w:rFonts w:cstheme="minorHAnsi"/>
          <w:i/>
        </w:rPr>
        <w:t>ρ</w:t>
      </w:r>
      <w:r w:rsidR="002667AA">
        <w:rPr>
          <w:i/>
          <w:vertAlign w:val="subscript"/>
        </w:rPr>
        <w:t>c</w:t>
      </w:r>
      <w:r>
        <w:t xml:space="preserve">) by </w:t>
      </w:r>
      <w:r>
        <w:lastRenderedPageBreak/>
        <w:t>suspending each specimen in a Cargill Labs 2490 kg/m</w:t>
      </w:r>
      <w:r>
        <w:rPr>
          <w:vertAlign w:val="superscript"/>
        </w:rPr>
        <w:t>3</w:t>
      </w:r>
      <w:r>
        <w:t xml:space="preserve"> Heavy Liquid and water solution.  The density of the matrix solution (</w:t>
      </w:r>
      <w:r>
        <w:rPr>
          <w:rFonts w:cstheme="minorHAnsi"/>
          <w:i/>
        </w:rPr>
        <w:t>ρ</w:t>
      </w:r>
      <w:r>
        <w:rPr>
          <w:i/>
          <w:vertAlign w:val="subscript"/>
        </w:rPr>
        <w:t>m</w:t>
      </w:r>
      <w:r>
        <w:t>) is similarly determined by suspending void-free matrix specimens in glycerol (1260 kg/m</w:t>
      </w:r>
      <w:r>
        <w:rPr>
          <w:vertAlign w:val="superscript"/>
        </w:rPr>
        <w:t>3</w:t>
      </w:r>
      <w:r>
        <w:t xml:space="preserve">) diluted with water.  </w:t>
      </w:r>
      <w:r w:rsidR="00DD2B53">
        <w:t xml:space="preserve">Matrix specimens were ensured to be void-free through a visual inspection using an optical microscope at high resolution.  </w:t>
      </w:r>
      <w:r>
        <w:t xml:space="preserve">A </w:t>
      </w:r>
      <w:r w:rsidR="0032328B">
        <w:t>liquid</w:t>
      </w:r>
      <w:r>
        <w:t xml:space="preserve"> pycnometer was then used to measure the density of the solution after sample suspension had been achieved.  The density of the fiber reinforcement (</w:t>
      </w:r>
      <w:r>
        <w:rPr>
          <w:rFonts w:cstheme="minorHAnsi"/>
          <w:i/>
        </w:rPr>
        <w:t>ρ</w:t>
      </w:r>
      <w:r>
        <w:rPr>
          <w:i/>
          <w:vertAlign w:val="subscript"/>
        </w:rPr>
        <w:t>f</w:t>
      </w:r>
      <w:r>
        <w:t>) was determined through the use of a helium pycnometer.  The weight contents of the matrix (</w:t>
      </w:r>
      <w:r>
        <w:rPr>
          <w:i/>
        </w:rPr>
        <w:t>W</w:t>
      </w:r>
      <w:r>
        <w:rPr>
          <w:i/>
          <w:vertAlign w:val="subscript"/>
        </w:rPr>
        <w:t>m</w:t>
      </w:r>
      <w:r>
        <w:t>) and fiber (</w:t>
      </w:r>
      <w:r>
        <w:rPr>
          <w:i/>
        </w:rPr>
        <w:t>W</w:t>
      </w:r>
      <w:r>
        <w:rPr>
          <w:i/>
          <w:vertAlign w:val="subscript"/>
        </w:rPr>
        <w:t>f</w:t>
      </w:r>
      <w:r>
        <w:t xml:space="preserve">) were determined for each specimen </w:t>
      </w:r>
      <w:r w:rsidR="00DD2B53">
        <w:t>using the acid digestion method</w:t>
      </w:r>
      <w:r w:rsidRPr="00A00096">
        <w:t>.</w:t>
      </w:r>
      <w:r>
        <w:t xml:space="preserve">  </w:t>
      </w:r>
      <w:r w:rsidR="0032328B">
        <w:t>Once the</w:t>
      </w:r>
      <w:r>
        <w:t xml:space="preserve"> composite density, constituent densities, and weight contents</w:t>
      </w:r>
      <w:r w:rsidR="0032328B">
        <w:t xml:space="preserve"> are known</w:t>
      </w:r>
      <w:r>
        <w:t>, the microvoid</w:t>
      </w:r>
      <w:r w:rsidR="002667AA">
        <w:t xml:space="preserve"> content</w:t>
      </w:r>
      <w:r>
        <w:t xml:space="preserve"> (</w:t>
      </w:r>
      <w:r>
        <w:rPr>
          <w:i/>
        </w:rPr>
        <w:t>V</w:t>
      </w:r>
      <w:r>
        <w:rPr>
          <w:i/>
          <w:vertAlign w:val="subscript"/>
        </w:rPr>
        <w:t>v</w:t>
      </w:r>
      <w:r>
        <w:t>) and fiber</w:t>
      </w:r>
      <w:r w:rsidR="002667AA">
        <w:t xml:space="preserve"> volume fraction</w:t>
      </w:r>
      <w:r>
        <w:t xml:space="preserve"> (</w:t>
      </w:r>
      <w:r>
        <w:rPr>
          <w:i/>
        </w:rPr>
        <w:t>V</w:t>
      </w:r>
      <w:r>
        <w:rPr>
          <w:i/>
          <w:vertAlign w:val="subscript"/>
        </w:rPr>
        <w:t>f</w:t>
      </w:r>
      <w:r>
        <w:t xml:space="preserve">) of </w:t>
      </w:r>
      <w:r w:rsidR="0032328B">
        <w:t>each</w:t>
      </w:r>
      <w:r>
        <w:t xml:space="preserve"> specimen</w:t>
      </w:r>
      <w:r w:rsidR="0032328B">
        <w:t xml:space="preserve"> was</w:t>
      </w:r>
      <w:r>
        <w:t xml:space="preserve"> calculated using Equations (1) and (2), respectively.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774"/>
      </w:tblGrid>
      <w:tr w:rsidR="002667AA" w14:paraId="04073258" w14:textId="77777777" w:rsidTr="00A22770">
        <w:tc>
          <w:tcPr>
            <w:tcW w:w="7938" w:type="dxa"/>
            <w:vAlign w:val="center"/>
          </w:tcPr>
          <w:p w14:paraId="032D88E4" w14:textId="77777777" w:rsidR="002667AA" w:rsidRDefault="007F38FB" w:rsidP="002667AA">
            <w:pPr>
              <w:jc w:val="center"/>
            </w:pPr>
            <m:oMathPara>
              <m:oMath>
                <m:sSub>
                  <m:sSubPr>
                    <m:ctrlPr>
                      <w:rPr>
                        <w:rFonts w:ascii="Cambria Math" w:hAnsi="Cambria Math"/>
                        <w:i/>
                      </w:rPr>
                    </m:ctrlPr>
                  </m:sSubPr>
                  <m:e>
                    <m:r>
                      <w:rPr>
                        <w:rFonts w:ascii="Cambria Math" w:hAnsi="Cambria Math"/>
                      </w:rPr>
                      <m:t>V</m:t>
                    </m:r>
                  </m:e>
                  <m:sub>
                    <m:r>
                      <w:rPr>
                        <w:rFonts w:ascii="Cambria Math" w:hAnsi="Cambria Math"/>
                      </w:rPr>
                      <m:t>V</m:t>
                    </m:r>
                  </m:sub>
                </m:sSub>
                <m:r>
                  <w:rPr>
                    <w:rFonts w:ascii="Cambria Math" w:hAnsi="Cambria Math"/>
                  </w:rPr>
                  <m:t>=100-</m:t>
                </m:r>
                <m:sSub>
                  <m:sSubPr>
                    <m:ctrlPr>
                      <w:rPr>
                        <w:rFonts w:ascii="Cambria Math" w:hAnsi="Cambria Math"/>
                        <w:i/>
                      </w:rPr>
                    </m:ctrlPr>
                  </m:sSubPr>
                  <m:e>
                    <m:r>
                      <w:rPr>
                        <w:rFonts w:ascii="Cambria Math" w:hAnsi="Cambria Math"/>
                      </w:rPr>
                      <m:t>ρ</m:t>
                    </m:r>
                  </m:e>
                  <m:sub>
                    <m:r>
                      <w:rPr>
                        <w:rFonts w:ascii="Cambria Math" w:hAnsi="Cambria Math"/>
                      </w:rPr>
                      <m:t>c</m:t>
                    </m:r>
                  </m:sub>
                </m:sSub>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f</m:t>
                            </m:r>
                          </m:sub>
                        </m:sSub>
                      </m:num>
                      <m:den>
                        <m:sSub>
                          <m:sSubPr>
                            <m:ctrlPr>
                              <w:rPr>
                                <w:rFonts w:ascii="Cambria Math" w:hAnsi="Cambria Math"/>
                                <w:i/>
                              </w:rPr>
                            </m:ctrlPr>
                          </m:sSubPr>
                          <m:e>
                            <m:r>
                              <w:rPr>
                                <w:rFonts w:ascii="Cambria Math" w:hAnsi="Cambria Math"/>
                              </w:rPr>
                              <m:t>ρ</m:t>
                            </m:r>
                          </m:e>
                          <m:sub>
                            <m:r>
                              <w:rPr>
                                <w:rFonts w:ascii="Cambria Math" w:hAnsi="Cambria Math"/>
                              </w:rPr>
                              <m:t>f</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m</m:t>
                            </m:r>
                          </m:sub>
                        </m:sSub>
                      </m:num>
                      <m:den>
                        <m:sSub>
                          <m:sSubPr>
                            <m:ctrlPr>
                              <w:rPr>
                                <w:rFonts w:ascii="Cambria Math" w:hAnsi="Cambria Math"/>
                                <w:i/>
                              </w:rPr>
                            </m:ctrlPr>
                          </m:sSubPr>
                          <m:e>
                            <m:r>
                              <w:rPr>
                                <w:rFonts w:ascii="Cambria Math" w:hAnsi="Cambria Math"/>
                              </w:rPr>
                              <m:t>ρ</m:t>
                            </m:r>
                          </m:e>
                          <m:sub>
                            <m:r>
                              <w:rPr>
                                <w:rFonts w:ascii="Cambria Math" w:hAnsi="Cambria Math"/>
                              </w:rPr>
                              <m:t>m</m:t>
                            </m:r>
                          </m:sub>
                        </m:sSub>
                      </m:den>
                    </m:f>
                  </m:e>
                </m:d>
              </m:oMath>
            </m:oMathPara>
          </w:p>
        </w:tc>
        <w:tc>
          <w:tcPr>
            <w:tcW w:w="774" w:type="dxa"/>
            <w:vAlign w:val="center"/>
          </w:tcPr>
          <w:p w14:paraId="04E944F6" w14:textId="77777777" w:rsidR="002667AA" w:rsidRDefault="002667AA" w:rsidP="002667AA">
            <w:pPr>
              <w:jc w:val="right"/>
            </w:pPr>
            <w:r>
              <w:t>(1)</w:t>
            </w:r>
          </w:p>
        </w:tc>
      </w:tr>
      <w:tr w:rsidR="002667AA" w14:paraId="782920F0" w14:textId="77777777" w:rsidTr="00A22770">
        <w:tc>
          <w:tcPr>
            <w:tcW w:w="7938" w:type="dxa"/>
            <w:vAlign w:val="center"/>
          </w:tcPr>
          <w:p w14:paraId="2322FB14" w14:textId="77777777" w:rsidR="002667AA" w:rsidRDefault="007F38FB" w:rsidP="002667AA">
            <w:pPr>
              <w:jc w:val="center"/>
            </w:pPr>
            <m:oMathPara>
              <m:oMath>
                <m:sSub>
                  <m:sSubPr>
                    <m:ctrlPr>
                      <w:rPr>
                        <w:rFonts w:ascii="Cambria Math" w:hAnsi="Cambria Math"/>
                        <w:i/>
                      </w:rPr>
                    </m:ctrlPr>
                  </m:sSubPr>
                  <m:e>
                    <m:r>
                      <w:rPr>
                        <w:rFonts w:ascii="Cambria Math" w:hAnsi="Cambria Math"/>
                      </w:rPr>
                      <m:t>V</m:t>
                    </m:r>
                  </m:e>
                  <m:sub>
                    <m:r>
                      <w:rPr>
                        <w:rFonts w:ascii="Cambria Math" w:hAnsi="Cambria Math"/>
                      </w:rPr>
                      <m:t>f</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c</m:t>
                        </m:r>
                      </m:sub>
                    </m:sSub>
                    <m:sSub>
                      <m:sSubPr>
                        <m:ctrlPr>
                          <w:rPr>
                            <w:rFonts w:ascii="Cambria Math" w:hAnsi="Cambria Math"/>
                            <w:i/>
                          </w:rPr>
                        </m:ctrlPr>
                      </m:sSubPr>
                      <m:e>
                        <m:r>
                          <w:rPr>
                            <w:rFonts w:ascii="Cambria Math" w:hAnsi="Cambria Math"/>
                          </w:rPr>
                          <m:t>W</m:t>
                        </m:r>
                      </m:e>
                      <m:sub>
                        <m:r>
                          <w:rPr>
                            <w:rFonts w:ascii="Cambria Math" w:hAnsi="Cambria Math"/>
                          </w:rPr>
                          <m:t>f</m:t>
                        </m:r>
                      </m:sub>
                    </m:sSub>
                  </m:num>
                  <m:den>
                    <m:sSub>
                      <m:sSubPr>
                        <m:ctrlPr>
                          <w:rPr>
                            <w:rFonts w:ascii="Cambria Math" w:hAnsi="Cambria Math"/>
                            <w:i/>
                          </w:rPr>
                        </m:ctrlPr>
                      </m:sSubPr>
                      <m:e>
                        <m:r>
                          <w:rPr>
                            <w:rFonts w:ascii="Cambria Math" w:hAnsi="Cambria Math"/>
                          </w:rPr>
                          <m:t>ρ</m:t>
                        </m:r>
                      </m:e>
                      <m:sub>
                        <m:r>
                          <w:rPr>
                            <w:rFonts w:ascii="Cambria Math" w:hAnsi="Cambria Math"/>
                          </w:rPr>
                          <m:t>f</m:t>
                        </m:r>
                      </m:sub>
                    </m:sSub>
                  </m:den>
                </m:f>
              </m:oMath>
            </m:oMathPara>
          </w:p>
        </w:tc>
        <w:tc>
          <w:tcPr>
            <w:tcW w:w="774" w:type="dxa"/>
            <w:vAlign w:val="center"/>
          </w:tcPr>
          <w:p w14:paraId="100703CA" w14:textId="77777777" w:rsidR="002667AA" w:rsidRDefault="002667AA" w:rsidP="002667AA">
            <w:pPr>
              <w:jc w:val="right"/>
            </w:pPr>
            <w:r>
              <w:t>(2)</w:t>
            </w:r>
          </w:p>
        </w:tc>
      </w:tr>
    </w:tbl>
    <w:p w14:paraId="5A4041D0" w14:textId="6CE09A31" w:rsidR="00E3597D" w:rsidRDefault="002F7DF4" w:rsidP="00E3597D">
      <w:pPr>
        <w:pStyle w:val="Heading3"/>
      </w:pPr>
      <w:bookmarkStart w:id="72" w:name="_Toc346310969"/>
      <w:bookmarkStart w:id="73" w:name="_Ref460937023"/>
      <w:r>
        <w:t>Development of Trend Line Analysis of Effect of Humidity and Pressure on Laminate Properties</w:t>
      </w:r>
      <w:bookmarkEnd w:id="72"/>
    </w:p>
    <w:p w14:paraId="2FB5DCAE" w14:textId="6071A74C" w:rsidR="003F265F" w:rsidRDefault="00D40A1D" w:rsidP="00E3597D">
      <w:pPr>
        <w:ind w:firstLine="360"/>
      </w:pPr>
      <w:r>
        <w:t>T</w:t>
      </w:r>
      <w:r w:rsidR="00E3597D">
        <w:t xml:space="preserve">he effect of humidity exposure and fabrication pressure </w:t>
      </w:r>
      <w:r w:rsidR="008F1C1C">
        <w:t xml:space="preserve">on the laminate fiber volume fraction and void volume fraction </w:t>
      </w:r>
      <w:r w:rsidR="00E3597D">
        <w:t>was explored using trend line analysis of each parameter individually.  This preliminary analysis was useful in identifying general trends as a result of varying humidity exposure or fabrication pressure, and would subsequently be used as a major contributor in developing contour plots that represent</w:t>
      </w:r>
      <w:r w:rsidR="008F1C1C">
        <w:t>ed</w:t>
      </w:r>
      <w:r w:rsidR="00E3597D">
        <w:t xml:space="preserve"> the dependent variables</w:t>
      </w:r>
      <w:r w:rsidR="008F1C1C">
        <w:t xml:space="preserve"> (e.g. fiber volume fraction or void volume fraction)</w:t>
      </w:r>
      <w:r w:rsidR="00E3597D">
        <w:t xml:space="preserve">.  All trend </w:t>
      </w:r>
      <w:r w:rsidR="00E3597D">
        <w:lastRenderedPageBreak/>
        <w:t xml:space="preserve">line analysis was restricted to </w:t>
      </w:r>
      <w:r w:rsidR="00D650D8">
        <w:t>only consider 1</w:t>
      </w:r>
      <w:r w:rsidR="00D650D8" w:rsidRPr="00D650D8">
        <w:rPr>
          <w:vertAlign w:val="superscript"/>
        </w:rPr>
        <w:t>st</w:t>
      </w:r>
      <w:r w:rsidR="00D650D8">
        <w:t xml:space="preserve"> or</w:t>
      </w:r>
      <w:r w:rsidR="00E3597D">
        <w:t xml:space="preserve"> 2</w:t>
      </w:r>
      <w:r w:rsidR="00E3597D" w:rsidRPr="00E3597D">
        <w:rPr>
          <w:vertAlign w:val="superscript"/>
        </w:rPr>
        <w:t>nd</w:t>
      </w:r>
      <w:r w:rsidR="00E3597D">
        <w:t>-order function</w:t>
      </w:r>
      <w:r w:rsidR="00D650D8">
        <w:t>s</w:t>
      </w:r>
      <w:r w:rsidR="00E3597D">
        <w:t xml:space="preserve"> so as to not over-constrain the solution.  This restriction was placed </w:t>
      </w:r>
      <w:r w:rsidR="00064B37">
        <w:t>because</w:t>
      </w:r>
      <w:r w:rsidR="00E3597D">
        <w:t xml:space="preserve"> some properties may have local minimums or maximums due to varying humidity or pressure, </w:t>
      </w:r>
      <w:r w:rsidR="00064B37">
        <w:t>which would be captured through the use of 2</w:t>
      </w:r>
      <w:r w:rsidR="00064B37" w:rsidRPr="00064B37">
        <w:rPr>
          <w:vertAlign w:val="superscript"/>
        </w:rPr>
        <w:t>nd</w:t>
      </w:r>
      <w:r w:rsidR="00064B37">
        <w:t>-order functions.  Although utilizing higher order functions</w:t>
      </w:r>
      <w:r w:rsidR="00D650D8">
        <w:t xml:space="preserve"> (3</w:t>
      </w:r>
      <w:r w:rsidR="00D650D8" w:rsidRPr="00D650D8">
        <w:rPr>
          <w:vertAlign w:val="superscript"/>
        </w:rPr>
        <w:t>rd</w:t>
      </w:r>
      <w:r w:rsidR="00D650D8">
        <w:t xml:space="preserve">-order and higher) </w:t>
      </w:r>
      <w:r w:rsidR="00064B37">
        <w:t xml:space="preserve">would result in </w:t>
      </w:r>
      <w:r w:rsidR="008F1C1C">
        <w:t>better</w:t>
      </w:r>
      <w:r w:rsidR="00064B37">
        <w:t xml:space="preserve"> level of fits</w:t>
      </w:r>
      <w:r w:rsidR="00D650D8">
        <w:t xml:space="preserve"> when considering R</w:t>
      </w:r>
      <w:r w:rsidR="00D650D8" w:rsidRPr="00D650D8">
        <w:rPr>
          <w:vertAlign w:val="superscript"/>
        </w:rPr>
        <w:t>2</w:t>
      </w:r>
      <w:r w:rsidR="00D650D8">
        <w:t>-values</w:t>
      </w:r>
      <w:r w:rsidR="00064B37">
        <w:t xml:space="preserve">, these fits </w:t>
      </w:r>
      <w:r w:rsidR="00E3597D">
        <w:t xml:space="preserve">would not be conducive to the actual laminate </w:t>
      </w:r>
      <w:r w:rsidR="00D650D8">
        <w:t>behavior</w:t>
      </w:r>
      <w:r w:rsidR="00064B37">
        <w:t xml:space="preserve"> and </w:t>
      </w:r>
      <w:bookmarkStart w:id="74" w:name="_GoBack"/>
      <w:bookmarkEnd w:id="74"/>
      <w:r w:rsidR="00064B37">
        <w:t xml:space="preserve">therefore </w:t>
      </w:r>
      <w:r w:rsidR="00D650D8">
        <w:t xml:space="preserve">would </w:t>
      </w:r>
      <w:r w:rsidR="00064B37">
        <w:t>be a misrepresentation of the</w:t>
      </w:r>
      <w:r w:rsidR="00D650D8">
        <w:t xml:space="preserve"> experimental</w:t>
      </w:r>
      <w:r w:rsidR="00064B37">
        <w:t xml:space="preserve"> data.  </w:t>
      </w:r>
      <w:r w:rsidR="00D650D8">
        <w:t>For each laminate property (i.e. fiber volume fraction, void volume fraction, flexural properties, etc.) a</w:t>
      </w:r>
      <w:r w:rsidR="00064B37">
        <w:t xml:space="preserve"> comparison of </w:t>
      </w:r>
      <w:r w:rsidR="00D650D8">
        <w:t>linear, power-type, or 2</w:t>
      </w:r>
      <w:r w:rsidR="00D650D8" w:rsidRPr="00D650D8">
        <w:rPr>
          <w:vertAlign w:val="superscript"/>
        </w:rPr>
        <w:t>nd</w:t>
      </w:r>
      <w:r w:rsidR="00D650D8">
        <w:t xml:space="preserve">-order polynomial representations of the processing conditions of either humidity exposure and fabrication pressure </w:t>
      </w:r>
      <w:r w:rsidR="00B81EFB">
        <w:t>was performed for each case.</w:t>
      </w:r>
      <w:r w:rsidR="00064B37">
        <w:t xml:space="preserve">  The </w:t>
      </w:r>
      <w:r w:rsidR="00B81EFB">
        <w:t xml:space="preserve">selected </w:t>
      </w:r>
      <w:r w:rsidR="00064B37">
        <w:t xml:space="preserve">trend line representation </w:t>
      </w:r>
      <w:r w:rsidR="00B81EFB">
        <w:t xml:space="preserve">for each laminate property </w:t>
      </w:r>
      <w:r w:rsidR="00064B37">
        <w:t>was determined by comparing both level of fit (R</w:t>
      </w:r>
      <w:r w:rsidR="00064B37" w:rsidRPr="00064B37">
        <w:rPr>
          <w:vertAlign w:val="superscript"/>
        </w:rPr>
        <w:t>2</w:t>
      </w:r>
      <w:r w:rsidR="00064B37">
        <w:t xml:space="preserve">-value) and the </w:t>
      </w:r>
      <w:r>
        <w:t>standard deviations between the experimental data</w:t>
      </w:r>
      <w:r w:rsidR="00B81EFB">
        <w:t xml:space="preserve"> for each trend line representation</w:t>
      </w:r>
      <w:r>
        <w:t xml:space="preserve">.  In subsequent Sections, the final trend line </w:t>
      </w:r>
      <w:r w:rsidR="00B81EFB">
        <w:t xml:space="preserve">selected for each laminate property </w:t>
      </w:r>
      <w:r>
        <w:t xml:space="preserve">will be presented and discussed.  The effect of humidity and pressure on laminate fiber volume fraction and void volume fraction will be discussed in Sections </w:t>
      </w:r>
      <w:r>
        <w:fldChar w:fldCharType="begin"/>
      </w:r>
      <w:r>
        <w:instrText xml:space="preserve"> REF _Ref343765995 \r \h </w:instrText>
      </w:r>
      <w:r>
        <w:fldChar w:fldCharType="separate"/>
      </w:r>
      <w:r w:rsidR="008A1992">
        <w:t>2.5.5</w:t>
      </w:r>
      <w:r>
        <w:fldChar w:fldCharType="end"/>
      </w:r>
      <w:r>
        <w:t xml:space="preserve"> through </w:t>
      </w:r>
      <w:r>
        <w:fldChar w:fldCharType="begin"/>
      </w:r>
      <w:r>
        <w:instrText xml:space="preserve"> REF _Ref344121194 \r \h </w:instrText>
      </w:r>
      <w:r>
        <w:fldChar w:fldCharType="separate"/>
      </w:r>
      <w:r w:rsidR="008A1992">
        <w:t>2.5.8</w:t>
      </w:r>
      <w:r>
        <w:fldChar w:fldCharType="end"/>
      </w:r>
      <w:r>
        <w:t xml:space="preserve">.  Later, a similar approach will be performed to explore the effect of humidity and pressure on laminate flexural stiffness and strength, which will be presented in Sections </w:t>
      </w:r>
      <w:r>
        <w:fldChar w:fldCharType="begin"/>
      </w:r>
      <w:r>
        <w:instrText xml:space="preserve"> REF _Ref344127050 \r \h </w:instrText>
      </w:r>
      <w:r>
        <w:fldChar w:fldCharType="separate"/>
      </w:r>
      <w:r w:rsidR="008A1992">
        <w:t>3.2.4</w:t>
      </w:r>
      <w:r>
        <w:fldChar w:fldCharType="end"/>
      </w:r>
      <w:r>
        <w:t xml:space="preserve"> through </w:t>
      </w:r>
      <w:r>
        <w:fldChar w:fldCharType="begin"/>
      </w:r>
      <w:r>
        <w:instrText xml:space="preserve"> REF _Ref344129833 \r \h </w:instrText>
      </w:r>
      <w:r>
        <w:fldChar w:fldCharType="separate"/>
      </w:r>
      <w:r w:rsidR="008A1992">
        <w:t>3.2.7</w:t>
      </w:r>
      <w:r>
        <w:fldChar w:fldCharType="end"/>
      </w:r>
      <w:r>
        <w:t xml:space="preserve">.  The effect of humidity and pressure on the </w:t>
      </w:r>
      <w:r w:rsidR="008F1C1C">
        <w:t xml:space="preserve">hydraulic fluid </w:t>
      </w:r>
      <w:r>
        <w:t xml:space="preserve">equilibrium fluid content will be addressed in Sections </w:t>
      </w:r>
      <w:r>
        <w:fldChar w:fldCharType="begin"/>
      </w:r>
      <w:r>
        <w:instrText xml:space="preserve"> REF _Ref346278233 \r \h </w:instrText>
      </w:r>
      <w:r>
        <w:fldChar w:fldCharType="separate"/>
      </w:r>
      <w:r w:rsidR="008A1992">
        <w:t>5.6.1</w:t>
      </w:r>
      <w:r>
        <w:fldChar w:fldCharType="end"/>
      </w:r>
      <w:r>
        <w:t xml:space="preserve"> and </w:t>
      </w:r>
      <w:r>
        <w:fldChar w:fldCharType="begin"/>
      </w:r>
      <w:r>
        <w:instrText xml:space="preserve"> REF _Ref346278235 \r \h </w:instrText>
      </w:r>
      <w:r>
        <w:fldChar w:fldCharType="separate"/>
      </w:r>
      <w:r w:rsidR="008A1992">
        <w:t>5.6.2</w:t>
      </w:r>
      <w:r>
        <w:fldChar w:fldCharType="end"/>
      </w:r>
      <w:r>
        <w:t>.</w:t>
      </w:r>
    </w:p>
    <w:p w14:paraId="5CE19F1B" w14:textId="49FE3950" w:rsidR="00753D46" w:rsidRDefault="0049383C" w:rsidP="00030081">
      <w:pPr>
        <w:pStyle w:val="Heading3"/>
      </w:pPr>
      <w:bookmarkStart w:id="75" w:name="_Toc346310970"/>
      <w:r>
        <w:t xml:space="preserve">Laminate </w:t>
      </w:r>
      <w:r w:rsidR="00094C9A" w:rsidRPr="00FD2184">
        <w:t>Fiber Volume</w:t>
      </w:r>
      <w:r w:rsidR="00094C9A">
        <w:t xml:space="preserve"> Fraction </w:t>
      </w:r>
      <w:r>
        <w:t>Results</w:t>
      </w:r>
      <w:bookmarkEnd w:id="73"/>
      <w:bookmarkEnd w:id="75"/>
    </w:p>
    <w:p w14:paraId="1CA813FA" w14:textId="44DE5AD4" w:rsidR="00787ADF" w:rsidRDefault="00E45226" w:rsidP="00787ADF">
      <w:pPr>
        <w:ind w:firstLine="360"/>
      </w:pPr>
      <w:r>
        <w:t>T</w:t>
      </w:r>
      <w:r w:rsidR="001057F9">
        <w:t>he average fiber volume fractio</w:t>
      </w:r>
      <w:r w:rsidR="00681525">
        <w:t>n for the three prepreg</w:t>
      </w:r>
      <w:r w:rsidR="00050DB0">
        <w:t>s for varying humidity exposure</w:t>
      </w:r>
      <w:r w:rsidR="001057F9">
        <w:t xml:space="preserve"> and fabrication pressure </w:t>
      </w:r>
      <w:r>
        <w:t xml:space="preserve">is shown in </w:t>
      </w:r>
      <w:r>
        <w:fldChar w:fldCharType="begin"/>
      </w:r>
      <w:r>
        <w:instrText xml:space="preserve"> REF _Ref460488719 \h </w:instrText>
      </w:r>
      <w:r>
        <w:fldChar w:fldCharType="separate"/>
      </w:r>
      <w:r w:rsidR="008A1992" w:rsidRPr="00FE685E">
        <w:t xml:space="preserve">Figure </w:t>
      </w:r>
      <w:r w:rsidR="008A1992">
        <w:rPr>
          <w:noProof/>
        </w:rPr>
        <w:t>2</w:t>
      </w:r>
      <w:r w:rsidR="008A1992">
        <w:t>.</w:t>
      </w:r>
      <w:r w:rsidR="008A1992">
        <w:rPr>
          <w:noProof/>
        </w:rPr>
        <w:t>9</w:t>
      </w:r>
      <w:r>
        <w:fldChar w:fldCharType="end"/>
      </w:r>
      <w:r w:rsidR="001057F9">
        <w:t>.</w:t>
      </w:r>
      <w:r w:rsidR="00E32047">
        <w:t xml:space="preserve">  For reporting purposes, the </w:t>
      </w:r>
      <w:r w:rsidR="00E32047">
        <w:lastRenderedPageBreak/>
        <w:t>average fiber volume fraction with 95% confidence intervals</w:t>
      </w:r>
      <w:r w:rsidR="00FD2184">
        <w:t xml:space="preserve"> for each fabricated laminate</w:t>
      </w:r>
      <w:r w:rsidR="00E32047">
        <w:t xml:space="preserve"> is provided in</w:t>
      </w:r>
      <w:r w:rsidR="0049383C">
        <w:t xml:space="preserve"> Appendix A</w:t>
      </w:r>
      <w:r w:rsidR="00E32047">
        <w:t>.</w:t>
      </w:r>
      <w:r w:rsidR="00C54B4D">
        <w:t xml:space="preserve"> </w:t>
      </w:r>
      <w:r w:rsidR="0049383C">
        <w:t xml:space="preserve"> </w:t>
      </w:r>
      <w:r w:rsidR="00787ADF">
        <w:t>Typically, the fiber volume fraction for each prepreg material ranged from about 50% to 66%.  It is important to note that although there is some small variations in the average fiber volume fraction at a specific fabrication pressure, the error bars, which indicate 95% confidence interval, generally always overlap</w:t>
      </w:r>
      <w:r w:rsidR="00274108">
        <w:t xml:space="preserve"> the mean</w:t>
      </w:r>
      <w:r w:rsidR="00787ADF">
        <w:t>.  Therefore, regardless of the level of humidity exposure</w:t>
      </w:r>
      <w:r w:rsidR="008150E5">
        <w:t xml:space="preserve"> or prepreg moisture content</w:t>
      </w:r>
      <w:r w:rsidR="00787ADF">
        <w:t xml:space="preserve">, the fiber volume fractions are statistically similar for laminates fabricated at the same cure pressure.  Both quartz-reinforced laminates, shown in </w:t>
      </w:r>
      <w:r w:rsidR="00787ADF">
        <w:fldChar w:fldCharType="begin"/>
      </w:r>
      <w:r w:rsidR="00787ADF">
        <w:instrText xml:space="preserve"> REF _Ref460488719 \h </w:instrText>
      </w:r>
      <w:r w:rsidR="00787ADF">
        <w:fldChar w:fldCharType="separate"/>
      </w:r>
      <w:r w:rsidR="008A1992" w:rsidRPr="00FE685E">
        <w:t xml:space="preserve">Figure </w:t>
      </w:r>
      <w:r w:rsidR="008A1992">
        <w:rPr>
          <w:noProof/>
        </w:rPr>
        <w:t>2</w:t>
      </w:r>
      <w:r w:rsidR="008A1992">
        <w:t>.</w:t>
      </w:r>
      <w:r w:rsidR="008A1992">
        <w:rPr>
          <w:noProof/>
        </w:rPr>
        <w:t>9</w:t>
      </w:r>
      <w:r w:rsidR="00787ADF">
        <w:fldChar w:fldCharType="end"/>
      </w:r>
      <w:proofErr w:type="gramStart"/>
      <w:r w:rsidR="00787ADF">
        <w:t>a and</w:t>
      </w:r>
      <w:proofErr w:type="gramEnd"/>
      <w:r w:rsidR="00787ADF">
        <w:t xml:space="preserve"> b, the fiber volume fraction gradually increased from about 50.6% to 61.1% as fabrica</w:t>
      </w:r>
      <w:r w:rsidR="00B5384E">
        <w:t>tion pressure increased from 6</w:t>
      </w:r>
      <w:r w:rsidR="00787ADF">
        <w:t>9 to 34</w:t>
      </w:r>
      <w:r w:rsidR="00B5384E">
        <w:t>5</w:t>
      </w:r>
      <w:r w:rsidR="00787ADF">
        <w:t xml:space="preserve"> kPa.  At higher fabrication pressures, the rate of fiber volume fraction increase </w:t>
      </w:r>
      <w:r w:rsidR="00B5384E">
        <w:t>declines</w:t>
      </w:r>
      <w:r w:rsidR="00787ADF">
        <w:t>,</w:t>
      </w:r>
      <w:r w:rsidR="00B5384E">
        <w:t xml:space="preserve"> which may be due</w:t>
      </w:r>
      <w:r w:rsidR="00787ADF">
        <w:t xml:space="preserve"> to fibers’ increased role in supporting the applied pressure.  On the other hand, at lower fabrication pressures, smaller increases in fabrication pressure would have a higher effect in increasing the fiber volume fraction.  Similarly, for the carbon</w:t>
      </w:r>
      <w:r w:rsidR="009E5F58">
        <w:t xml:space="preserve"> fiber</w:t>
      </w:r>
      <w:r w:rsidR="00787ADF">
        <w:t>-reinforced laminates</w:t>
      </w:r>
      <w:r w:rsidR="009E5F58">
        <w:t xml:space="preserve"> shown in </w:t>
      </w:r>
      <w:r w:rsidR="00787ADF">
        <w:fldChar w:fldCharType="begin"/>
      </w:r>
      <w:r w:rsidR="00787ADF">
        <w:instrText xml:space="preserve"> REF _Ref460488719 \h </w:instrText>
      </w:r>
      <w:r w:rsidR="00787ADF">
        <w:fldChar w:fldCharType="separate"/>
      </w:r>
      <w:r w:rsidR="008A1992" w:rsidRPr="00FE685E">
        <w:t xml:space="preserve">Figure </w:t>
      </w:r>
      <w:r w:rsidR="008A1992">
        <w:rPr>
          <w:noProof/>
        </w:rPr>
        <w:t>2</w:t>
      </w:r>
      <w:r w:rsidR="008A1992">
        <w:t>.</w:t>
      </w:r>
      <w:r w:rsidR="008A1992">
        <w:rPr>
          <w:noProof/>
        </w:rPr>
        <w:t>9</w:t>
      </w:r>
      <w:r w:rsidR="00787ADF">
        <w:fldChar w:fldCharType="end"/>
      </w:r>
      <w:r w:rsidR="009E5F58">
        <w:t>c</w:t>
      </w:r>
      <w:r w:rsidR="00787ADF">
        <w:t>, the largest increase in fiber volume fraction from 53.3% to 60.2% was achieved at the lowest</w:t>
      </w:r>
      <w:r w:rsidR="00B5384E">
        <w:t xml:space="preserve"> fabrication pressures, from 69 to 207</w:t>
      </w:r>
      <w:r w:rsidR="00787ADF">
        <w:t xml:space="preserve"> kPa.</w:t>
      </w:r>
      <w:r w:rsidR="00B5384E">
        <w:t xml:space="preserve">  </w:t>
      </w:r>
      <w:r w:rsidR="009E5F58">
        <w:t>While further increases in fabrication pressure yielded fiber volume fraction increases at a reduced rate.</w:t>
      </w:r>
    </w:p>
    <w:p w14:paraId="56A1BBD4" w14:textId="70392AA7" w:rsidR="00D35BA9" w:rsidRDefault="00D35BA9" w:rsidP="00F41017">
      <w:pPr>
        <w:ind w:firstLine="360"/>
      </w:pPr>
    </w:p>
    <w:p w14:paraId="15AF98DF" w14:textId="77777777" w:rsidR="00FE685E" w:rsidRDefault="00FE685E">
      <w:pPr>
        <w:spacing w:line="240" w:lineRule="auto"/>
        <w:jc w:val="left"/>
      </w:pPr>
      <w:r>
        <w:br w:type="page"/>
      </w:r>
    </w:p>
    <w:p w14:paraId="0C886939" w14:textId="4737216B" w:rsidR="00FE685E" w:rsidRDefault="00715F37" w:rsidP="00715F37">
      <w:pPr>
        <w:spacing w:line="240" w:lineRule="auto"/>
        <w:jc w:val="center"/>
      </w:pPr>
      <w:r>
        <w:rPr>
          <w:noProof/>
        </w:rPr>
        <w:lastRenderedPageBreak/>
        <w:drawing>
          <wp:inline distT="0" distB="0" distL="0" distR="0" wp14:anchorId="2909F01F" wp14:editId="637D2564">
            <wp:extent cx="5394960" cy="25146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8396AC0" w14:textId="7BCFDCA4" w:rsidR="00FE685E" w:rsidRDefault="00715F37" w:rsidP="00715F37">
      <w:pPr>
        <w:spacing w:line="240" w:lineRule="auto"/>
        <w:jc w:val="center"/>
      </w:pPr>
      <w:r>
        <w:rPr>
          <w:noProof/>
        </w:rPr>
        <w:drawing>
          <wp:inline distT="0" distB="0" distL="0" distR="0" wp14:anchorId="7050670D" wp14:editId="53104C56">
            <wp:extent cx="5394960" cy="25146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DC126AE" w14:textId="0CD11F86" w:rsidR="00FE685E" w:rsidRDefault="008150E5" w:rsidP="008150E5">
      <w:pPr>
        <w:keepNext/>
        <w:spacing w:after="120" w:line="240" w:lineRule="auto"/>
        <w:jc w:val="center"/>
      </w:pPr>
      <w:r>
        <w:rPr>
          <w:noProof/>
        </w:rPr>
        <w:drawing>
          <wp:inline distT="0" distB="0" distL="0" distR="0" wp14:anchorId="4DB2FC8B" wp14:editId="334D655F">
            <wp:extent cx="5394960" cy="2514600"/>
            <wp:effectExtent l="0" t="0" r="0" b="0"/>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5F5E6BB" w14:textId="214F440B" w:rsidR="00FE685E" w:rsidRDefault="00FE685E" w:rsidP="00FE685E">
      <w:pPr>
        <w:pStyle w:val="Caption"/>
        <w:spacing w:line="240" w:lineRule="auto"/>
        <w:jc w:val="center"/>
        <w:rPr>
          <w:sz w:val="24"/>
        </w:rPr>
      </w:pPr>
      <w:bookmarkStart w:id="76" w:name="_Ref460488719"/>
      <w:bookmarkStart w:id="77" w:name="_Toc346310417"/>
      <w:proofErr w:type="gramStart"/>
      <w:r w:rsidRPr="00FE685E">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2</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9</w:t>
      </w:r>
      <w:r w:rsidR="00C16D85">
        <w:rPr>
          <w:sz w:val="24"/>
        </w:rPr>
        <w:fldChar w:fldCharType="end"/>
      </w:r>
      <w:bookmarkEnd w:id="76"/>
      <w:r w:rsidRPr="00FE685E">
        <w:rPr>
          <w:sz w:val="24"/>
        </w:rPr>
        <w:t xml:space="preserve"> Average fiber volume fraction as prepreg moisture content</w:t>
      </w:r>
      <w:r>
        <w:rPr>
          <w:sz w:val="24"/>
        </w:rPr>
        <w:t xml:space="preserve"> (M</w:t>
      </w:r>
      <w:r w:rsidRPr="00FE685E">
        <w:rPr>
          <w:sz w:val="24"/>
          <w:vertAlign w:val="subscript"/>
        </w:rPr>
        <w:t>P</w:t>
      </w:r>
      <w:r>
        <w:rPr>
          <w:sz w:val="24"/>
        </w:rPr>
        <w:t>)</w:t>
      </w:r>
      <w:r w:rsidRPr="00FE685E">
        <w:rPr>
          <w:sz w:val="24"/>
        </w:rPr>
        <w:t xml:space="preserve"> and fabrication pressure changed for (</w:t>
      </w:r>
      <w:r w:rsidR="0009776C">
        <w:rPr>
          <w:sz w:val="24"/>
        </w:rPr>
        <w:t>a</w:t>
      </w:r>
      <w:r w:rsidRPr="00FE685E">
        <w:rPr>
          <w:sz w:val="24"/>
        </w:rPr>
        <w:t>) Quartz/BMI, (</w:t>
      </w:r>
      <w:r w:rsidR="0009776C">
        <w:rPr>
          <w:sz w:val="24"/>
        </w:rPr>
        <w:t>b</w:t>
      </w:r>
      <w:r w:rsidRPr="00FE685E">
        <w:rPr>
          <w:sz w:val="24"/>
        </w:rPr>
        <w:t>) Quartz/Epoxy, and (</w:t>
      </w:r>
      <w:r w:rsidR="0009776C">
        <w:rPr>
          <w:sz w:val="24"/>
        </w:rPr>
        <w:t>c</w:t>
      </w:r>
      <w:r w:rsidRPr="00FE685E">
        <w:rPr>
          <w:sz w:val="24"/>
        </w:rPr>
        <w:t>) Carbon/Epoxy</w:t>
      </w:r>
      <w:r w:rsidR="003E7B87">
        <w:rPr>
          <w:sz w:val="24"/>
        </w:rPr>
        <w:t>.  Error bars are associated with 95% confidence</w:t>
      </w:r>
      <w:r w:rsidR="00274108">
        <w:rPr>
          <w:sz w:val="24"/>
        </w:rPr>
        <w:t xml:space="preserve"> for n=8 samples</w:t>
      </w:r>
      <w:bookmarkEnd w:id="77"/>
    </w:p>
    <w:p w14:paraId="596C4957" w14:textId="7F09E905" w:rsidR="0049383C" w:rsidRDefault="0049383C" w:rsidP="0049383C">
      <w:pPr>
        <w:pStyle w:val="Heading3"/>
      </w:pPr>
      <w:bookmarkStart w:id="78" w:name="_Toc346310971"/>
      <w:r>
        <w:lastRenderedPageBreak/>
        <w:t>Laminate Void Volume Fraction Results</w:t>
      </w:r>
      <w:bookmarkEnd w:id="78"/>
    </w:p>
    <w:p w14:paraId="25DB7407" w14:textId="3FA85AE9" w:rsidR="00110607" w:rsidRDefault="0049383C" w:rsidP="000C2B03">
      <w:pPr>
        <w:ind w:firstLine="360"/>
      </w:pPr>
      <w:r>
        <w:t>The average void</w:t>
      </w:r>
      <w:r w:rsidR="00274108">
        <w:t xml:space="preserve"> volume</w:t>
      </w:r>
      <w:r>
        <w:t xml:space="preserve"> fraction for the three-prepreg material systems is shown in </w:t>
      </w:r>
      <w:r>
        <w:fldChar w:fldCharType="begin"/>
      </w:r>
      <w:r>
        <w:instrText xml:space="preserve"> REF _Ref460496390 \h </w:instrText>
      </w:r>
      <w:r>
        <w:fldChar w:fldCharType="separate"/>
      </w:r>
      <w:r w:rsidR="008A1992" w:rsidRPr="00A92FAD">
        <w:t xml:space="preserve">Figure </w:t>
      </w:r>
      <w:r w:rsidR="008A1992">
        <w:rPr>
          <w:noProof/>
        </w:rPr>
        <w:t>2</w:t>
      </w:r>
      <w:r w:rsidR="008A1992">
        <w:t>.</w:t>
      </w:r>
      <w:r w:rsidR="008A1992">
        <w:rPr>
          <w:noProof/>
        </w:rPr>
        <w:t>10</w:t>
      </w:r>
      <w:r>
        <w:fldChar w:fldCharType="end"/>
      </w:r>
      <w:r>
        <w:t xml:space="preserve">. </w:t>
      </w:r>
      <w:r w:rsidR="000C2B03">
        <w:t xml:space="preserve"> </w:t>
      </w:r>
      <w:r>
        <w:t xml:space="preserve">For reporting purposes, the average void </w:t>
      </w:r>
      <w:r w:rsidR="00274108">
        <w:t xml:space="preserve">volume </w:t>
      </w:r>
      <w:r>
        <w:t>fraction with 95% confidence intervals for each fabricated laminate is provided in Appendix A.</w:t>
      </w:r>
      <w:r w:rsidR="00110607">
        <w:t xml:space="preserve">  </w:t>
      </w:r>
      <w:r w:rsidR="000C2B03">
        <w:t xml:space="preserve">The range of void fractions was significantly different for each prepreg material.  </w:t>
      </w:r>
      <w:r w:rsidR="00110607">
        <w:t xml:space="preserve">As expected, for all prepreg </w:t>
      </w:r>
      <w:r w:rsidR="000C2B03">
        <w:t>materials</w:t>
      </w:r>
      <w:r w:rsidR="00110607">
        <w:t xml:space="preserve">, the void </w:t>
      </w:r>
      <w:r w:rsidR="00274108">
        <w:t xml:space="preserve">volume </w:t>
      </w:r>
      <w:r w:rsidR="00110607">
        <w:t>fraction increased as relative humidity exposure level increased and as the fabrication pressure decreased.  The artificially induced high levels of voids and how the void fraction changes among the different material systems clearly illustrate the importance of: (a) removing volatiles and trapped micro-voids during cure by a vacuum bag, (b) proper storage of prepregs in a low humidity environment, and (c) applying proper level of fabrication pressure.  Overall, the quartz/BMI laminates co</w:t>
      </w:r>
      <w:r w:rsidR="00274108">
        <w:t>ntained the highest void levels.  Therefore, BMI is more susceptible to a high level of voids when tools used to remove volatiles (i.e. vacuum-bag) are not utilized.</w:t>
      </w:r>
      <w:r w:rsidR="00110607">
        <w:t xml:space="preserve"> </w:t>
      </w:r>
      <w:r w:rsidR="00274108">
        <w:t xml:space="preserve"> </w:t>
      </w:r>
      <w:r w:rsidR="00110607">
        <w:t>The volatiles that are typically expelled during cure seem to have been trapped, thus forming voids without the presence of vacuum.  The increase in fabrication pressure only helped to marginally reduce the void volume fraction, possibly by only reducing the size of the trapped voids.</w:t>
      </w:r>
    </w:p>
    <w:p w14:paraId="6EFEF314" w14:textId="39D123E5" w:rsidR="00110607" w:rsidRDefault="00110607" w:rsidP="00110607">
      <w:pPr>
        <w:ind w:firstLine="360"/>
      </w:pPr>
      <w:r>
        <w:t xml:space="preserve">The effect of the resin in dictating the void levels becomes clear when </w:t>
      </w:r>
      <w:r>
        <w:fldChar w:fldCharType="begin"/>
      </w:r>
      <w:r>
        <w:instrText xml:space="preserve"> REF _Ref460496390 \h </w:instrText>
      </w:r>
      <w:r>
        <w:fldChar w:fldCharType="separate"/>
      </w:r>
      <w:r w:rsidR="008A1992" w:rsidRPr="00A92FAD">
        <w:t xml:space="preserve">Figure </w:t>
      </w:r>
      <w:r w:rsidR="008A1992">
        <w:rPr>
          <w:noProof/>
        </w:rPr>
        <w:t>2</w:t>
      </w:r>
      <w:r w:rsidR="008A1992">
        <w:t>.</w:t>
      </w:r>
      <w:r w:rsidR="008A1992">
        <w:rPr>
          <w:noProof/>
        </w:rPr>
        <w:t>10</w:t>
      </w:r>
      <w:r>
        <w:fldChar w:fldCharType="end"/>
      </w:r>
      <w:proofErr w:type="gramStart"/>
      <w:r>
        <w:t>a and</w:t>
      </w:r>
      <w:proofErr w:type="gramEnd"/>
      <w:r>
        <w:t xml:space="preserve"> b are compared.  Since the quartz fibers are used in both cases, the </w:t>
      </w:r>
      <w:r w:rsidR="00274108">
        <w:t>resin primarily influences the difference in the void volume fraction</w:t>
      </w:r>
      <w:r>
        <w:t xml:space="preserve">.  It is interesting to note that the void </w:t>
      </w:r>
      <w:r w:rsidR="00274108">
        <w:t xml:space="preserve">volume </w:t>
      </w:r>
      <w:r>
        <w:t xml:space="preserve">fraction of quartz/epoxy laminates are much more susceptible to the prepreg storage conditions as shown in </w:t>
      </w:r>
      <w:r>
        <w:fldChar w:fldCharType="begin"/>
      </w:r>
      <w:r>
        <w:instrText xml:space="preserve"> REF _Ref460496390 \h </w:instrText>
      </w:r>
      <w:r>
        <w:fldChar w:fldCharType="separate"/>
      </w:r>
      <w:r w:rsidR="008A1992" w:rsidRPr="00A92FAD">
        <w:t xml:space="preserve">Figure </w:t>
      </w:r>
      <w:r w:rsidR="008A1992">
        <w:rPr>
          <w:noProof/>
        </w:rPr>
        <w:t>2</w:t>
      </w:r>
      <w:r w:rsidR="008A1992">
        <w:t>.</w:t>
      </w:r>
      <w:r w:rsidR="008A1992">
        <w:rPr>
          <w:noProof/>
        </w:rPr>
        <w:t>10</w:t>
      </w:r>
      <w:r>
        <w:fldChar w:fldCharType="end"/>
      </w:r>
      <w:r>
        <w:t xml:space="preserve">b.  For example, if the quartz/epoxy prepregs are stored in a low humidity environment of 2% RH, a high processing </w:t>
      </w:r>
      <w:r>
        <w:lastRenderedPageBreak/>
        <w:t>pressure of 482.6 kPa almost totally eliminates all voids, whereas a high humidity storage environment may lead to more than 5% voids.</w:t>
      </w:r>
    </w:p>
    <w:p w14:paraId="5C262DF8" w14:textId="63EEC677" w:rsidR="0049383C" w:rsidRDefault="00110607" w:rsidP="00110607">
      <w:pPr>
        <w:ind w:firstLine="360"/>
      </w:pPr>
      <w:r>
        <w:t xml:space="preserve">The carbon/epoxy laminates had a void </w:t>
      </w:r>
      <w:r w:rsidR="00274108">
        <w:t xml:space="preserve">volume </w:t>
      </w:r>
      <w:r>
        <w:t>fraction range of about 1% to 5%, which is much lower than the other two prepregs with the quartz fiber and similar to other void levels reported for carbon/epoxy material systems in literature.  For example, Muller de Almeida et al.</w:t>
      </w:r>
      <w:r w:rsidR="007B5482">
        <w:t xml:space="preserve"> [24] </w:t>
      </w:r>
      <w:r>
        <w:t>reported a void fraction range of 1.3-5.9% for carbon/epoxy laminates with a fiber volume fraction of approximately 61%.  Liu et al.</w:t>
      </w:r>
      <w:r w:rsidR="007B5482">
        <w:t xml:space="preserve"> [17]</w:t>
      </w:r>
      <w:r>
        <w:t xml:space="preserve"> reported a reduction in void fraction from 3.2 to 0.6% as the autoclave applied cure pressure increased from 0.0 to 0.6 MPa.  The results shown in </w:t>
      </w:r>
      <w:r>
        <w:fldChar w:fldCharType="begin"/>
      </w:r>
      <w:r>
        <w:instrText xml:space="preserve"> REF _Ref460496390 \h </w:instrText>
      </w:r>
      <w:r>
        <w:fldChar w:fldCharType="separate"/>
      </w:r>
      <w:r w:rsidR="008A1992" w:rsidRPr="00A92FAD">
        <w:t xml:space="preserve">Figure </w:t>
      </w:r>
      <w:r w:rsidR="008A1992">
        <w:rPr>
          <w:noProof/>
        </w:rPr>
        <w:t>2</w:t>
      </w:r>
      <w:r w:rsidR="008A1992">
        <w:t>.</w:t>
      </w:r>
      <w:r w:rsidR="008A1992">
        <w:rPr>
          <w:noProof/>
        </w:rPr>
        <w:t>10</w:t>
      </w:r>
      <w:r>
        <w:fldChar w:fldCharType="end"/>
      </w:r>
      <w:r>
        <w:t xml:space="preserve">c indicate that the IM7/EX-1522 prepreg is much less susceptible to prepreg storage conditions compared to AQIII/EX-1522, which has the same epoxy resin but </w:t>
      </w:r>
      <w:r w:rsidR="00274108">
        <w:t>h</w:t>
      </w:r>
      <w:r>
        <w:t>as the quartz fiber, AQIII, reinforcement instead of the carbon IM7.  The fiber/resin interphase or the sizing used in the AQIII/EX-1522 prepregs may act as storage sites for the moisture if the prepreg is stored in a highly humid environment.  Therefore, the expelled moisture during cure forms higher levels of microvoids in quartz/epoxy laminates compared to carbon/epoxy laminates.  The epoxy resin EX-1522 seems to have less volatiles and a high quality laminate can be produced even without the vacuum bag if the prepreg is stored properly in a dry environment and a sufficiently high fabrication pressure is applied.</w:t>
      </w:r>
    </w:p>
    <w:p w14:paraId="7980A199" w14:textId="77777777" w:rsidR="00386413" w:rsidRDefault="00386413">
      <w:pPr>
        <w:spacing w:line="240" w:lineRule="auto"/>
        <w:jc w:val="left"/>
      </w:pPr>
      <w:r>
        <w:br w:type="page"/>
      </w:r>
    </w:p>
    <w:p w14:paraId="3C269D40" w14:textId="0FC0AB7F" w:rsidR="00A92FAD" w:rsidRDefault="000C2B03" w:rsidP="000C2B03">
      <w:pPr>
        <w:spacing w:line="240" w:lineRule="auto"/>
        <w:jc w:val="center"/>
      </w:pPr>
      <w:r>
        <w:rPr>
          <w:noProof/>
        </w:rPr>
        <w:lastRenderedPageBreak/>
        <w:drawing>
          <wp:inline distT="0" distB="0" distL="0" distR="0" wp14:anchorId="6D7FD883" wp14:editId="3B36B718">
            <wp:extent cx="5394960" cy="2514600"/>
            <wp:effectExtent l="0" t="0" r="0" b="0"/>
            <wp:docPr id="260" name="Chart 26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06B82DB" w14:textId="6E4C806B" w:rsidR="00A92FAD" w:rsidRDefault="003511B3" w:rsidP="003511B3">
      <w:pPr>
        <w:spacing w:line="240" w:lineRule="auto"/>
        <w:jc w:val="center"/>
      </w:pPr>
      <w:r>
        <w:rPr>
          <w:noProof/>
        </w:rPr>
        <w:drawing>
          <wp:inline distT="0" distB="0" distL="0" distR="0" wp14:anchorId="07E78149" wp14:editId="3D1AD56E">
            <wp:extent cx="5394960" cy="2514600"/>
            <wp:effectExtent l="0" t="0" r="0" b="0"/>
            <wp:docPr id="265" name="Chart 26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787E6E6" w14:textId="61E373A1" w:rsidR="00A92FAD" w:rsidRDefault="003511B3" w:rsidP="003511B3">
      <w:pPr>
        <w:keepNext/>
        <w:spacing w:after="120" w:line="240" w:lineRule="auto"/>
        <w:jc w:val="center"/>
      </w:pPr>
      <w:r>
        <w:rPr>
          <w:noProof/>
        </w:rPr>
        <w:drawing>
          <wp:inline distT="0" distB="0" distL="0" distR="0" wp14:anchorId="6DD7C5BF" wp14:editId="497AC244">
            <wp:extent cx="5394960" cy="2514600"/>
            <wp:effectExtent l="0" t="0" r="0" b="0"/>
            <wp:docPr id="266" name="Chart 26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3B1C924" w14:textId="55959158" w:rsidR="00A92FAD" w:rsidRPr="00A92FAD" w:rsidRDefault="00A92FAD" w:rsidP="00A92FAD">
      <w:pPr>
        <w:pStyle w:val="Caption"/>
        <w:spacing w:line="240" w:lineRule="auto"/>
        <w:jc w:val="center"/>
        <w:rPr>
          <w:sz w:val="24"/>
        </w:rPr>
      </w:pPr>
      <w:bookmarkStart w:id="79" w:name="_Ref460496390"/>
      <w:bookmarkStart w:id="80" w:name="_Toc346310418"/>
      <w:proofErr w:type="gramStart"/>
      <w:r w:rsidRPr="00A92FAD">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2</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10</w:t>
      </w:r>
      <w:r w:rsidR="00C16D85">
        <w:rPr>
          <w:sz w:val="24"/>
        </w:rPr>
        <w:fldChar w:fldCharType="end"/>
      </w:r>
      <w:bookmarkEnd w:id="79"/>
      <w:r w:rsidRPr="00A92FAD">
        <w:rPr>
          <w:sz w:val="24"/>
        </w:rPr>
        <w:t xml:space="preserve"> Average void </w:t>
      </w:r>
      <w:r w:rsidR="00557D79">
        <w:rPr>
          <w:sz w:val="24"/>
        </w:rPr>
        <w:t>fraction</w:t>
      </w:r>
      <w:r>
        <w:rPr>
          <w:sz w:val="24"/>
        </w:rPr>
        <w:t xml:space="preserve"> </w:t>
      </w:r>
      <w:r w:rsidRPr="00FE685E">
        <w:rPr>
          <w:sz w:val="24"/>
        </w:rPr>
        <w:t>as prepreg moisture content</w:t>
      </w:r>
      <w:r>
        <w:rPr>
          <w:sz w:val="24"/>
        </w:rPr>
        <w:t xml:space="preserve"> (M</w:t>
      </w:r>
      <w:r w:rsidRPr="00FE685E">
        <w:rPr>
          <w:sz w:val="24"/>
          <w:vertAlign w:val="subscript"/>
        </w:rPr>
        <w:t>PP</w:t>
      </w:r>
      <w:r>
        <w:rPr>
          <w:sz w:val="24"/>
        </w:rPr>
        <w:t>)</w:t>
      </w:r>
      <w:r w:rsidRPr="00FE685E">
        <w:rPr>
          <w:sz w:val="24"/>
        </w:rPr>
        <w:t xml:space="preserve"> and fabrication p</w:t>
      </w:r>
      <w:r w:rsidR="00557D79">
        <w:rPr>
          <w:sz w:val="24"/>
        </w:rPr>
        <w:t>ressure changed for (a) Quartz/BMI, (b) Quartz/Epoxy, and (c</w:t>
      </w:r>
      <w:r w:rsidRPr="00FE685E">
        <w:rPr>
          <w:sz w:val="24"/>
        </w:rPr>
        <w:t>) Carbon/Epoxy</w:t>
      </w:r>
      <w:r w:rsidR="003E7B87">
        <w:rPr>
          <w:sz w:val="24"/>
        </w:rPr>
        <w:t>.  E</w:t>
      </w:r>
      <w:r w:rsidR="00557D79">
        <w:rPr>
          <w:sz w:val="24"/>
        </w:rPr>
        <w:t>rror bars are associated with 95</w:t>
      </w:r>
      <w:r w:rsidR="003E7B87">
        <w:rPr>
          <w:sz w:val="24"/>
        </w:rPr>
        <w:t>% confidence</w:t>
      </w:r>
      <w:r w:rsidR="003F7EF1">
        <w:rPr>
          <w:sz w:val="24"/>
        </w:rPr>
        <w:t xml:space="preserve"> for n=8 samples</w:t>
      </w:r>
      <w:bookmarkEnd w:id="80"/>
    </w:p>
    <w:p w14:paraId="40D8EDC4" w14:textId="77777777" w:rsidR="00775B99" w:rsidRDefault="00775B99" w:rsidP="00775B99">
      <w:pPr>
        <w:pStyle w:val="Heading3"/>
      </w:pPr>
      <w:bookmarkStart w:id="81" w:name="_Ref343765995"/>
      <w:bookmarkStart w:id="82" w:name="_Ref344120731"/>
      <w:bookmarkStart w:id="83" w:name="_Toc346310972"/>
      <w:r>
        <w:lastRenderedPageBreak/>
        <w:t>Effect of Prepreg Humidity Exposure on Laminate Fiber Volume Fraction</w:t>
      </w:r>
      <w:bookmarkEnd w:id="81"/>
      <w:bookmarkEnd w:id="82"/>
      <w:bookmarkEnd w:id="83"/>
    </w:p>
    <w:p w14:paraId="5D2640A8" w14:textId="4D067C70" w:rsidR="00775B99" w:rsidRDefault="007F7684" w:rsidP="00775B99">
      <w:pPr>
        <w:ind w:firstLine="360"/>
      </w:pPr>
      <w:r w:rsidRPr="007F7684">
        <w:t>The e</w:t>
      </w:r>
      <w:r>
        <w:t xml:space="preserve">ffect of varying humidity exposure on the laminate fiber volume fraction for each prepreg material is shown in </w:t>
      </w:r>
      <w:r>
        <w:fldChar w:fldCharType="begin"/>
      </w:r>
      <w:r>
        <w:instrText xml:space="preserve"> REF _Ref343148180 \h </w:instrText>
      </w:r>
      <w:r>
        <w:fldChar w:fldCharType="separate"/>
      </w:r>
      <w:r w:rsidR="008A1992" w:rsidRPr="00D30CEF">
        <w:t xml:space="preserve">Figure </w:t>
      </w:r>
      <w:r w:rsidR="008A1992">
        <w:rPr>
          <w:noProof/>
        </w:rPr>
        <w:t>2</w:t>
      </w:r>
      <w:r w:rsidR="008A1992">
        <w:t>.</w:t>
      </w:r>
      <w:r w:rsidR="008A1992">
        <w:rPr>
          <w:noProof/>
        </w:rPr>
        <w:t>11</w:t>
      </w:r>
      <w:r>
        <w:fldChar w:fldCharType="end"/>
      </w:r>
      <w:r>
        <w:t xml:space="preserve">.  </w:t>
      </w:r>
      <w:r w:rsidR="001E5113">
        <w:t xml:space="preserve">The linear trend line fits for each prepreg conditioning and fabrication pressure specimen is provided in </w:t>
      </w:r>
      <w:r w:rsidR="001E5113">
        <w:fldChar w:fldCharType="begin"/>
      </w:r>
      <w:r w:rsidR="001E5113">
        <w:instrText xml:space="preserve"> REF _Ref343763147 \h </w:instrText>
      </w:r>
      <w:r w:rsidR="001E5113">
        <w:fldChar w:fldCharType="separate"/>
      </w:r>
      <w:r w:rsidR="008A1992" w:rsidRPr="005901A5">
        <w:t xml:space="preserve">Table </w:t>
      </w:r>
      <w:r w:rsidR="008A1992">
        <w:rPr>
          <w:noProof/>
        </w:rPr>
        <w:t>2</w:t>
      </w:r>
      <w:r w:rsidR="008A1992">
        <w:t>.</w:t>
      </w:r>
      <w:r w:rsidR="008A1992">
        <w:rPr>
          <w:noProof/>
        </w:rPr>
        <w:t>6</w:t>
      </w:r>
      <w:r w:rsidR="001E5113">
        <w:fldChar w:fldCharType="end"/>
      </w:r>
      <w:r w:rsidR="001E5113">
        <w:t xml:space="preserve">.  </w:t>
      </w:r>
      <w:r w:rsidR="001B6C5D">
        <w:t>For comparative purposes, power-function trend line</w:t>
      </w:r>
      <w:r w:rsidR="00177745">
        <w:t>s resulted in R</w:t>
      </w:r>
      <w:r w:rsidR="00177745" w:rsidRPr="00177745">
        <w:rPr>
          <w:vertAlign w:val="superscript"/>
        </w:rPr>
        <w:t>2</w:t>
      </w:r>
      <w:r w:rsidR="00177745">
        <w:t xml:space="preserve">-values of 0.20-0.30 as opposed to </w:t>
      </w:r>
      <w:r w:rsidR="001B6C5D">
        <w:t>the</w:t>
      </w:r>
      <w:r w:rsidR="00177745">
        <w:t xml:space="preserve"> R</w:t>
      </w:r>
      <w:r w:rsidR="00177745" w:rsidRPr="00177745">
        <w:rPr>
          <w:vertAlign w:val="superscript"/>
        </w:rPr>
        <w:t>2</w:t>
      </w:r>
      <w:r w:rsidR="00177745">
        <w:t>-values of 0.60-0.97 for the selected</w:t>
      </w:r>
      <w:r w:rsidR="001B6C5D">
        <w:t xml:space="preserve"> linear trend line fits</w:t>
      </w:r>
      <w:r w:rsidR="00177745">
        <w:t>.</w:t>
      </w:r>
      <w:r w:rsidR="001B6C5D">
        <w:t xml:space="preserve"> </w:t>
      </w:r>
      <w:r w:rsidR="00177745">
        <w:t xml:space="preserve"> Additionally, the experimental data clearly exhibited very limited effects of humidity exposure on the fiber volume fraction.  Therefore, higher order trend line representations (i.e. polynomial) would not be an accurate representation of the fiber volume fraction.  </w:t>
      </w:r>
      <w:r w:rsidR="008866A6">
        <w:t>The laminate fiber volume fraction was not influenced greatly by varying levels of humidity exposure for a</w:t>
      </w:r>
      <w:r>
        <w:t>ll prepreg</w:t>
      </w:r>
      <w:r w:rsidR="008866A6">
        <w:t xml:space="preserve"> materials.  For example, in </w:t>
      </w:r>
      <w:r w:rsidR="00487A82">
        <w:t>the most extreme case</w:t>
      </w:r>
      <w:r w:rsidR="008866A6">
        <w:t xml:space="preserve">, the fiber volume fraction for BMI </w:t>
      </w:r>
      <w:r w:rsidR="001E5113">
        <w:t>(</w:t>
      </w:r>
      <w:r w:rsidR="001E5113">
        <w:fldChar w:fldCharType="begin"/>
      </w:r>
      <w:r w:rsidR="001E5113">
        <w:instrText xml:space="preserve"> REF _Ref343148180 \h </w:instrText>
      </w:r>
      <w:r w:rsidR="001E5113">
        <w:fldChar w:fldCharType="separate"/>
      </w:r>
      <w:r w:rsidR="008A1992" w:rsidRPr="00D30CEF">
        <w:t xml:space="preserve">Figure </w:t>
      </w:r>
      <w:r w:rsidR="008A1992">
        <w:rPr>
          <w:noProof/>
        </w:rPr>
        <w:t>2</w:t>
      </w:r>
      <w:r w:rsidR="008A1992">
        <w:t>.</w:t>
      </w:r>
      <w:r w:rsidR="008A1992">
        <w:rPr>
          <w:noProof/>
        </w:rPr>
        <w:t>11</w:t>
      </w:r>
      <w:r w:rsidR="001E5113">
        <w:fldChar w:fldCharType="end"/>
      </w:r>
      <w:r w:rsidR="00681525">
        <w:t>b</w:t>
      </w:r>
      <w:r w:rsidR="001E5113">
        <w:t xml:space="preserve">) </w:t>
      </w:r>
      <w:r w:rsidR="00487A82">
        <w:t>increased</w:t>
      </w:r>
      <w:r w:rsidR="008866A6">
        <w:t xml:space="preserve"> by less than 4.7%</w:t>
      </w:r>
      <w:r w:rsidR="00487A82">
        <w:t xml:space="preserve"> when humidity exposure increased from 0% RH to 100% RH.  </w:t>
      </w:r>
      <w:r w:rsidR="00A80E2F">
        <w:t>Therefore, this behavior corroborates the hypothesis that exposing prepregs to varying humidity levels will</w:t>
      </w:r>
      <w:r w:rsidR="00487A82">
        <w:t xml:space="preserve"> primarily affect</w:t>
      </w:r>
      <w:r w:rsidR="00A80E2F">
        <w:t xml:space="preserve"> the laminate void</w:t>
      </w:r>
      <w:r w:rsidR="003F7EF1">
        <w:t xml:space="preserve"> volume</w:t>
      </w:r>
      <w:r w:rsidR="00A80E2F">
        <w:t xml:space="preserve"> fraction without significantly affecting the laminate fiber volume fraction.</w:t>
      </w:r>
      <w:r w:rsidR="001E5113">
        <w:t xml:space="preserve">  Both epoxy-resin systems, </w:t>
      </w:r>
      <w:r w:rsidR="001E5113">
        <w:fldChar w:fldCharType="begin"/>
      </w:r>
      <w:r w:rsidR="001E5113">
        <w:instrText xml:space="preserve"> REF _Ref343148180 \h </w:instrText>
      </w:r>
      <w:r w:rsidR="001E5113">
        <w:fldChar w:fldCharType="separate"/>
      </w:r>
      <w:r w:rsidR="008A1992" w:rsidRPr="00D30CEF">
        <w:t xml:space="preserve">Figure </w:t>
      </w:r>
      <w:r w:rsidR="008A1992">
        <w:rPr>
          <w:noProof/>
        </w:rPr>
        <w:t>2</w:t>
      </w:r>
      <w:r w:rsidR="008A1992">
        <w:t>.</w:t>
      </w:r>
      <w:r w:rsidR="008A1992">
        <w:rPr>
          <w:noProof/>
        </w:rPr>
        <w:t>11</w:t>
      </w:r>
      <w:r w:rsidR="001E5113">
        <w:fldChar w:fldCharType="end"/>
      </w:r>
      <w:proofErr w:type="gramStart"/>
      <w:r w:rsidR="00681525">
        <w:t>a</w:t>
      </w:r>
      <w:r w:rsidR="001E5113">
        <w:t xml:space="preserve"> and</w:t>
      </w:r>
      <w:proofErr w:type="gramEnd"/>
      <w:r w:rsidR="001E5113">
        <w:t xml:space="preserve"> c, were </w:t>
      </w:r>
      <w:r w:rsidR="003F7EF1">
        <w:t>influenced less</w:t>
      </w:r>
      <w:r w:rsidR="001E5113">
        <w:t xml:space="preserve"> to varying humidity levels.  The fiber volume fraction for quartz/epoxy was nearly exclusively varied by fabrication pressure, which is indicated by the near-horizontal trend lines in </w:t>
      </w:r>
      <w:r w:rsidR="001E5113">
        <w:fldChar w:fldCharType="begin"/>
      </w:r>
      <w:r w:rsidR="001E5113">
        <w:instrText xml:space="preserve"> REF _Ref343148180 \h </w:instrText>
      </w:r>
      <w:r w:rsidR="001E5113">
        <w:fldChar w:fldCharType="separate"/>
      </w:r>
      <w:r w:rsidR="008A1992" w:rsidRPr="00D30CEF">
        <w:t xml:space="preserve">Figure </w:t>
      </w:r>
      <w:r w:rsidR="008A1992">
        <w:rPr>
          <w:noProof/>
        </w:rPr>
        <w:t>2</w:t>
      </w:r>
      <w:r w:rsidR="008A1992">
        <w:t>.</w:t>
      </w:r>
      <w:r w:rsidR="008A1992">
        <w:rPr>
          <w:noProof/>
        </w:rPr>
        <w:t>11</w:t>
      </w:r>
      <w:r w:rsidR="001E5113">
        <w:fldChar w:fldCharType="end"/>
      </w:r>
      <w:r w:rsidR="00681525">
        <w:t>a</w:t>
      </w:r>
      <w:r w:rsidR="001E5113">
        <w:t xml:space="preserve">.  Meanwhile, the carbon fiber reinforced epoxy laminates in </w:t>
      </w:r>
      <w:r w:rsidR="001E5113">
        <w:fldChar w:fldCharType="begin"/>
      </w:r>
      <w:r w:rsidR="001E5113">
        <w:instrText xml:space="preserve"> REF _Ref343148180 \h </w:instrText>
      </w:r>
      <w:r w:rsidR="001E5113">
        <w:fldChar w:fldCharType="separate"/>
      </w:r>
      <w:r w:rsidR="008A1992" w:rsidRPr="00D30CEF">
        <w:t xml:space="preserve">Figure </w:t>
      </w:r>
      <w:r w:rsidR="008A1992">
        <w:rPr>
          <w:noProof/>
        </w:rPr>
        <w:t>2</w:t>
      </w:r>
      <w:r w:rsidR="008A1992">
        <w:t>.</w:t>
      </w:r>
      <w:r w:rsidR="008A1992">
        <w:rPr>
          <w:noProof/>
        </w:rPr>
        <w:t>11</w:t>
      </w:r>
      <w:r w:rsidR="001E5113">
        <w:fldChar w:fldCharType="end"/>
      </w:r>
      <w:r w:rsidR="001E5113">
        <w:t xml:space="preserve">c demonstrated slight decreases in fiber volume fraction as humidity exposure increased.  </w:t>
      </w:r>
    </w:p>
    <w:p w14:paraId="3F4E7414" w14:textId="7A00788F" w:rsidR="00D30CEF" w:rsidRDefault="002213B1" w:rsidP="00D30CEF">
      <w:pPr>
        <w:keepNext/>
        <w:jc w:val="center"/>
      </w:pPr>
      <w:r>
        <w:rPr>
          <w:noProof/>
        </w:rPr>
        <w:lastRenderedPageBreak/>
        <mc:AlternateContent>
          <mc:Choice Requires="wpg">
            <w:drawing>
              <wp:inline distT="0" distB="0" distL="0" distR="0" wp14:anchorId="7F1E03C0" wp14:editId="3F459881">
                <wp:extent cx="5394960" cy="4663301"/>
                <wp:effectExtent l="0" t="0" r="0" b="10795"/>
                <wp:docPr id="30" name="Group 5"/>
                <wp:cNvGraphicFramePr/>
                <a:graphic xmlns:a="http://schemas.openxmlformats.org/drawingml/2006/main">
                  <a:graphicData uri="http://schemas.microsoft.com/office/word/2010/wordprocessingGroup">
                    <wpg:wgp>
                      <wpg:cNvGrpSpPr/>
                      <wpg:grpSpPr>
                        <a:xfrm>
                          <a:off x="0" y="0"/>
                          <a:ext cx="5394960" cy="4663301"/>
                          <a:chOff x="0" y="0"/>
                          <a:chExt cx="5427165" cy="4691362"/>
                        </a:xfrm>
                      </wpg:grpSpPr>
                      <wpg:graphicFrame>
                        <wpg:cNvPr id="31" name="Chart 31"/>
                        <wpg:cNvFrPr/>
                        <wpg:xfrm>
                          <a:off x="2713173" y="0"/>
                          <a:ext cx="2713992" cy="2345690"/>
                        </wpg:xfrm>
                        <a:graphic>
                          <a:graphicData uri="http://schemas.openxmlformats.org/drawingml/2006/chart">
                            <c:chart xmlns:c="http://schemas.openxmlformats.org/drawingml/2006/chart" xmlns:r="http://schemas.openxmlformats.org/officeDocument/2006/relationships" r:id="rId34"/>
                          </a:graphicData>
                        </a:graphic>
                      </wpg:graphicFrame>
                      <wpg:graphicFrame>
                        <wpg:cNvPr id="238" name="Chart 238"/>
                        <wpg:cNvFrPr>
                          <a:graphicFrameLocks/>
                        </wpg:cNvFrPr>
                        <wpg:xfrm>
                          <a:off x="0" y="0"/>
                          <a:ext cx="2713992" cy="2345690"/>
                        </wpg:xfrm>
                        <a:graphic>
                          <a:graphicData uri="http://schemas.openxmlformats.org/drawingml/2006/chart">
                            <c:chart xmlns:c="http://schemas.openxmlformats.org/drawingml/2006/chart" xmlns:r="http://schemas.openxmlformats.org/officeDocument/2006/relationships" r:id="rId35"/>
                          </a:graphicData>
                        </a:graphic>
                      </wpg:graphicFrame>
                      <wpg:graphicFrame>
                        <wpg:cNvPr id="239" name="Chart 239"/>
                        <wpg:cNvFrPr>
                          <a:graphicFrameLocks/>
                        </wpg:cNvFrPr>
                        <wpg:xfrm>
                          <a:off x="1384300" y="2345672"/>
                          <a:ext cx="2713992" cy="2345690"/>
                        </wpg:xfrm>
                        <a:graphic>
                          <a:graphicData uri="http://schemas.openxmlformats.org/drawingml/2006/chart">
                            <c:chart xmlns:c="http://schemas.openxmlformats.org/drawingml/2006/chart" xmlns:r="http://schemas.openxmlformats.org/officeDocument/2006/relationships" r:id="rId36"/>
                          </a:graphicData>
                        </a:graphic>
                      </wpg:graphicFrame>
                    </wpg:wgp>
                  </a:graphicData>
                </a:graphic>
              </wp:inline>
            </w:drawing>
          </mc:Choice>
          <mc:Fallback xmlns:w15="http://schemas.microsoft.com/office/word/2012/wordml">
            <w:pict>
              <v:group w14:anchorId="5B0AD909" id="Group 5" o:spid="_x0000_s1026" style="width:424.8pt;height:367.2pt;mso-position-horizontal-relative:char;mso-position-vertical-relative:line" coordsize="54271,46913" o:gfxdata="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">
                <v:shape id="Chart 31" o:spid="_x0000_s1027" type="#_x0000_t75" style="position:absolute;left:27105;width:27166;height:23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">
                  <v:imagedata r:id="rId37" o:title=""/>
                  <o:lock v:ext="edit" aspectratio="f"/>
                </v:shape>
                <v:shape id="Chart 238" o:spid="_x0000_s1028" type="#_x0000_t75" style="position:absolute;width:27166;height:23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">
                  <v:imagedata r:id="rId38" o:title=""/>
                  <o:lock v:ext="edit" aspectratio="f"/>
                </v:shape>
                <v:shape id="Chart 239" o:spid="_x0000_s1029" type="#_x0000_t75" style="position:absolute;left:13797;top:23426;width:27228;height:2348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">
                  <v:imagedata r:id="rId39" o:title=""/>
                  <o:lock v:ext="edit" aspectratio="f"/>
                </v:shape>
                <w10:anchorlock/>
              </v:group>
            </w:pict>
          </mc:Fallback>
        </mc:AlternateContent>
      </w:r>
    </w:p>
    <w:p w14:paraId="66C31483" w14:textId="36E7986D" w:rsidR="00775B99" w:rsidRDefault="00D30CEF" w:rsidP="00D30CEF">
      <w:pPr>
        <w:pStyle w:val="Caption"/>
        <w:spacing w:line="240" w:lineRule="auto"/>
        <w:jc w:val="center"/>
        <w:rPr>
          <w:sz w:val="24"/>
          <w:szCs w:val="24"/>
        </w:rPr>
      </w:pPr>
      <w:bookmarkStart w:id="84" w:name="_Ref343148180"/>
      <w:bookmarkStart w:id="85" w:name="_Toc346310419"/>
      <w:proofErr w:type="gramStart"/>
      <w:r w:rsidRPr="00D30CEF">
        <w:rPr>
          <w:sz w:val="24"/>
          <w:szCs w:val="24"/>
        </w:rPr>
        <w:t xml:space="preserve">Figure </w:t>
      </w:r>
      <w:r w:rsidR="00C16D85">
        <w:rPr>
          <w:sz w:val="24"/>
          <w:szCs w:val="24"/>
        </w:rPr>
        <w:fldChar w:fldCharType="begin"/>
      </w:r>
      <w:r w:rsidR="00C16D85">
        <w:rPr>
          <w:sz w:val="24"/>
          <w:szCs w:val="24"/>
        </w:rPr>
        <w:instrText xml:space="preserve"> STYLEREF 1 \s </w:instrText>
      </w:r>
      <w:r w:rsidR="00C16D85">
        <w:rPr>
          <w:sz w:val="24"/>
          <w:szCs w:val="24"/>
        </w:rPr>
        <w:fldChar w:fldCharType="separate"/>
      </w:r>
      <w:r w:rsidR="008A1992">
        <w:rPr>
          <w:noProof/>
          <w:sz w:val="24"/>
          <w:szCs w:val="24"/>
        </w:rPr>
        <w:t>2</w:t>
      </w:r>
      <w:r w:rsidR="00C16D85">
        <w:rPr>
          <w:sz w:val="24"/>
          <w:szCs w:val="24"/>
        </w:rPr>
        <w:fldChar w:fldCharType="end"/>
      </w:r>
      <w:r w:rsidR="00C16D85">
        <w:rPr>
          <w:sz w:val="24"/>
          <w:szCs w:val="24"/>
        </w:rPr>
        <w:t>.</w:t>
      </w:r>
      <w:proofErr w:type="gramEnd"/>
      <w:r w:rsidR="00C16D85">
        <w:rPr>
          <w:sz w:val="24"/>
          <w:szCs w:val="24"/>
        </w:rPr>
        <w:fldChar w:fldCharType="begin"/>
      </w:r>
      <w:r w:rsidR="00C16D85">
        <w:rPr>
          <w:sz w:val="24"/>
          <w:szCs w:val="24"/>
        </w:rPr>
        <w:instrText xml:space="preserve"> SEQ Figure \* ARABIC \s 1 </w:instrText>
      </w:r>
      <w:r w:rsidR="00C16D85">
        <w:rPr>
          <w:sz w:val="24"/>
          <w:szCs w:val="24"/>
        </w:rPr>
        <w:fldChar w:fldCharType="separate"/>
      </w:r>
      <w:r w:rsidR="008A1992">
        <w:rPr>
          <w:noProof/>
          <w:sz w:val="24"/>
          <w:szCs w:val="24"/>
        </w:rPr>
        <w:t>11</w:t>
      </w:r>
      <w:r w:rsidR="00C16D85">
        <w:rPr>
          <w:sz w:val="24"/>
          <w:szCs w:val="24"/>
        </w:rPr>
        <w:fldChar w:fldCharType="end"/>
      </w:r>
      <w:bookmarkEnd w:id="84"/>
      <w:r w:rsidRPr="00D30CEF">
        <w:rPr>
          <w:sz w:val="24"/>
          <w:szCs w:val="24"/>
        </w:rPr>
        <w:t xml:space="preserve"> Effect of varying prepreg humidity conditioning on laminate fiber vo</w:t>
      </w:r>
      <w:r w:rsidR="00681525">
        <w:rPr>
          <w:sz w:val="24"/>
          <w:szCs w:val="24"/>
        </w:rPr>
        <w:t>lume fraction for (a) Quartz/Epoxy</w:t>
      </w:r>
      <w:r w:rsidRPr="00D30CEF">
        <w:rPr>
          <w:sz w:val="24"/>
          <w:szCs w:val="24"/>
        </w:rPr>
        <w:t>, (b) Quartz/</w:t>
      </w:r>
      <w:r w:rsidR="00681525">
        <w:rPr>
          <w:sz w:val="24"/>
          <w:szCs w:val="24"/>
        </w:rPr>
        <w:t>BMI</w:t>
      </w:r>
      <w:r w:rsidRPr="00D30CEF">
        <w:rPr>
          <w:sz w:val="24"/>
          <w:szCs w:val="24"/>
        </w:rPr>
        <w:t>, and (c) Carbon/Epoxy</w:t>
      </w:r>
      <w:bookmarkEnd w:id="85"/>
    </w:p>
    <w:p w14:paraId="5804BD08" w14:textId="77777777" w:rsidR="00D30CEF" w:rsidRDefault="00D30CEF" w:rsidP="00D30CEF"/>
    <w:p w14:paraId="406EDB55" w14:textId="13F22FB3" w:rsidR="001E5113" w:rsidRDefault="001E5113" w:rsidP="00D30CEF">
      <w:r>
        <w:br w:type="page"/>
      </w:r>
    </w:p>
    <w:p w14:paraId="441867A3" w14:textId="6208B08B" w:rsidR="005901A5" w:rsidRPr="005901A5" w:rsidRDefault="005901A5" w:rsidP="005901A5">
      <w:pPr>
        <w:pStyle w:val="Caption"/>
        <w:keepNext/>
        <w:spacing w:after="120" w:line="240" w:lineRule="auto"/>
        <w:jc w:val="center"/>
        <w:rPr>
          <w:sz w:val="24"/>
          <w:szCs w:val="24"/>
        </w:rPr>
      </w:pPr>
      <w:bookmarkStart w:id="86" w:name="_Ref343763147"/>
      <w:bookmarkStart w:id="87" w:name="_Toc346310848"/>
      <w:proofErr w:type="gramStart"/>
      <w:r w:rsidRPr="005901A5">
        <w:rPr>
          <w:sz w:val="24"/>
          <w:szCs w:val="24"/>
        </w:rPr>
        <w:lastRenderedPageBreak/>
        <w:t xml:space="preserve">Table </w:t>
      </w:r>
      <w:r w:rsidR="00707D23">
        <w:rPr>
          <w:sz w:val="24"/>
          <w:szCs w:val="24"/>
        </w:rPr>
        <w:fldChar w:fldCharType="begin"/>
      </w:r>
      <w:r w:rsidR="00707D23">
        <w:rPr>
          <w:sz w:val="24"/>
          <w:szCs w:val="24"/>
        </w:rPr>
        <w:instrText xml:space="preserve"> STYLEREF 1 \s </w:instrText>
      </w:r>
      <w:r w:rsidR="00707D23">
        <w:rPr>
          <w:sz w:val="24"/>
          <w:szCs w:val="24"/>
        </w:rPr>
        <w:fldChar w:fldCharType="separate"/>
      </w:r>
      <w:r w:rsidR="008A1992">
        <w:rPr>
          <w:noProof/>
          <w:sz w:val="24"/>
          <w:szCs w:val="24"/>
        </w:rPr>
        <w:t>2</w:t>
      </w:r>
      <w:r w:rsidR="00707D23">
        <w:rPr>
          <w:sz w:val="24"/>
          <w:szCs w:val="24"/>
        </w:rPr>
        <w:fldChar w:fldCharType="end"/>
      </w:r>
      <w:r w:rsidR="00707D23">
        <w:rPr>
          <w:sz w:val="24"/>
          <w:szCs w:val="24"/>
        </w:rPr>
        <w:t>.</w:t>
      </w:r>
      <w:proofErr w:type="gramEnd"/>
      <w:r w:rsidR="00707D23">
        <w:rPr>
          <w:sz w:val="24"/>
          <w:szCs w:val="24"/>
        </w:rPr>
        <w:fldChar w:fldCharType="begin"/>
      </w:r>
      <w:r w:rsidR="00707D23">
        <w:rPr>
          <w:sz w:val="24"/>
          <w:szCs w:val="24"/>
        </w:rPr>
        <w:instrText xml:space="preserve"> SEQ Table \* ARABIC \s 1 </w:instrText>
      </w:r>
      <w:r w:rsidR="00707D23">
        <w:rPr>
          <w:sz w:val="24"/>
          <w:szCs w:val="24"/>
        </w:rPr>
        <w:fldChar w:fldCharType="separate"/>
      </w:r>
      <w:r w:rsidR="008A1992">
        <w:rPr>
          <w:noProof/>
          <w:sz w:val="24"/>
          <w:szCs w:val="24"/>
        </w:rPr>
        <w:t>6</w:t>
      </w:r>
      <w:r w:rsidR="00707D23">
        <w:rPr>
          <w:sz w:val="24"/>
          <w:szCs w:val="24"/>
        </w:rPr>
        <w:fldChar w:fldCharType="end"/>
      </w:r>
      <w:bookmarkEnd w:id="86"/>
      <w:r w:rsidRPr="005901A5">
        <w:rPr>
          <w:sz w:val="24"/>
          <w:szCs w:val="24"/>
        </w:rPr>
        <w:t xml:space="preserve"> Trend line equations for prepreg humidity conditioning effect on laminate fiber volume fraction</w:t>
      </w:r>
      <w:bookmarkEnd w:id="87"/>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2592"/>
        <w:gridCol w:w="1152"/>
      </w:tblGrid>
      <w:tr w:rsidR="00006052" w14:paraId="10CD8F2C" w14:textId="77777777" w:rsidTr="007F6202">
        <w:trPr>
          <w:jc w:val="center"/>
        </w:trPr>
        <w:tc>
          <w:tcPr>
            <w:tcW w:w="2016" w:type="dxa"/>
            <w:tcBorders>
              <w:top w:val="single" w:sz="12" w:space="0" w:color="auto"/>
            </w:tcBorders>
            <w:vAlign w:val="center"/>
          </w:tcPr>
          <w:p w14:paraId="62C4BD15" w14:textId="084606DB" w:rsidR="00006052" w:rsidRPr="00006052" w:rsidRDefault="00006052" w:rsidP="00681525">
            <w:pPr>
              <w:spacing w:line="240" w:lineRule="auto"/>
              <w:jc w:val="center"/>
              <w:rPr>
                <w:b/>
              </w:rPr>
            </w:pPr>
            <w:r w:rsidRPr="00006052">
              <w:rPr>
                <w:b/>
              </w:rPr>
              <w:t>a) Quartz/</w:t>
            </w:r>
            <w:r w:rsidR="00681525">
              <w:rPr>
                <w:b/>
              </w:rPr>
              <w:t>Epoxy</w:t>
            </w:r>
          </w:p>
        </w:tc>
        <w:tc>
          <w:tcPr>
            <w:tcW w:w="2592" w:type="dxa"/>
            <w:tcBorders>
              <w:top w:val="single" w:sz="12" w:space="0" w:color="auto"/>
              <w:bottom w:val="single" w:sz="4" w:space="0" w:color="auto"/>
            </w:tcBorders>
            <w:vAlign w:val="center"/>
          </w:tcPr>
          <w:p w14:paraId="3096A70C" w14:textId="6536B92D" w:rsidR="00006052" w:rsidRPr="00006052" w:rsidRDefault="00006052" w:rsidP="00006052">
            <w:pPr>
              <w:spacing w:line="240" w:lineRule="auto"/>
              <w:jc w:val="center"/>
              <w:rPr>
                <w:b/>
              </w:rPr>
            </w:pPr>
            <w:r w:rsidRPr="00006052">
              <w:rPr>
                <w:b/>
              </w:rPr>
              <w:t>Trend Line Equation</w:t>
            </w:r>
          </w:p>
        </w:tc>
        <w:tc>
          <w:tcPr>
            <w:tcW w:w="1152" w:type="dxa"/>
            <w:tcBorders>
              <w:top w:val="single" w:sz="12" w:space="0" w:color="auto"/>
              <w:bottom w:val="single" w:sz="4" w:space="0" w:color="auto"/>
            </w:tcBorders>
            <w:vAlign w:val="center"/>
          </w:tcPr>
          <w:p w14:paraId="1E9337BA" w14:textId="7F6AEFF3" w:rsidR="00006052" w:rsidRPr="00006052" w:rsidRDefault="00006052" w:rsidP="007F6202">
            <w:pPr>
              <w:spacing w:line="240" w:lineRule="auto"/>
              <w:jc w:val="left"/>
              <w:rPr>
                <w:b/>
              </w:rPr>
            </w:pPr>
            <w:r w:rsidRPr="00006052">
              <w:rPr>
                <w:b/>
              </w:rPr>
              <w:t>R</w:t>
            </w:r>
            <w:r w:rsidRPr="00006052">
              <w:rPr>
                <w:b/>
                <w:vertAlign w:val="superscript"/>
              </w:rPr>
              <w:t>2</w:t>
            </w:r>
            <w:r w:rsidRPr="00006052">
              <w:rPr>
                <w:b/>
              </w:rPr>
              <w:t xml:space="preserve"> Value</w:t>
            </w:r>
          </w:p>
        </w:tc>
      </w:tr>
      <w:tr w:rsidR="00681525" w14:paraId="5738B91A" w14:textId="77777777" w:rsidTr="007F6202">
        <w:trPr>
          <w:jc w:val="center"/>
        </w:trPr>
        <w:tc>
          <w:tcPr>
            <w:tcW w:w="2016" w:type="dxa"/>
            <w:tcBorders>
              <w:right w:val="single" w:sz="4" w:space="0" w:color="auto"/>
            </w:tcBorders>
            <w:vAlign w:val="center"/>
          </w:tcPr>
          <w:p w14:paraId="38FA5218" w14:textId="2253D11F" w:rsidR="00681525" w:rsidRDefault="00681525" w:rsidP="00006052">
            <w:pPr>
              <w:spacing w:line="240" w:lineRule="auto"/>
              <w:jc w:val="center"/>
            </w:pPr>
            <w:r>
              <w:t>69 kPa</w:t>
            </w:r>
          </w:p>
        </w:tc>
        <w:tc>
          <w:tcPr>
            <w:tcW w:w="2592" w:type="dxa"/>
            <w:tcBorders>
              <w:top w:val="single" w:sz="4" w:space="0" w:color="auto"/>
              <w:left w:val="single" w:sz="4" w:space="0" w:color="auto"/>
            </w:tcBorders>
            <w:vAlign w:val="center"/>
          </w:tcPr>
          <w:p w14:paraId="762C24A7" w14:textId="400D9CDF" w:rsidR="00681525" w:rsidRDefault="00681525" w:rsidP="00006052">
            <w:pPr>
              <w:spacing w:line="240" w:lineRule="auto"/>
              <w:jc w:val="center"/>
            </w:pPr>
            <w:r>
              <w:t>0.0002x + 48.712</w:t>
            </w:r>
          </w:p>
        </w:tc>
        <w:tc>
          <w:tcPr>
            <w:tcW w:w="1152" w:type="dxa"/>
            <w:tcBorders>
              <w:top w:val="single" w:sz="4" w:space="0" w:color="auto"/>
              <w:right w:val="single" w:sz="4" w:space="0" w:color="auto"/>
            </w:tcBorders>
            <w:vAlign w:val="center"/>
          </w:tcPr>
          <w:p w14:paraId="168714E1" w14:textId="131DD650" w:rsidR="00681525" w:rsidRDefault="00681525" w:rsidP="007F6202">
            <w:pPr>
              <w:spacing w:line="240" w:lineRule="auto"/>
              <w:jc w:val="left"/>
            </w:pPr>
            <w:r>
              <w:t>0.0003</w:t>
            </w:r>
          </w:p>
        </w:tc>
      </w:tr>
      <w:tr w:rsidR="00681525" w14:paraId="3969884F" w14:textId="77777777" w:rsidTr="007F6202">
        <w:trPr>
          <w:jc w:val="center"/>
        </w:trPr>
        <w:tc>
          <w:tcPr>
            <w:tcW w:w="2016" w:type="dxa"/>
            <w:tcBorders>
              <w:right w:val="single" w:sz="4" w:space="0" w:color="auto"/>
            </w:tcBorders>
            <w:vAlign w:val="center"/>
          </w:tcPr>
          <w:p w14:paraId="36221195" w14:textId="048A44C4" w:rsidR="00681525" w:rsidRDefault="00681525" w:rsidP="00006052">
            <w:pPr>
              <w:spacing w:line="240" w:lineRule="auto"/>
              <w:jc w:val="center"/>
            </w:pPr>
            <w:r>
              <w:t>207 kPa</w:t>
            </w:r>
          </w:p>
        </w:tc>
        <w:tc>
          <w:tcPr>
            <w:tcW w:w="2592" w:type="dxa"/>
            <w:tcBorders>
              <w:left w:val="single" w:sz="4" w:space="0" w:color="auto"/>
            </w:tcBorders>
            <w:vAlign w:val="center"/>
          </w:tcPr>
          <w:p w14:paraId="540953A0" w14:textId="4FAA610E" w:rsidR="00681525" w:rsidRDefault="00681525" w:rsidP="00006052">
            <w:pPr>
              <w:spacing w:line="240" w:lineRule="auto"/>
              <w:jc w:val="center"/>
            </w:pPr>
            <w:r>
              <w:t>0.0048x + 53.602</w:t>
            </w:r>
          </w:p>
        </w:tc>
        <w:tc>
          <w:tcPr>
            <w:tcW w:w="1152" w:type="dxa"/>
            <w:tcBorders>
              <w:right w:val="single" w:sz="4" w:space="0" w:color="auto"/>
            </w:tcBorders>
            <w:vAlign w:val="center"/>
          </w:tcPr>
          <w:p w14:paraId="04D9FA72" w14:textId="5EDBD286" w:rsidR="00681525" w:rsidRDefault="00681525" w:rsidP="007F6202">
            <w:pPr>
              <w:spacing w:line="240" w:lineRule="auto"/>
              <w:jc w:val="left"/>
            </w:pPr>
            <w:r>
              <w:t>0.1269</w:t>
            </w:r>
          </w:p>
        </w:tc>
      </w:tr>
      <w:tr w:rsidR="00681525" w14:paraId="3F8CDB54" w14:textId="77777777" w:rsidTr="007F6202">
        <w:trPr>
          <w:jc w:val="center"/>
        </w:trPr>
        <w:tc>
          <w:tcPr>
            <w:tcW w:w="2016" w:type="dxa"/>
            <w:tcBorders>
              <w:right w:val="single" w:sz="4" w:space="0" w:color="auto"/>
            </w:tcBorders>
            <w:vAlign w:val="center"/>
          </w:tcPr>
          <w:p w14:paraId="209F0E93" w14:textId="477CD703" w:rsidR="00681525" w:rsidRDefault="00681525" w:rsidP="00006052">
            <w:pPr>
              <w:spacing w:line="240" w:lineRule="auto"/>
              <w:jc w:val="center"/>
            </w:pPr>
            <w:r>
              <w:t>345 kPa</w:t>
            </w:r>
          </w:p>
        </w:tc>
        <w:tc>
          <w:tcPr>
            <w:tcW w:w="2592" w:type="dxa"/>
            <w:tcBorders>
              <w:left w:val="single" w:sz="4" w:space="0" w:color="auto"/>
            </w:tcBorders>
            <w:vAlign w:val="center"/>
          </w:tcPr>
          <w:p w14:paraId="10FEE902" w14:textId="4EFE361B" w:rsidR="00681525" w:rsidRDefault="00681525" w:rsidP="00006052">
            <w:pPr>
              <w:spacing w:line="240" w:lineRule="auto"/>
              <w:jc w:val="center"/>
            </w:pPr>
            <w:r>
              <w:t>-8E-05 + 58.244</w:t>
            </w:r>
          </w:p>
        </w:tc>
        <w:tc>
          <w:tcPr>
            <w:tcW w:w="1152" w:type="dxa"/>
            <w:tcBorders>
              <w:right w:val="single" w:sz="4" w:space="0" w:color="auto"/>
            </w:tcBorders>
            <w:vAlign w:val="center"/>
          </w:tcPr>
          <w:p w14:paraId="1E3DAFC5" w14:textId="6ED75352" w:rsidR="00681525" w:rsidRDefault="00681525" w:rsidP="007F6202">
            <w:pPr>
              <w:spacing w:line="240" w:lineRule="auto"/>
              <w:jc w:val="left"/>
            </w:pPr>
            <w:r>
              <w:t>0.0017</w:t>
            </w:r>
          </w:p>
        </w:tc>
      </w:tr>
      <w:tr w:rsidR="00681525" w14:paraId="471BD6CE" w14:textId="77777777" w:rsidTr="007F6202">
        <w:trPr>
          <w:jc w:val="center"/>
        </w:trPr>
        <w:tc>
          <w:tcPr>
            <w:tcW w:w="2016" w:type="dxa"/>
            <w:tcBorders>
              <w:right w:val="single" w:sz="4" w:space="0" w:color="auto"/>
            </w:tcBorders>
            <w:vAlign w:val="center"/>
          </w:tcPr>
          <w:p w14:paraId="52D9EB31" w14:textId="120C87FD" w:rsidR="00681525" w:rsidRDefault="00681525" w:rsidP="00006052">
            <w:pPr>
              <w:spacing w:line="240" w:lineRule="auto"/>
              <w:jc w:val="center"/>
            </w:pPr>
            <w:r>
              <w:t>483 kPa</w:t>
            </w:r>
          </w:p>
        </w:tc>
        <w:tc>
          <w:tcPr>
            <w:tcW w:w="2592" w:type="dxa"/>
            <w:tcBorders>
              <w:left w:val="single" w:sz="4" w:space="0" w:color="auto"/>
              <w:bottom w:val="single" w:sz="4" w:space="0" w:color="auto"/>
            </w:tcBorders>
            <w:vAlign w:val="center"/>
          </w:tcPr>
          <w:p w14:paraId="0D20A5C6" w14:textId="1E286DB3" w:rsidR="00681525" w:rsidRDefault="00681525" w:rsidP="00006052">
            <w:pPr>
              <w:spacing w:line="240" w:lineRule="auto"/>
              <w:jc w:val="center"/>
            </w:pPr>
            <w:r>
              <w:t>-0.0073x + 61.417</w:t>
            </w:r>
          </w:p>
        </w:tc>
        <w:tc>
          <w:tcPr>
            <w:tcW w:w="1152" w:type="dxa"/>
            <w:tcBorders>
              <w:bottom w:val="single" w:sz="4" w:space="0" w:color="auto"/>
              <w:right w:val="single" w:sz="4" w:space="0" w:color="auto"/>
            </w:tcBorders>
            <w:vAlign w:val="center"/>
          </w:tcPr>
          <w:p w14:paraId="388450C8" w14:textId="307F3F10" w:rsidR="00681525" w:rsidRDefault="00681525" w:rsidP="007F6202">
            <w:pPr>
              <w:spacing w:line="240" w:lineRule="auto"/>
              <w:jc w:val="left"/>
            </w:pPr>
            <w:r>
              <w:t>0.0441</w:t>
            </w:r>
          </w:p>
        </w:tc>
      </w:tr>
      <w:tr w:rsidR="00006052" w14:paraId="743A55D5" w14:textId="77777777" w:rsidTr="007F6202">
        <w:trPr>
          <w:trHeight w:val="144"/>
          <w:jc w:val="center"/>
        </w:trPr>
        <w:tc>
          <w:tcPr>
            <w:tcW w:w="2016" w:type="dxa"/>
            <w:vAlign w:val="center"/>
          </w:tcPr>
          <w:p w14:paraId="3F83232D" w14:textId="77777777" w:rsidR="00006052" w:rsidRPr="00722E7F" w:rsidRDefault="00006052" w:rsidP="00006052">
            <w:pPr>
              <w:spacing w:line="240" w:lineRule="auto"/>
              <w:jc w:val="center"/>
              <w:rPr>
                <w:sz w:val="16"/>
              </w:rPr>
            </w:pPr>
          </w:p>
        </w:tc>
        <w:tc>
          <w:tcPr>
            <w:tcW w:w="2592" w:type="dxa"/>
            <w:tcBorders>
              <w:top w:val="single" w:sz="4" w:space="0" w:color="auto"/>
            </w:tcBorders>
            <w:vAlign w:val="center"/>
          </w:tcPr>
          <w:p w14:paraId="24E93E8E" w14:textId="77777777" w:rsidR="00006052" w:rsidRPr="00722E7F" w:rsidRDefault="00006052" w:rsidP="00006052">
            <w:pPr>
              <w:spacing w:line="240" w:lineRule="auto"/>
              <w:jc w:val="center"/>
              <w:rPr>
                <w:sz w:val="16"/>
              </w:rPr>
            </w:pPr>
          </w:p>
        </w:tc>
        <w:tc>
          <w:tcPr>
            <w:tcW w:w="1152" w:type="dxa"/>
            <w:tcBorders>
              <w:top w:val="single" w:sz="4" w:space="0" w:color="auto"/>
            </w:tcBorders>
            <w:vAlign w:val="center"/>
          </w:tcPr>
          <w:p w14:paraId="231192D2" w14:textId="77777777" w:rsidR="00006052" w:rsidRPr="00722E7F" w:rsidRDefault="00006052" w:rsidP="007F6202">
            <w:pPr>
              <w:spacing w:line="240" w:lineRule="auto"/>
              <w:jc w:val="left"/>
              <w:rPr>
                <w:sz w:val="16"/>
              </w:rPr>
            </w:pPr>
          </w:p>
        </w:tc>
      </w:tr>
      <w:tr w:rsidR="00006052" w14:paraId="34F08AC1" w14:textId="77777777" w:rsidTr="007F6202">
        <w:trPr>
          <w:jc w:val="center"/>
        </w:trPr>
        <w:tc>
          <w:tcPr>
            <w:tcW w:w="2016" w:type="dxa"/>
            <w:vAlign w:val="center"/>
          </w:tcPr>
          <w:p w14:paraId="5B73D54B" w14:textId="688A48C2" w:rsidR="00006052" w:rsidRPr="00722E7F" w:rsidRDefault="00681525" w:rsidP="00006052">
            <w:pPr>
              <w:spacing w:line="240" w:lineRule="auto"/>
              <w:jc w:val="center"/>
              <w:rPr>
                <w:b/>
              </w:rPr>
            </w:pPr>
            <w:r>
              <w:rPr>
                <w:b/>
              </w:rPr>
              <w:t>b) Quartz/BMI</w:t>
            </w:r>
          </w:p>
        </w:tc>
        <w:tc>
          <w:tcPr>
            <w:tcW w:w="2592" w:type="dxa"/>
            <w:tcBorders>
              <w:bottom w:val="single" w:sz="4" w:space="0" w:color="auto"/>
            </w:tcBorders>
            <w:vAlign w:val="center"/>
          </w:tcPr>
          <w:p w14:paraId="05CA91B7" w14:textId="77777777" w:rsidR="00006052" w:rsidRDefault="00006052" w:rsidP="00006052">
            <w:pPr>
              <w:spacing w:line="240" w:lineRule="auto"/>
              <w:jc w:val="center"/>
            </w:pPr>
          </w:p>
        </w:tc>
        <w:tc>
          <w:tcPr>
            <w:tcW w:w="1152" w:type="dxa"/>
            <w:tcBorders>
              <w:bottom w:val="single" w:sz="4" w:space="0" w:color="auto"/>
            </w:tcBorders>
            <w:vAlign w:val="center"/>
          </w:tcPr>
          <w:p w14:paraId="4744C96F" w14:textId="77777777" w:rsidR="00006052" w:rsidRDefault="00006052" w:rsidP="007F6202">
            <w:pPr>
              <w:spacing w:line="240" w:lineRule="auto"/>
              <w:jc w:val="left"/>
            </w:pPr>
          </w:p>
        </w:tc>
      </w:tr>
      <w:tr w:rsidR="00681525" w14:paraId="525455F6" w14:textId="77777777" w:rsidTr="007F6202">
        <w:trPr>
          <w:jc w:val="center"/>
        </w:trPr>
        <w:tc>
          <w:tcPr>
            <w:tcW w:w="2016" w:type="dxa"/>
            <w:tcBorders>
              <w:right w:val="single" w:sz="4" w:space="0" w:color="auto"/>
            </w:tcBorders>
            <w:vAlign w:val="center"/>
          </w:tcPr>
          <w:p w14:paraId="268BD4EA" w14:textId="71BDA507" w:rsidR="00681525" w:rsidRDefault="00681525" w:rsidP="00006052">
            <w:pPr>
              <w:spacing w:line="240" w:lineRule="auto"/>
              <w:jc w:val="center"/>
            </w:pPr>
            <w:r>
              <w:t>69 kPa</w:t>
            </w:r>
          </w:p>
        </w:tc>
        <w:tc>
          <w:tcPr>
            <w:tcW w:w="2592" w:type="dxa"/>
            <w:tcBorders>
              <w:top w:val="single" w:sz="4" w:space="0" w:color="auto"/>
              <w:left w:val="single" w:sz="4" w:space="0" w:color="auto"/>
            </w:tcBorders>
            <w:vAlign w:val="center"/>
          </w:tcPr>
          <w:p w14:paraId="5D73D91E" w14:textId="7E3D329E" w:rsidR="00681525" w:rsidRDefault="00681525" w:rsidP="00006052">
            <w:pPr>
              <w:spacing w:line="240" w:lineRule="auto"/>
              <w:jc w:val="center"/>
            </w:pPr>
            <w:r>
              <w:t>0.0310x + 50.925</w:t>
            </w:r>
          </w:p>
        </w:tc>
        <w:tc>
          <w:tcPr>
            <w:tcW w:w="1152" w:type="dxa"/>
            <w:tcBorders>
              <w:top w:val="single" w:sz="4" w:space="0" w:color="auto"/>
              <w:right w:val="single" w:sz="4" w:space="0" w:color="auto"/>
            </w:tcBorders>
            <w:vAlign w:val="center"/>
          </w:tcPr>
          <w:p w14:paraId="405D3202" w14:textId="03D8B829" w:rsidR="00681525" w:rsidRDefault="00681525" w:rsidP="007F6202">
            <w:pPr>
              <w:spacing w:line="240" w:lineRule="auto"/>
              <w:jc w:val="left"/>
            </w:pPr>
            <w:r>
              <w:t>0.3871</w:t>
            </w:r>
          </w:p>
        </w:tc>
      </w:tr>
      <w:tr w:rsidR="00681525" w14:paraId="7C39E50F" w14:textId="77777777" w:rsidTr="007F6202">
        <w:trPr>
          <w:jc w:val="center"/>
        </w:trPr>
        <w:tc>
          <w:tcPr>
            <w:tcW w:w="2016" w:type="dxa"/>
            <w:tcBorders>
              <w:right w:val="single" w:sz="4" w:space="0" w:color="auto"/>
            </w:tcBorders>
            <w:vAlign w:val="center"/>
          </w:tcPr>
          <w:p w14:paraId="2BE694CE" w14:textId="5415790B" w:rsidR="00681525" w:rsidRDefault="00681525" w:rsidP="00006052">
            <w:pPr>
              <w:spacing w:line="240" w:lineRule="auto"/>
              <w:jc w:val="center"/>
            </w:pPr>
            <w:r>
              <w:t>207 kPa</w:t>
            </w:r>
          </w:p>
        </w:tc>
        <w:tc>
          <w:tcPr>
            <w:tcW w:w="2592" w:type="dxa"/>
            <w:tcBorders>
              <w:left w:val="single" w:sz="4" w:space="0" w:color="auto"/>
            </w:tcBorders>
            <w:vAlign w:val="center"/>
          </w:tcPr>
          <w:p w14:paraId="47E77901" w14:textId="0A79D8E3" w:rsidR="00681525" w:rsidRDefault="00681525" w:rsidP="00006052">
            <w:pPr>
              <w:spacing w:line="240" w:lineRule="auto"/>
              <w:jc w:val="center"/>
            </w:pPr>
            <w:r>
              <w:t>0.0467x + 59.181</w:t>
            </w:r>
          </w:p>
        </w:tc>
        <w:tc>
          <w:tcPr>
            <w:tcW w:w="1152" w:type="dxa"/>
            <w:tcBorders>
              <w:right w:val="single" w:sz="4" w:space="0" w:color="auto"/>
            </w:tcBorders>
            <w:vAlign w:val="center"/>
          </w:tcPr>
          <w:p w14:paraId="1619F0DC" w14:textId="3E11BDC5" w:rsidR="00681525" w:rsidRDefault="00681525" w:rsidP="007F6202">
            <w:pPr>
              <w:spacing w:line="240" w:lineRule="auto"/>
              <w:jc w:val="left"/>
            </w:pPr>
            <w:r>
              <w:t>0.5926</w:t>
            </w:r>
          </w:p>
        </w:tc>
      </w:tr>
      <w:tr w:rsidR="00681525" w14:paraId="41E65BA6" w14:textId="77777777" w:rsidTr="007F6202">
        <w:trPr>
          <w:jc w:val="center"/>
        </w:trPr>
        <w:tc>
          <w:tcPr>
            <w:tcW w:w="2016" w:type="dxa"/>
            <w:tcBorders>
              <w:right w:val="single" w:sz="4" w:space="0" w:color="auto"/>
            </w:tcBorders>
            <w:vAlign w:val="center"/>
          </w:tcPr>
          <w:p w14:paraId="60330191" w14:textId="3D56BBBB" w:rsidR="00681525" w:rsidRDefault="00681525" w:rsidP="00006052">
            <w:pPr>
              <w:spacing w:line="240" w:lineRule="auto"/>
              <w:jc w:val="center"/>
            </w:pPr>
            <w:r>
              <w:t>345 kPa</w:t>
            </w:r>
          </w:p>
        </w:tc>
        <w:tc>
          <w:tcPr>
            <w:tcW w:w="2592" w:type="dxa"/>
            <w:tcBorders>
              <w:left w:val="single" w:sz="4" w:space="0" w:color="auto"/>
            </w:tcBorders>
            <w:vAlign w:val="center"/>
          </w:tcPr>
          <w:p w14:paraId="1FD00081" w14:textId="1A5397FE" w:rsidR="00681525" w:rsidRDefault="00681525" w:rsidP="00006052">
            <w:pPr>
              <w:spacing w:line="240" w:lineRule="auto"/>
              <w:jc w:val="center"/>
            </w:pPr>
            <w:r>
              <w:t>0.0391x + 61.944</w:t>
            </w:r>
          </w:p>
        </w:tc>
        <w:tc>
          <w:tcPr>
            <w:tcW w:w="1152" w:type="dxa"/>
            <w:tcBorders>
              <w:right w:val="single" w:sz="4" w:space="0" w:color="auto"/>
            </w:tcBorders>
            <w:vAlign w:val="center"/>
          </w:tcPr>
          <w:p w14:paraId="09B00CC3" w14:textId="111BF841" w:rsidR="00681525" w:rsidRDefault="00681525" w:rsidP="007F6202">
            <w:pPr>
              <w:spacing w:line="240" w:lineRule="auto"/>
              <w:jc w:val="left"/>
            </w:pPr>
            <w:r>
              <w:t>0.9748</w:t>
            </w:r>
          </w:p>
        </w:tc>
      </w:tr>
      <w:tr w:rsidR="00681525" w14:paraId="2DAB2F35" w14:textId="77777777" w:rsidTr="007F6202">
        <w:trPr>
          <w:jc w:val="center"/>
        </w:trPr>
        <w:tc>
          <w:tcPr>
            <w:tcW w:w="2016" w:type="dxa"/>
            <w:tcBorders>
              <w:right w:val="single" w:sz="4" w:space="0" w:color="auto"/>
            </w:tcBorders>
            <w:vAlign w:val="center"/>
          </w:tcPr>
          <w:p w14:paraId="2BC5D1DB" w14:textId="1B3ECEE3" w:rsidR="00681525" w:rsidRDefault="00681525" w:rsidP="00006052">
            <w:pPr>
              <w:spacing w:line="240" w:lineRule="auto"/>
              <w:jc w:val="center"/>
            </w:pPr>
            <w:r>
              <w:t>483 kPa</w:t>
            </w:r>
          </w:p>
        </w:tc>
        <w:tc>
          <w:tcPr>
            <w:tcW w:w="2592" w:type="dxa"/>
            <w:tcBorders>
              <w:left w:val="single" w:sz="4" w:space="0" w:color="auto"/>
              <w:bottom w:val="single" w:sz="4" w:space="0" w:color="auto"/>
            </w:tcBorders>
            <w:vAlign w:val="center"/>
          </w:tcPr>
          <w:p w14:paraId="5F109001" w14:textId="6244DD76" w:rsidR="00681525" w:rsidRDefault="00681525" w:rsidP="00006052">
            <w:pPr>
              <w:spacing w:line="240" w:lineRule="auto"/>
              <w:jc w:val="center"/>
            </w:pPr>
            <w:r>
              <w:t>-0.0193x + 66.590</w:t>
            </w:r>
          </w:p>
        </w:tc>
        <w:tc>
          <w:tcPr>
            <w:tcW w:w="1152" w:type="dxa"/>
            <w:tcBorders>
              <w:bottom w:val="single" w:sz="4" w:space="0" w:color="auto"/>
              <w:right w:val="single" w:sz="4" w:space="0" w:color="auto"/>
            </w:tcBorders>
            <w:vAlign w:val="center"/>
          </w:tcPr>
          <w:p w14:paraId="19716137" w14:textId="5F706103" w:rsidR="00681525" w:rsidRDefault="00681525" w:rsidP="007F6202">
            <w:pPr>
              <w:spacing w:line="240" w:lineRule="auto"/>
              <w:jc w:val="left"/>
            </w:pPr>
            <w:r>
              <w:t>0.3633</w:t>
            </w:r>
          </w:p>
        </w:tc>
      </w:tr>
      <w:tr w:rsidR="00722E7F" w14:paraId="56ECE273" w14:textId="77777777" w:rsidTr="007F6202">
        <w:trPr>
          <w:jc w:val="center"/>
        </w:trPr>
        <w:tc>
          <w:tcPr>
            <w:tcW w:w="2016" w:type="dxa"/>
            <w:vAlign w:val="center"/>
          </w:tcPr>
          <w:p w14:paraId="64E22337" w14:textId="77777777" w:rsidR="00722E7F" w:rsidRPr="00722E7F" w:rsidRDefault="00722E7F" w:rsidP="00006052">
            <w:pPr>
              <w:spacing w:line="240" w:lineRule="auto"/>
              <w:jc w:val="center"/>
              <w:rPr>
                <w:sz w:val="16"/>
              </w:rPr>
            </w:pPr>
          </w:p>
        </w:tc>
        <w:tc>
          <w:tcPr>
            <w:tcW w:w="2592" w:type="dxa"/>
            <w:tcBorders>
              <w:top w:val="single" w:sz="4" w:space="0" w:color="auto"/>
            </w:tcBorders>
            <w:vAlign w:val="center"/>
          </w:tcPr>
          <w:p w14:paraId="526DD94F" w14:textId="77777777" w:rsidR="00722E7F" w:rsidRPr="00722E7F" w:rsidRDefault="00722E7F" w:rsidP="00006052">
            <w:pPr>
              <w:spacing w:line="240" w:lineRule="auto"/>
              <w:jc w:val="center"/>
              <w:rPr>
                <w:sz w:val="16"/>
              </w:rPr>
            </w:pPr>
          </w:p>
        </w:tc>
        <w:tc>
          <w:tcPr>
            <w:tcW w:w="1152" w:type="dxa"/>
            <w:tcBorders>
              <w:top w:val="single" w:sz="4" w:space="0" w:color="auto"/>
            </w:tcBorders>
            <w:vAlign w:val="center"/>
          </w:tcPr>
          <w:p w14:paraId="5B368DDB" w14:textId="77777777" w:rsidR="00722E7F" w:rsidRPr="00722E7F" w:rsidRDefault="00722E7F" w:rsidP="007F6202">
            <w:pPr>
              <w:spacing w:line="240" w:lineRule="auto"/>
              <w:jc w:val="left"/>
              <w:rPr>
                <w:sz w:val="16"/>
              </w:rPr>
            </w:pPr>
          </w:p>
        </w:tc>
      </w:tr>
      <w:tr w:rsidR="00722E7F" w14:paraId="7F42D3C5" w14:textId="77777777" w:rsidTr="007F6202">
        <w:trPr>
          <w:jc w:val="center"/>
        </w:trPr>
        <w:tc>
          <w:tcPr>
            <w:tcW w:w="2016" w:type="dxa"/>
            <w:vAlign w:val="center"/>
          </w:tcPr>
          <w:p w14:paraId="0B09F062" w14:textId="17DCAF78" w:rsidR="00722E7F" w:rsidRDefault="00722E7F" w:rsidP="00722E7F">
            <w:pPr>
              <w:spacing w:line="240" w:lineRule="auto"/>
              <w:jc w:val="center"/>
            </w:pPr>
            <w:r>
              <w:rPr>
                <w:b/>
              </w:rPr>
              <w:t>c</w:t>
            </w:r>
            <w:r w:rsidRPr="00722E7F">
              <w:rPr>
                <w:b/>
              </w:rPr>
              <w:t xml:space="preserve">) </w:t>
            </w:r>
            <w:r>
              <w:rPr>
                <w:b/>
              </w:rPr>
              <w:t>Carbon</w:t>
            </w:r>
            <w:r w:rsidRPr="00722E7F">
              <w:rPr>
                <w:b/>
              </w:rPr>
              <w:t>/Epoxy</w:t>
            </w:r>
          </w:p>
        </w:tc>
        <w:tc>
          <w:tcPr>
            <w:tcW w:w="2592" w:type="dxa"/>
            <w:tcBorders>
              <w:bottom w:val="single" w:sz="4" w:space="0" w:color="auto"/>
            </w:tcBorders>
            <w:vAlign w:val="center"/>
          </w:tcPr>
          <w:p w14:paraId="175783DF" w14:textId="77777777" w:rsidR="00722E7F" w:rsidRDefault="00722E7F" w:rsidP="00006052">
            <w:pPr>
              <w:spacing w:line="240" w:lineRule="auto"/>
              <w:jc w:val="center"/>
            </w:pPr>
          </w:p>
        </w:tc>
        <w:tc>
          <w:tcPr>
            <w:tcW w:w="1152" w:type="dxa"/>
            <w:tcBorders>
              <w:bottom w:val="single" w:sz="4" w:space="0" w:color="auto"/>
            </w:tcBorders>
            <w:vAlign w:val="center"/>
          </w:tcPr>
          <w:p w14:paraId="136AB232" w14:textId="77777777" w:rsidR="00722E7F" w:rsidRDefault="00722E7F" w:rsidP="007F6202">
            <w:pPr>
              <w:spacing w:line="240" w:lineRule="auto"/>
              <w:jc w:val="left"/>
            </w:pPr>
          </w:p>
        </w:tc>
      </w:tr>
      <w:tr w:rsidR="00722E7F" w14:paraId="6F728DBA" w14:textId="77777777" w:rsidTr="007F6202">
        <w:trPr>
          <w:jc w:val="center"/>
        </w:trPr>
        <w:tc>
          <w:tcPr>
            <w:tcW w:w="2016" w:type="dxa"/>
            <w:tcBorders>
              <w:right w:val="single" w:sz="4" w:space="0" w:color="auto"/>
            </w:tcBorders>
            <w:vAlign w:val="center"/>
          </w:tcPr>
          <w:p w14:paraId="4916AFBC" w14:textId="070C881B" w:rsidR="00722E7F" w:rsidRDefault="00722E7F" w:rsidP="00006052">
            <w:pPr>
              <w:spacing w:line="240" w:lineRule="auto"/>
              <w:jc w:val="center"/>
            </w:pPr>
            <w:r>
              <w:t>69 kPa</w:t>
            </w:r>
          </w:p>
        </w:tc>
        <w:tc>
          <w:tcPr>
            <w:tcW w:w="2592" w:type="dxa"/>
            <w:tcBorders>
              <w:top w:val="single" w:sz="4" w:space="0" w:color="auto"/>
              <w:left w:val="single" w:sz="4" w:space="0" w:color="auto"/>
            </w:tcBorders>
            <w:vAlign w:val="center"/>
          </w:tcPr>
          <w:p w14:paraId="06609AF0" w14:textId="2E99D325" w:rsidR="00722E7F" w:rsidRDefault="003826FE" w:rsidP="00006052">
            <w:pPr>
              <w:spacing w:line="240" w:lineRule="auto"/>
              <w:jc w:val="center"/>
            </w:pPr>
            <w:r>
              <w:t>-0.0197x + 54.344</w:t>
            </w:r>
          </w:p>
        </w:tc>
        <w:tc>
          <w:tcPr>
            <w:tcW w:w="1152" w:type="dxa"/>
            <w:tcBorders>
              <w:top w:val="single" w:sz="4" w:space="0" w:color="auto"/>
              <w:right w:val="single" w:sz="4" w:space="0" w:color="auto"/>
            </w:tcBorders>
            <w:vAlign w:val="center"/>
          </w:tcPr>
          <w:p w14:paraId="4324A248" w14:textId="537E47EB" w:rsidR="00722E7F" w:rsidRDefault="003826FE" w:rsidP="007F6202">
            <w:pPr>
              <w:spacing w:line="240" w:lineRule="auto"/>
              <w:jc w:val="left"/>
            </w:pPr>
            <w:r>
              <w:t>0.2965</w:t>
            </w:r>
          </w:p>
        </w:tc>
      </w:tr>
      <w:tr w:rsidR="00722E7F" w14:paraId="2AD87811" w14:textId="77777777" w:rsidTr="007F6202">
        <w:trPr>
          <w:jc w:val="center"/>
        </w:trPr>
        <w:tc>
          <w:tcPr>
            <w:tcW w:w="2016" w:type="dxa"/>
            <w:tcBorders>
              <w:right w:val="single" w:sz="4" w:space="0" w:color="auto"/>
            </w:tcBorders>
            <w:vAlign w:val="center"/>
          </w:tcPr>
          <w:p w14:paraId="44CF705F" w14:textId="06CE2950" w:rsidR="00722E7F" w:rsidRDefault="00722E7F" w:rsidP="00006052">
            <w:pPr>
              <w:spacing w:line="240" w:lineRule="auto"/>
              <w:jc w:val="center"/>
            </w:pPr>
            <w:r>
              <w:t>207 kPa</w:t>
            </w:r>
          </w:p>
        </w:tc>
        <w:tc>
          <w:tcPr>
            <w:tcW w:w="2592" w:type="dxa"/>
            <w:tcBorders>
              <w:left w:val="single" w:sz="4" w:space="0" w:color="auto"/>
            </w:tcBorders>
            <w:vAlign w:val="center"/>
          </w:tcPr>
          <w:p w14:paraId="6516C081" w14:textId="5E4604F0" w:rsidR="00722E7F" w:rsidRDefault="003826FE" w:rsidP="00006052">
            <w:pPr>
              <w:spacing w:line="240" w:lineRule="auto"/>
              <w:jc w:val="center"/>
            </w:pPr>
            <w:r>
              <w:t>0.0001x + 60.172</w:t>
            </w:r>
          </w:p>
        </w:tc>
        <w:tc>
          <w:tcPr>
            <w:tcW w:w="1152" w:type="dxa"/>
            <w:tcBorders>
              <w:right w:val="single" w:sz="4" w:space="0" w:color="auto"/>
            </w:tcBorders>
            <w:vAlign w:val="center"/>
          </w:tcPr>
          <w:p w14:paraId="34E40675" w14:textId="3F384481" w:rsidR="00722E7F" w:rsidRDefault="003826FE" w:rsidP="007F6202">
            <w:pPr>
              <w:spacing w:line="240" w:lineRule="auto"/>
              <w:jc w:val="left"/>
            </w:pPr>
            <w:r>
              <w:t>4.3E-06</w:t>
            </w:r>
          </w:p>
        </w:tc>
      </w:tr>
      <w:tr w:rsidR="00722E7F" w14:paraId="76685189" w14:textId="77777777" w:rsidTr="00681525">
        <w:trPr>
          <w:jc w:val="center"/>
        </w:trPr>
        <w:tc>
          <w:tcPr>
            <w:tcW w:w="2016" w:type="dxa"/>
            <w:tcBorders>
              <w:right w:val="single" w:sz="4" w:space="0" w:color="auto"/>
            </w:tcBorders>
            <w:vAlign w:val="center"/>
          </w:tcPr>
          <w:p w14:paraId="50A4FAFC" w14:textId="2E1389B3" w:rsidR="00722E7F" w:rsidRDefault="00722E7F" w:rsidP="00006052">
            <w:pPr>
              <w:spacing w:line="240" w:lineRule="auto"/>
              <w:jc w:val="center"/>
            </w:pPr>
            <w:r>
              <w:t>345 kPa</w:t>
            </w:r>
          </w:p>
        </w:tc>
        <w:tc>
          <w:tcPr>
            <w:tcW w:w="2592" w:type="dxa"/>
            <w:tcBorders>
              <w:left w:val="single" w:sz="4" w:space="0" w:color="auto"/>
            </w:tcBorders>
            <w:vAlign w:val="center"/>
          </w:tcPr>
          <w:p w14:paraId="643D88C9" w14:textId="6CA8D01E" w:rsidR="00722E7F" w:rsidRDefault="003826FE" w:rsidP="00006052">
            <w:pPr>
              <w:spacing w:line="240" w:lineRule="auto"/>
              <w:jc w:val="center"/>
            </w:pPr>
            <w:r>
              <w:t>-0.0172x + 61.729</w:t>
            </w:r>
          </w:p>
        </w:tc>
        <w:tc>
          <w:tcPr>
            <w:tcW w:w="1152" w:type="dxa"/>
            <w:tcBorders>
              <w:right w:val="single" w:sz="4" w:space="0" w:color="auto"/>
            </w:tcBorders>
            <w:vAlign w:val="center"/>
          </w:tcPr>
          <w:p w14:paraId="27B56ECC" w14:textId="23450523" w:rsidR="00722E7F" w:rsidRDefault="003826FE" w:rsidP="007F6202">
            <w:pPr>
              <w:spacing w:line="240" w:lineRule="auto"/>
              <w:jc w:val="left"/>
            </w:pPr>
            <w:r>
              <w:t>0.1619</w:t>
            </w:r>
          </w:p>
        </w:tc>
      </w:tr>
      <w:tr w:rsidR="00722E7F" w14:paraId="2B7DF1FA" w14:textId="77777777" w:rsidTr="00681525">
        <w:trPr>
          <w:jc w:val="center"/>
        </w:trPr>
        <w:tc>
          <w:tcPr>
            <w:tcW w:w="2016" w:type="dxa"/>
            <w:tcBorders>
              <w:right w:val="single" w:sz="4" w:space="0" w:color="auto"/>
            </w:tcBorders>
            <w:vAlign w:val="center"/>
          </w:tcPr>
          <w:p w14:paraId="0D83372B" w14:textId="3E96753D" w:rsidR="00722E7F" w:rsidRDefault="00722E7F" w:rsidP="00006052">
            <w:pPr>
              <w:spacing w:line="240" w:lineRule="auto"/>
              <w:jc w:val="center"/>
            </w:pPr>
            <w:r>
              <w:t>483 kPa</w:t>
            </w:r>
          </w:p>
        </w:tc>
        <w:tc>
          <w:tcPr>
            <w:tcW w:w="2592" w:type="dxa"/>
            <w:tcBorders>
              <w:left w:val="single" w:sz="4" w:space="0" w:color="auto"/>
              <w:bottom w:val="single" w:sz="4" w:space="0" w:color="auto"/>
            </w:tcBorders>
            <w:vAlign w:val="center"/>
          </w:tcPr>
          <w:p w14:paraId="7DE82ABC" w14:textId="29E2DB78" w:rsidR="00722E7F" w:rsidRDefault="003826FE" w:rsidP="00006052">
            <w:pPr>
              <w:spacing w:line="240" w:lineRule="auto"/>
              <w:jc w:val="center"/>
            </w:pPr>
            <w:r>
              <w:t>-0.0476x + 65.278</w:t>
            </w:r>
          </w:p>
        </w:tc>
        <w:tc>
          <w:tcPr>
            <w:tcW w:w="1152" w:type="dxa"/>
            <w:tcBorders>
              <w:bottom w:val="single" w:sz="4" w:space="0" w:color="auto"/>
              <w:right w:val="single" w:sz="4" w:space="0" w:color="auto"/>
            </w:tcBorders>
            <w:vAlign w:val="center"/>
          </w:tcPr>
          <w:p w14:paraId="4EBC5E64" w14:textId="7F0A5691" w:rsidR="00722E7F" w:rsidRDefault="003826FE" w:rsidP="007F6202">
            <w:pPr>
              <w:spacing w:line="240" w:lineRule="auto"/>
              <w:jc w:val="left"/>
            </w:pPr>
            <w:r>
              <w:t>0.7888</w:t>
            </w:r>
          </w:p>
        </w:tc>
      </w:tr>
    </w:tbl>
    <w:p w14:paraId="4643542C" w14:textId="77777777" w:rsidR="005660C2" w:rsidRPr="00D30CEF" w:rsidRDefault="005660C2" w:rsidP="00D30CEF"/>
    <w:p w14:paraId="24CF82EF" w14:textId="22E3A682" w:rsidR="000C2B03" w:rsidRDefault="00551757" w:rsidP="00551757">
      <w:pPr>
        <w:pStyle w:val="Heading3"/>
      </w:pPr>
      <w:bookmarkStart w:id="88" w:name="_Ref344120734"/>
      <w:bookmarkStart w:id="89" w:name="_Toc346310973"/>
      <w:r>
        <w:t>Effect of Fabrication Pressure on Laminate Fiber Volume Fraction</w:t>
      </w:r>
      <w:bookmarkEnd w:id="88"/>
      <w:bookmarkEnd w:id="89"/>
    </w:p>
    <w:p w14:paraId="7B99B5F1" w14:textId="7E80A7B0" w:rsidR="00627045" w:rsidRDefault="00770D06" w:rsidP="00627045">
      <w:pPr>
        <w:ind w:firstLine="360"/>
      </w:pPr>
      <w:r>
        <w:t xml:space="preserve">Generally, increasing fabrication pressure yielded similar trends of increasing the laminate fiber volume fraction for all three prepreg materials, as shown in </w:t>
      </w:r>
      <w:r>
        <w:fldChar w:fldCharType="begin"/>
      </w:r>
      <w:r>
        <w:instrText xml:space="preserve"> REF _Ref342913828 \h </w:instrText>
      </w:r>
      <w:r>
        <w:fldChar w:fldCharType="separate"/>
      </w:r>
      <w:r w:rsidR="008A1992" w:rsidRPr="00770D06">
        <w:t xml:space="preserve">Figure </w:t>
      </w:r>
      <w:r w:rsidR="008A1992">
        <w:rPr>
          <w:noProof/>
        </w:rPr>
        <w:t>2</w:t>
      </w:r>
      <w:r w:rsidR="008A1992">
        <w:t>.</w:t>
      </w:r>
      <w:r w:rsidR="008A1992">
        <w:rPr>
          <w:noProof/>
        </w:rPr>
        <w:t>12</w:t>
      </w:r>
      <w:r>
        <w:fldChar w:fldCharType="end"/>
      </w:r>
      <w:r>
        <w:t xml:space="preserve">.  However, there are a few distinct differences among the three prepregs.  </w:t>
      </w:r>
      <w:r w:rsidR="00282612">
        <w:t>By compari</w:t>
      </w:r>
      <w:r w:rsidR="008E4722">
        <w:t>ng the two quartz-reinforced laminates</w:t>
      </w:r>
      <w:r w:rsidR="00282612">
        <w:t xml:space="preserve"> in </w:t>
      </w:r>
      <w:r w:rsidR="00282612">
        <w:fldChar w:fldCharType="begin"/>
      </w:r>
      <w:r w:rsidR="00282612">
        <w:instrText xml:space="preserve"> REF _Ref342913828 \h </w:instrText>
      </w:r>
      <w:r w:rsidR="00282612">
        <w:fldChar w:fldCharType="separate"/>
      </w:r>
      <w:r w:rsidR="008A1992" w:rsidRPr="00770D06">
        <w:t xml:space="preserve">Figure </w:t>
      </w:r>
      <w:r w:rsidR="008A1992">
        <w:rPr>
          <w:noProof/>
        </w:rPr>
        <w:t>2</w:t>
      </w:r>
      <w:r w:rsidR="008A1992">
        <w:t>.</w:t>
      </w:r>
      <w:r w:rsidR="008A1992">
        <w:rPr>
          <w:noProof/>
        </w:rPr>
        <w:t>12</w:t>
      </w:r>
      <w:r w:rsidR="00282612">
        <w:fldChar w:fldCharType="end"/>
      </w:r>
      <w:proofErr w:type="gramStart"/>
      <w:r w:rsidR="008E4722">
        <w:t>a and</w:t>
      </w:r>
      <w:proofErr w:type="gramEnd"/>
      <w:r w:rsidR="008E4722">
        <w:t xml:space="preserve"> b, it was</w:t>
      </w:r>
      <w:r w:rsidR="00282612">
        <w:t xml:space="preserve"> observed that the BMI resin yields higher fiber volume fractions at the same cure pressure.  Additionally, the BMI resin type had </w:t>
      </w:r>
      <w:r w:rsidR="008E4722">
        <w:t xml:space="preserve">a </w:t>
      </w:r>
      <w:r w:rsidR="00282612">
        <w:t>slightly larger range of fiber volume fractions, 50.7-66.6%, when compared to the range for epoxy resin, 48.2-62.6</w:t>
      </w:r>
      <w:r w:rsidR="008E4722">
        <w:t>%</w:t>
      </w:r>
      <w:r w:rsidR="00282612">
        <w:t xml:space="preserve">.  Excluding high pressures of 483 kPa, the fiber volume fraction for quartz/epoxy laminates, shown in </w:t>
      </w:r>
      <w:r w:rsidR="00282612">
        <w:fldChar w:fldCharType="begin"/>
      </w:r>
      <w:r w:rsidR="00282612">
        <w:instrText xml:space="preserve"> REF _Ref342913828 \h </w:instrText>
      </w:r>
      <w:r w:rsidR="00282612">
        <w:fldChar w:fldCharType="separate"/>
      </w:r>
      <w:r w:rsidR="008A1992" w:rsidRPr="00770D06">
        <w:t xml:space="preserve">Figure </w:t>
      </w:r>
      <w:r w:rsidR="008A1992">
        <w:rPr>
          <w:noProof/>
        </w:rPr>
        <w:t>2</w:t>
      </w:r>
      <w:r w:rsidR="008A1992">
        <w:t>.</w:t>
      </w:r>
      <w:r w:rsidR="008A1992">
        <w:rPr>
          <w:noProof/>
        </w:rPr>
        <w:t>12</w:t>
      </w:r>
      <w:r w:rsidR="00282612">
        <w:fldChar w:fldCharType="end"/>
      </w:r>
      <w:r w:rsidR="00A504D1">
        <w:t>a,</w:t>
      </w:r>
      <w:r w:rsidR="00282612">
        <w:t xml:space="preserve"> </w:t>
      </w:r>
      <w:r w:rsidR="00A504D1">
        <w:t>was</w:t>
      </w:r>
      <w:r w:rsidR="00FF5F91">
        <w:t xml:space="preserve"> very consistent at a specific cure pressure and</w:t>
      </w:r>
      <w:r w:rsidR="00282612">
        <w:t xml:space="preserve"> typically</w:t>
      </w:r>
      <w:r w:rsidR="00FF5F91">
        <w:t xml:space="preserve"> did not vary by more than</w:t>
      </w:r>
      <w:r w:rsidR="00282612">
        <w:t xml:space="preserve"> </w:t>
      </w:r>
      <w:r w:rsidR="00FF5F91" w:rsidRPr="001D7A6D">
        <w:rPr>
          <w:rFonts w:ascii="MS Gothic" w:eastAsia="MS Gothic"/>
          <w:color w:val="000000"/>
        </w:rPr>
        <w:t>±</w:t>
      </w:r>
      <w:r w:rsidR="00FF5F91">
        <w:t>1.3</w:t>
      </w:r>
      <w:r w:rsidR="008E4722">
        <w:t>%.  C</w:t>
      </w:r>
      <w:r w:rsidR="00FF5F91">
        <w:t xml:space="preserve">omparing the two epoxy-resin prepregs in </w:t>
      </w:r>
      <w:r w:rsidR="00FF5F91">
        <w:fldChar w:fldCharType="begin"/>
      </w:r>
      <w:r w:rsidR="00FF5F91">
        <w:instrText xml:space="preserve"> REF _Ref342913828 \h </w:instrText>
      </w:r>
      <w:r w:rsidR="00FF5F91">
        <w:fldChar w:fldCharType="separate"/>
      </w:r>
      <w:r w:rsidR="008A1992" w:rsidRPr="00770D06">
        <w:t xml:space="preserve">Figure </w:t>
      </w:r>
      <w:r w:rsidR="008A1992">
        <w:rPr>
          <w:noProof/>
        </w:rPr>
        <w:t>2</w:t>
      </w:r>
      <w:r w:rsidR="008A1992">
        <w:t>.</w:t>
      </w:r>
      <w:r w:rsidR="008A1992">
        <w:rPr>
          <w:noProof/>
        </w:rPr>
        <w:t>12</w:t>
      </w:r>
      <w:r w:rsidR="00FF5F91">
        <w:fldChar w:fldCharType="end"/>
      </w:r>
      <w:proofErr w:type="gramStart"/>
      <w:r w:rsidR="00A504D1">
        <w:t>a</w:t>
      </w:r>
      <w:r w:rsidR="00FF5F91">
        <w:t xml:space="preserve"> and</w:t>
      </w:r>
      <w:proofErr w:type="gramEnd"/>
      <w:r w:rsidR="00FF5F91">
        <w:t xml:space="preserve"> c, </w:t>
      </w:r>
      <w:r w:rsidR="008E4722">
        <w:t xml:space="preserve">both prepregs had </w:t>
      </w:r>
      <w:r w:rsidR="00A02A77">
        <w:t>identical</w:t>
      </w:r>
      <w:r w:rsidR="008E4722">
        <w:t xml:space="preserve"> delta changes </w:t>
      </w:r>
      <w:r w:rsidR="003F7EF1">
        <w:t xml:space="preserve">(between the maximum and minimum observed values) </w:t>
      </w:r>
      <w:r w:rsidR="008E4722">
        <w:t xml:space="preserve">in </w:t>
      </w:r>
      <w:r w:rsidR="008E4722">
        <w:lastRenderedPageBreak/>
        <w:t xml:space="preserve">the fiber volume fraction of </w:t>
      </w:r>
      <w:r w:rsidR="00A02A77">
        <w:t xml:space="preserve">14.4%.  The magnitude for carbon fiber reinforcement was higher </w:t>
      </w:r>
      <w:r w:rsidR="003F7EF1">
        <w:t xml:space="preserve">for a specific cure pressure </w:t>
      </w:r>
      <w:r w:rsidR="00A02A77">
        <w:t>when compared to the quartz reinforcement</w:t>
      </w:r>
      <w:r w:rsidR="00FF5F91">
        <w:t>.  Additionally, the carbon fiber laminates had slightly more variations in the fiber volume fraction at a specific cure pressure</w:t>
      </w:r>
      <w:r w:rsidR="002B4623">
        <w:t>.</w:t>
      </w:r>
      <w:r w:rsidR="0096198C">
        <w:t xml:space="preserve">  </w:t>
      </w:r>
      <w:r w:rsidR="0096198C">
        <w:fldChar w:fldCharType="begin"/>
      </w:r>
      <w:r w:rsidR="0096198C">
        <w:instrText xml:space="preserve"> REF _Ref342913828 \h </w:instrText>
      </w:r>
      <w:r w:rsidR="0096198C">
        <w:fldChar w:fldCharType="separate"/>
      </w:r>
      <w:r w:rsidR="008A1992" w:rsidRPr="00770D06">
        <w:t xml:space="preserve">Figure </w:t>
      </w:r>
      <w:r w:rsidR="008A1992">
        <w:rPr>
          <w:noProof/>
        </w:rPr>
        <w:t>2</w:t>
      </w:r>
      <w:r w:rsidR="008A1992">
        <w:t>.</w:t>
      </w:r>
      <w:r w:rsidR="008A1992">
        <w:rPr>
          <w:noProof/>
        </w:rPr>
        <w:t>12</w:t>
      </w:r>
      <w:r w:rsidR="0096198C">
        <w:fldChar w:fldCharType="end"/>
      </w:r>
      <w:r w:rsidR="0096198C">
        <w:t xml:space="preserve">a-c also reiterate the </w:t>
      </w:r>
      <w:r w:rsidR="00FC172A">
        <w:t>effect</w:t>
      </w:r>
      <w:r w:rsidR="0096198C">
        <w:t xml:space="preserve"> of humidity exposure on the fiber volume fraction presented in Section </w:t>
      </w:r>
      <w:r w:rsidR="0096198C">
        <w:fldChar w:fldCharType="begin"/>
      </w:r>
      <w:r w:rsidR="0096198C">
        <w:instrText xml:space="preserve"> REF _Ref343765995 \r \h </w:instrText>
      </w:r>
      <w:r w:rsidR="0096198C">
        <w:fldChar w:fldCharType="separate"/>
      </w:r>
      <w:r w:rsidR="008A1992">
        <w:t>2.5.5</w:t>
      </w:r>
      <w:r w:rsidR="0096198C">
        <w:fldChar w:fldCharType="end"/>
      </w:r>
      <w:r w:rsidR="0096198C">
        <w:t xml:space="preserve">.  Generally, </w:t>
      </w:r>
      <w:r w:rsidR="00FC172A">
        <w:t xml:space="preserve">as humidity exposure increased, the </w:t>
      </w:r>
      <w:r w:rsidR="0096198C">
        <w:t>fiber volume fraction slightly increases for quartz-reinforcement and slightly decreases for carbon fiber</w:t>
      </w:r>
      <w:r w:rsidR="00FC172A">
        <w:t>-reinforcement</w:t>
      </w:r>
      <w:r w:rsidR="0096198C">
        <w:t xml:space="preserve">.  </w:t>
      </w:r>
      <w:r w:rsidR="00FC172A">
        <w:t>There</w:t>
      </w:r>
      <w:r w:rsidR="0096198C">
        <w:t xml:space="preserve"> was a good deal of randomness at some fabrication pressures that did not follow the general trends.</w:t>
      </w:r>
      <w:r w:rsidR="0096198C" w:rsidRPr="0096198C">
        <w:t xml:space="preserve"> </w:t>
      </w:r>
      <w:r w:rsidR="0096198C">
        <w:t xml:space="preserve"> </w:t>
      </w:r>
      <w:r w:rsidR="00FC172A">
        <w:fldChar w:fldCharType="begin"/>
      </w:r>
      <w:r w:rsidR="00FC172A">
        <w:instrText xml:space="preserve"> REF _Ref343766365 \h </w:instrText>
      </w:r>
      <w:r w:rsidR="00FC172A">
        <w:fldChar w:fldCharType="separate"/>
      </w:r>
      <w:r w:rsidR="008A1992" w:rsidRPr="00AF0389">
        <w:t xml:space="preserve">Table </w:t>
      </w:r>
      <w:r w:rsidR="008A1992">
        <w:rPr>
          <w:noProof/>
        </w:rPr>
        <w:t>2</w:t>
      </w:r>
      <w:r w:rsidR="008A1992">
        <w:t>.</w:t>
      </w:r>
      <w:r w:rsidR="008A1992">
        <w:rPr>
          <w:noProof/>
        </w:rPr>
        <w:t>7</w:t>
      </w:r>
      <w:r w:rsidR="00FC172A">
        <w:fldChar w:fldCharType="end"/>
      </w:r>
      <w:r w:rsidR="00FC172A">
        <w:t xml:space="preserve"> contains t</w:t>
      </w:r>
      <w:r w:rsidR="0096198C">
        <w:t>he power-function trend line equations</w:t>
      </w:r>
      <w:r w:rsidR="00B62B27">
        <w:t xml:space="preserve"> that were selected to represent</w:t>
      </w:r>
      <w:r w:rsidR="0096198C">
        <w:t xml:space="preserve"> each</w:t>
      </w:r>
      <w:r w:rsidR="00FC172A">
        <w:t xml:space="preserve"> specimen series.</w:t>
      </w:r>
      <w:r w:rsidR="00B62B27">
        <w:t xml:space="preserve">  The power-function trend lines selected for quartz/epoxy resulted in R</w:t>
      </w:r>
      <w:r w:rsidR="00B62B27" w:rsidRPr="00177745">
        <w:rPr>
          <w:vertAlign w:val="superscript"/>
        </w:rPr>
        <w:t>2</w:t>
      </w:r>
      <w:r w:rsidR="00B62B27">
        <w:t>-values of 0.96-0.99 as opposed to linear R</w:t>
      </w:r>
      <w:r w:rsidR="00B62B27" w:rsidRPr="00177745">
        <w:rPr>
          <w:vertAlign w:val="superscript"/>
        </w:rPr>
        <w:t>2</w:t>
      </w:r>
      <w:r w:rsidR="00B62B27">
        <w:t>-values of 0.90-0.97.  Therefore, a power-function trend line representation of the effect of fabrication pressure was selected to represent the laminate fiber volume fraction for each prepreg material.</w:t>
      </w:r>
    </w:p>
    <w:p w14:paraId="42686EAC" w14:textId="3E2943B6" w:rsidR="00770D06" w:rsidRDefault="00733F51" w:rsidP="00770D06">
      <w:pPr>
        <w:keepNext/>
        <w:jc w:val="center"/>
      </w:pPr>
      <w:r>
        <w:rPr>
          <w:noProof/>
        </w:rPr>
        <w:lastRenderedPageBreak/>
        <mc:AlternateContent>
          <mc:Choice Requires="wpg">
            <w:drawing>
              <wp:inline distT="0" distB="0" distL="0" distR="0" wp14:anchorId="50177E00" wp14:editId="63839319">
                <wp:extent cx="5394960" cy="4662327"/>
                <wp:effectExtent l="0" t="0" r="0" b="11430"/>
                <wp:docPr id="240" name="Group 6"/>
                <wp:cNvGraphicFramePr/>
                <a:graphic xmlns:a="http://schemas.openxmlformats.org/drawingml/2006/main">
                  <a:graphicData uri="http://schemas.microsoft.com/office/word/2010/wordprocessingGroup">
                    <wpg:wgp>
                      <wpg:cNvGrpSpPr/>
                      <wpg:grpSpPr>
                        <a:xfrm>
                          <a:off x="0" y="0"/>
                          <a:ext cx="5394960" cy="4662327"/>
                          <a:chOff x="0" y="0"/>
                          <a:chExt cx="5424606" cy="4687994"/>
                        </a:xfrm>
                      </wpg:grpSpPr>
                      <wpg:graphicFrame>
                        <wpg:cNvPr id="241" name="Chart 241"/>
                        <wpg:cNvFrPr/>
                        <wpg:xfrm>
                          <a:off x="2711884" y="0"/>
                          <a:ext cx="2712722" cy="2345667"/>
                        </wpg:xfrm>
                        <a:graphic>
                          <a:graphicData uri="http://schemas.openxmlformats.org/drawingml/2006/chart">
                            <c:chart xmlns:c="http://schemas.openxmlformats.org/drawingml/2006/chart" xmlns:r="http://schemas.openxmlformats.org/officeDocument/2006/relationships" r:id="rId40"/>
                          </a:graphicData>
                        </a:graphic>
                      </wpg:graphicFrame>
                      <wpg:graphicFrame>
                        <wpg:cNvPr id="242" name="Chart 242"/>
                        <wpg:cNvFrPr>
                          <a:graphicFrameLocks/>
                        </wpg:cNvFrPr>
                        <wpg:xfrm>
                          <a:off x="0" y="0"/>
                          <a:ext cx="2712722" cy="2345667"/>
                        </wpg:xfrm>
                        <a:graphic>
                          <a:graphicData uri="http://schemas.openxmlformats.org/drawingml/2006/chart">
                            <c:chart xmlns:c="http://schemas.openxmlformats.org/drawingml/2006/chart" xmlns:r="http://schemas.openxmlformats.org/officeDocument/2006/relationships" r:id="rId41"/>
                          </a:graphicData>
                        </a:graphic>
                      </wpg:graphicFrame>
                      <wpg:graphicFrame>
                        <wpg:cNvPr id="243" name="Chart 243"/>
                        <wpg:cNvFrPr>
                          <a:graphicFrameLocks/>
                        </wpg:cNvFrPr>
                        <wpg:xfrm>
                          <a:off x="1385570" y="2342327"/>
                          <a:ext cx="2712722" cy="2345667"/>
                        </wpg:xfrm>
                        <a:graphic>
                          <a:graphicData uri="http://schemas.openxmlformats.org/drawingml/2006/chart">
                            <c:chart xmlns:c="http://schemas.openxmlformats.org/drawingml/2006/chart" xmlns:r="http://schemas.openxmlformats.org/officeDocument/2006/relationships" r:id="rId42"/>
                          </a:graphicData>
                        </a:graphic>
                      </wpg:graphicFrame>
                    </wpg:wgp>
                  </a:graphicData>
                </a:graphic>
              </wp:inline>
            </w:drawing>
          </mc:Choice>
          <mc:Fallback xmlns:w15="http://schemas.microsoft.com/office/word/2012/wordml">
            <w:pict>
              <v:group w14:anchorId="15F97D0B" id="Group 6" o:spid="_x0000_s1026" style="width:424.8pt;height:367.1pt;mso-position-horizontal-relative:char;mso-position-vertical-relative:line" coordsize="54246,46879" o:gfxdata="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">
                <v:shape id="Chart 241" o:spid="_x0000_s1027" type="#_x0000_t75" style="position:absolute;left:27092;width:27154;height:234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">
                  <v:imagedata r:id="rId43" o:title=""/>
                  <o:lock v:ext="edit" aspectratio="f"/>
                </v:shape>
                <v:shape id="Chart 242" o:spid="_x0000_s1028" type="#_x0000_t75" style="position:absolute;width:27153;height:234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">
                  <v:imagedata r:id="rId44" o:title=""/>
                  <o:lock v:ext="edit" aspectratio="f"/>
                </v:shape>
                <v:shape id="Chart 243" o:spid="_x0000_s1029" type="#_x0000_t75" style="position:absolute;left:13852;top:23414;width:27154;height:2347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">
                  <v:imagedata r:id="rId45" o:title=""/>
                  <o:lock v:ext="edit" aspectratio="f"/>
                </v:shape>
                <w10:anchorlock/>
              </v:group>
            </w:pict>
          </mc:Fallback>
        </mc:AlternateContent>
      </w:r>
    </w:p>
    <w:p w14:paraId="2127A923" w14:textId="7419DF73" w:rsidR="001E5113" w:rsidRDefault="00770D06" w:rsidP="0096198C">
      <w:pPr>
        <w:pStyle w:val="Caption"/>
        <w:spacing w:line="240" w:lineRule="auto"/>
        <w:jc w:val="center"/>
      </w:pPr>
      <w:bookmarkStart w:id="90" w:name="_Ref342913828"/>
      <w:bookmarkStart w:id="91" w:name="_Toc346310420"/>
      <w:proofErr w:type="gramStart"/>
      <w:r w:rsidRPr="00770D06">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2</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12</w:t>
      </w:r>
      <w:r w:rsidR="00C16D85">
        <w:rPr>
          <w:sz w:val="24"/>
        </w:rPr>
        <w:fldChar w:fldCharType="end"/>
      </w:r>
      <w:bookmarkEnd w:id="90"/>
      <w:r w:rsidRPr="00770D06">
        <w:rPr>
          <w:sz w:val="24"/>
        </w:rPr>
        <w:t xml:space="preserve"> Effect of varying fabrication pressure on laminate fiber volume fraction</w:t>
      </w:r>
      <w:r>
        <w:rPr>
          <w:sz w:val="24"/>
        </w:rPr>
        <w:t xml:space="preserve"> for (a) Quartz/</w:t>
      </w:r>
      <w:r w:rsidR="00681525">
        <w:rPr>
          <w:sz w:val="24"/>
        </w:rPr>
        <w:t>Epoxy</w:t>
      </w:r>
      <w:r>
        <w:rPr>
          <w:sz w:val="24"/>
        </w:rPr>
        <w:t>, (b) Quartz/</w:t>
      </w:r>
      <w:r w:rsidR="00681525">
        <w:rPr>
          <w:sz w:val="24"/>
        </w:rPr>
        <w:t>BMI</w:t>
      </w:r>
      <w:r>
        <w:rPr>
          <w:sz w:val="24"/>
        </w:rPr>
        <w:t>, and (c) Carbon/Epoxy prepregs</w:t>
      </w:r>
      <w:bookmarkEnd w:id="91"/>
      <w:r w:rsidR="001E5113">
        <w:br w:type="page"/>
      </w:r>
    </w:p>
    <w:p w14:paraId="42DCAE92" w14:textId="27B88B49" w:rsidR="00AF0389" w:rsidRPr="00AF0389" w:rsidRDefault="00AF0389" w:rsidP="00AF0389">
      <w:pPr>
        <w:pStyle w:val="Caption"/>
        <w:keepNext/>
        <w:spacing w:after="120" w:line="240" w:lineRule="auto"/>
        <w:jc w:val="center"/>
        <w:rPr>
          <w:sz w:val="24"/>
          <w:szCs w:val="24"/>
        </w:rPr>
      </w:pPr>
      <w:bookmarkStart w:id="92" w:name="_Ref343766365"/>
      <w:bookmarkStart w:id="93" w:name="_Toc346310849"/>
      <w:proofErr w:type="gramStart"/>
      <w:r w:rsidRPr="00AF0389">
        <w:rPr>
          <w:sz w:val="24"/>
          <w:szCs w:val="24"/>
        </w:rPr>
        <w:lastRenderedPageBreak/>
        <w:t xml:space="preserve">Table </w:t>
      </w:r>
      <w:r w:rsidR="00707D23">
        <w:rPr>
          <w:sz w:val="24"/>
          <w:szCs w:val="24"/>
        </w:rPr>
        <w:fldChar w:fldCharType="begin"/>
      </w:r>
      <w:r w:rsidR="00707D23">
        <w:rPr>
          <w:sz w:val="24"/>
          <w:szCs w:val="24"/>
        </w:rPr>
        <w:instrText xml:space="preserve"> STYLEREF 1 \s </w:instrText>
      </w:r>
      <w:r w:rsidR="00707D23">
        <w:rPr>
          <w:sz w:val="24"/>
          <w:szCs w:val="24"/>
        </w:rPr>
        <w:fldChar w:fldCharType="separate"/>
      </w:r>
      <w:r w:rsidR="008A1992">
        <w:rPr>
          <w:noProof/>
          <w:sz w:val="24"/>
          <w:szCs w:val="24"/>
        </w:rPr>
        <w:t>2</w:t>
      </w:r>
      <w:r w:rsidR="00707D23">
        <w:rPr>
          <w:sz w:val="24"/>
          <w:szCs w:val="24"/>
        </w:rPr>
        <w:fldChar w:fldCharType="end"/>
      </w:r>
      <w:r w:rsidR="00707D23">
        <w:rPr>
          <w:sz w:val="24"/>
          <w:szCs w:val="24"/>
        </w:rPr>
        <w:t>.</w:t>
      </w:r>
      <w:proofErr w:type="gramEnd"/>
      <w:r w:rsidR="00707D23">
        <w:rPr>
          <w:sz w:val="24"/>
          <w:szCs w:val="24"/>
        </w:rPr>
        <w:fldChar w:fldCharType="begin"/>
      </w:r>
      <w:r w:rsidR="00707D23">
        <w:rPr>
          <w:sz w:val="24"/>
          <w:szCs w:val="24"/>
        </w:rPr>
        <w:instrText xml:space="preserve"> SEQ Table \* ARABIC \s 1 </w:instrText>
      </w:r>
      <w:r w:rsidR="00707D23">
        <w:rPr>
          <w:sz w:val="24"/>
          <w:szCs w:val="24"/>
        </w:rPr>
        <w:fldChar w:fldCharType="separate"/>
      </w:r>
      <w:r w:rsidR="008A1992">
        <w:rPr>
          <w:noProof/>
          <w:sz w:val="24"/>
          <w:szCs w:val="24"/>
        </w:rPr>
        <w:t>7</w:t>
      </w:r>
      <w:r w:rsidR="00707D23">
        <w:rPr>
          <w:sz w:val="24"/>
          <w:szCs w:val="24"/>
        </w:rPr>
        <w:fldChar w:fldCharType="end"/>
      </w:r>
      <w:bookmarkEnd w:id="92"/>
      <w:r w:rsidRPr="00AF0389">
        <w:rPr>
          <w:sz w:val="24"/>
          <w:szCs w:val="24"/>
        </w:rPr>
        <w:t xml:space="preserve"> Trend </w:t>
      </w:r>
      <w:r w:rsidRPr="005901A5">
        <w:rPr>
          <w:sz w:val="24"/>
          <w:szCs w:val="24"/>
        </w:rPr>
        <w:t xml:space="preserve">line equations for </w:t>
      </w:r>
      <w:r>
        <w:rPr>
          <w:sz w:val="24"/>
          <w:szCs w:val="24"/>
        </w:rPr>
        <w:t>fabrication pressure ef</w:t>
      </w:r>
      <w:r w:rsidRPr="005901A5">
        <w:rPr>
          <w:sz w:val="24"/>
          <w:szCs w:val="24"/>
        </w:rPr>
        <w:t>fect on laminate fiber volume fraction</w:t>
      </w:r>
      <w:bookmarkEnd w:id="93"/>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2592"/>
        <w:gridCol w:w="1152"/>
      </w:tblGrid>
      <w:tr w:rsidR="005901A5" w14:paraId="11F3037B" w14:textId="77777777" w:rsidTr="005901A5">
        <w:trPr>
          <w:jc w:val="center"/>
        </w:trPr>
        <w:tc>
          <w:tcPr>
            <w:tcW w:w="2016" w:type="dxa"/>
            <w:tcBorders>
              <w:top w:val="single" w:sz="12" w:space="0" w:color="auto"/>
            </w:tcBorders>
            <w:vAlign w:val="center"/>
          </w:tcPr>
          <w:p w14:paraId="6054B5D4" w14:textId="745C8875" w:rsidR="005901A5" w:rsidRPr="00006052" w:rsidRDefault="00681525" w:rsidP="005901A5">
            <w:pPr>
              <w:spacing w:line="240" w:lineRule="auto"/>
              <w:jc w:val="center"/>
              <w:rPr>
                <w:b/>
              </w:rPr>
            </w:pPr>
            <w:r>
              <w:rPr>
                <w:b/>
              </w:rPr>
              <w:t>a) Quartz/Epoxy</w:t>
            </w:r>
          </w:p>
        </w:tc>
        <w:tc>
          <w:tcPr>
            <w:tcW w:w="2592" w:type="dxa"/>
            <w:tcBorders>
              <w:top w:val="single" w:sz="12" w:space="0" w:color="auto"/>
              <w:bottom w:val="single" w:sz="4" w:space="0" w:color="auto"/>
            </w:tcBorders>
            <w:vAlign w:val="center"/>
          </w:tcPr>
          <w:p w14:paraId="2CD05F68" w14:textId="77777777" w:rsidR="005901A5" w:rsidRPr="00006052" w:rsidRDefault="005901A5" w:rsidP="005901A5">
            <w:pPr>
              <w:spacing w:line="240" w:lineRule="auto"/>
              <w:jc w:val="center"/>
              <w:rPr>
                <w:b/>
              </w:rPr>
            </w:pPr>
            <w:r w:rsidRPr="00006052">
              <w:rPr>
                <w:b/>
              </w:rPr>
              <w:t>Trend Line Equation</w:t>
            </w:r>
          </w:p>
        </w:tc>
        <w:tc>
          <w:tcPr>
            <w:tcW w:w="1152" w:type="dxa"/>
            <w:tcBorders>
              <w:top w:val="single" w:sz="12" w:space="0" w:color="auto"/>
              <w:bottom w:val="single" w:sz="4" w:space="0" w:color="auto"/>
            </w:tcBorders>
            <w:vAlign w:val="center"/>
          </w:tcPr>
          <w:p w14:paraId="50E8E701" w14:textId="77777777" w:rsidR="005901A5" w:rsidRPr="00006052" w:rsidRDefault="005901A5" w:rsidP="005901A5">
            <w:pPr>
              <w:spacing w:line="240" w:lineRule="auto"/>
              <w:jc w:val="left"/>
              <w:rPr>
                <w:b/>
              </w:rPr>
            </w:pPr>
            <w:r w:rsidRPr="00006052">
              <w:rPr>
                <w:b/>
              </w:rPr>
              <w:t>R</w:t>
            </w:r>
            <w:r w:rsidRPr="00006052">
              <w:rPr>
                <w:b/>
                <w:vertAlign w:val="superscript"/>
              </w:rPr>
              <w:t>2</w:t>
            </w:r>
            <w:r w:rsidRPr="00006052">
              <w:rPr>
                <w:b/>
              </w:rPr>
              <w:t xml:space="preserve"> Value</w:t>
            </w:r>
          </w:p>
        </w:tc>
      </w:tr>
      <w:tr w:rsidR="00681525" w14:paraId="4858D3B5" w14:textId="77777777" w:rsidTr="005901A5">
        <w:trPr>
          <w:jc w:val="center"/>
        </w:trPr>
        <w:tc>
          <w:tcPr>
            <w:tcW w:w="2016" w:type="dxa"/>
            <w:tcBorders>
              <w:right w:val="single" w:sz="4" w:space="0" w:color="auto"/>
            </w:tcBorders>
            <w:vAlign w:val="center"/>
          </w:tcPr>
          <w:p w14:paraId="32D951A9" w14:textId="36E67111" w:rsidR="00681525" w:rsidRDefault="00681525" w:rsidP="005901A5">
            <w:pPr>
              <w:spacing w:line="240" w:lineRule="auto"/>
              <w:jc w:val="center"/>
            </w:pPr>
            <w:r>
              <w:t>2% RH</w:t>
            </w:r>
          </w:p>
        </w:tc>
        <w:tc>
          <w:tcPr>
            <w:tcW w:w="2592" w:type="dxa"/>
            <w:tcBorders>
              <w:top w:val="single" w:sz="4" w:space="0" w:color="auto"/>
              <w:left w:val="single" w:sz="4" w:space="0" w:color="auto"/>
            </w:tcBorders>
            <w:vAlign w:val="center"/>
          </w:tcPr>
          <w:p w14:paraId="561EA147" w14:textId="217C643E" w:rsidR="00681525" w:rsidRDefault="00681525" w:rsidP="001B12B4">
            <w:pPr>
              <w:spacing w:line="240" w:lineRule="auto"/>
              <w:jc w:val="center"/>
            </w:pPr>
            <w:r>
              <w:t>30.649x</w:t>
            </w:r>
            <w:r w:rsidRPr="001B12B4">
              <w:rPr>
                <w:vertAlign w:val="superscript"/>
              </w:rPr>
              <w:t>0.1</w:t>
            </w:r>
            <w:r>
              <w:rPr>
                <w:vertAlign w:val="superscript"/>
              </w:rPr>
              <w:t>085</w:t>
            </w:r>
          </w:p>
        </w:tc>
        <w:tc>
          <w:tcPr>
            <w:tcW w:w="1152" w:type="dxa"/>
            <w:tcBorders>
              <w:top w:val="single" w:sz="4" w:space="0" w:color="auto"/>
              <w:right w:val="single" w:sz="4" w:space="0" w:color="auto"/>
            </w:tcBorders>
            <w:vAlign w:val="center"/>
          </w:tcPr>
          <w:p w14:paraId="701DF54F" w14:textId="7205FE20" w:rsidR="00681525" w:rsidRDefault="00681525" w:rsidP="005901A5">
            <w:pPr>
              <w:spacing w:line="240" w:lineRule="auto"/>
              <w:jc w:val="left"/>
            </w:pPr>
            <w:r>
              <w:t>0.9628</w:t>
            </w:r>
          </w:p>
        </w:tc>
      </w:tr>
      <w:tr w:rsidR="00681525" w14:paraId="1837B6D4" w14:textId="77777777" w:rsidTr="005901A5">
        <w:trPr>
          <w:jc w:val="center"/>
        </w:trPr>
        <w:tc>
          <w:tcPr>
            <w:tcW w:w="2016" w:type="dxa"/>
            <w:tcBorders>
              <w:right w:val="single" w:sz="4" w:space="0" w:color="auto"/>
            </w:tcBorders>
            <w:vAlign w:val="center"/>
          </w:tcPr>
          <w:p w14:paraId="12BE91E9" w14:textId="42818502" w:rsidR="00681525" w:rsidRDefault="00681525" w:rsidP="005901A5">
            <w:pPr>
              <w:spacing w:line="240" w:lineRule="auto"/>
              <w:jc w:val="center"/>
            </w:pPr>
            <w:r>
              <w:t>40% RH</w:t>
            </w:r>
          </w:p>
        </w:tc>
        <w:tc>
          <w:tcPr>
            <w:tcW w:w="2592" w:type="dxa"/>
            <w:tcBorders>
              <w:left w:val="single" w:sz="4" w:space="0" w:color="auto"/>
            </w:tcBorders>
            <w:vAlign w:val="center"/>
          </w:tcPr>
          <w:p w14:paraId="33F0523D" w14:textId="0A2AE1E7" w:rsidR="00681525" w:rsidRDefault="00681525" w:rsidP="001B12B4">
            <w:pPr>
              <w:spacing w:line="240" w:lineRule="auto"/>
              <w:jc w:val="center"/>
            </w:pPr>
            <w:r>
              <w:t>28.722x</w:t>
            </w:r>
            <w:r w:rsidRPr="001B12B4">
              <w:rPr>
                <w:vertAlign w:val="superscript"/>
              </w:rPr>
              <w:t>0.1</w:t>
            </w:r>
            <w:r>
              <w:rPr>
                <w:vertAlign w:val="superscript"/>
              </w:rPr>
              <w:t>222</w:t>
            </w:r>
          </w:p>
        </w:tc>
        <w:tc>
          <w:tcPr>
            <w:tcW w:w="1152" w:type="dxa"/>
            <w:tcBorders>
              <w:right w:val="single" w:sz="4" w:space="0" w:color="auto"/>
            </w:tcBorders>
            <w:vAlign w:val="center"/>
          </w:tcPr>
          <w:p w14:paraId="258FC9A6" w14:textId="029E9B70" w:rsidR="00681525" w:rsidRDefault="00681525" w:rsidP="005901A5">
            <w:pPr>
              <w:spacing w:line="240" w:lineRule="auto"/>
              <w:jc w:val="left"/>
            </w:pPr>
            <w:r>
              <w:t>0.9919</w:t>
            </w:r>
          </w:p>
        </w:tc>
      </w:tr>
      <w:tr w:rsidR="00681525" w14:paraId="6321DCF2" w14:textId="77777777" w:rsidTr="005901A5">
        <w:trPr>
          <w:jc w:val="center"/>
        </w:trPr>
        <w:tc>
          <w:tcPr>
            <w:tcW w:w="2016" w:type="dxa"/>
            <w:tcBorders>
              <w:right w:val="single" w:sz="4" w:space="0" w:color="auto"/>
            </w:tcBorders>
            <w:vAlign w:val="center"/>
          </w:tcPr>
          <w:p w14:paraId="2C6DAE78" w14:textId="728CDD12" w:rsidR="00681525" w:rsidRDefault="00681525" w:rsidP="005901A5">
            <w:pPr>
              <w:spacing w:line="240" w:lineRule="auto"/>
              <w:jc w:val="center"/>
            </w:pPr>
            <w:r>
              <w:t>70% RH</w:t>
            </w:r>
          </w:p>
        </w:tc>
        <w:tc>
          <w:tcPr>
            <w:tcW w:w="2592" w:type="dxa"/>
            <w:tcBorders>
              <w:left w:val="single" w:sz="4" w:space="0" w:color="auto"/>
            </w:tcBorders>
            <w:vAlign w:val="center"/>
          </w:tcPr>
          <w:p w14:paraId="06CB0811" w14:textId="221F10D0" w:rsidR="00681525" w:rsidRDefault="00681525" w:rsidP="001B12B4">
            <w:pPr>
              <w:spacing w:line="240" w:lineRule="auto"/>
              <w:jc w:val="center"/>
            </w:pPr>
            <w:r>
              <w:t>27.506x</w:t>
            </w:r>
            <w:r w:rsidRPr="001B12B4">
              <w:rPr>
                <w:vertAlign w:val="superscript"/>
              </w:rPr>
              <w:t>0.</w:t>
            </w:r>
            <w:r>
              <w:rPr>
                <w:vertAlign w:val="superscript"/>
              </w:rPr>
              <w:t>1299</w:t>
            </w:r>
          </w:p>
        </w:tc>
        <w:tc>
          <w:tcPr>
            <w:tcW w:w="1152" w:type="dxa"/>
            <w:tcBorders>
              <w:right w:val="single" w:sz="4" w:space="0" w:color="auto"/>
            </w:tcBorders>
            <w:vAlign w:val="center"/>
          </w:tcPr>
          <w:p w14:paraId="360118D1" w14:textId="284E6D28" w:rsidR="00681525" w:rsidRDefault="00681525" w:rsidP="005901A5">
            <w:pPr>
              <w:spacing w:line="240" w:lineRule="auto"/>
              <w:jc w:val="left"/>
            </w:pPr>
            <w:r>
              <w:t>0.9712</w:t>
            </w:r>
          </w:p>
        </w:tc>
      </w:tr>
      <w:tr w:rsidR="00681525" w14:paraId="10F68F23" w14:textId="77777777" w:rsidTr="005901A5">
        <w:trPr>
          <w:jc w:val="center"/>
        </w:trPr>
        <w:tc>
          <w:tcPr>
            <w:tcW w:w="2016" w:type="dxa"/>
            <w:tcBorders>
              <w:right w:val="single" w:sz="4" w:space="0" w:color="auto"/>
            </w:tcBorders>
            <w:vAlign w:val="center"/>
          </w:tcPr>
          <w:p w14:paraId="252613A5" w14:textId="1744F730" w:rsidR="00681525" w:rsidRDefault="00681525" w:rsidP="005901A5">
            <w:pPr>
              <w:spacing w:line="240" w:lineRule="auto"/>
              <w:jc w:val="center"/>
            </w:pPr>
            <w:r>
              <w:t>99% RH</w:t>
            </w:r>
          </w:p>
        </w:tc>
        <w:tc>
          <w:tcPr>
            <w:tcW w:w="2592" w:type="dxa"/>
            <w:tcBorders>
              <w:left w:val="single" w:sz="4" w:space="0" w:color="auto"/>
              <w:bottom w:val="single" w:sz="4" w:space="0" w:color="auto"/>
            </w:tcBorders>
            <w:vAlign w:val="center"/>
          </w:tcPr>
          <w:p w14:paraId="40CC71B7" w14:textId="1AAE8B18" w:rsidR="00681525" w:rsidRDefault="00681525" w:rsidP="001B12B4">
            <w:pPr>
              <w:spacing w:line="240" w:lineRule="auto"/>
              <w:jc w:val="center"/>
            </w:pPr>
            <w:r>
              <w:t>32.265x</w:t>
            </w:r>
            <w:r w:rsidRPr="001B12B4">
              <w:rPr>
                <w:vertAlign w:val="superscript"/>
              </w:rPr>
              <w:t>0.</w:t>
            </w:r>
            <w:r>
              <w:rPr>
                <w:vertAlign w:val="superscript"/>
              </w:rPr>
              <w:t>0988</w:t>
            </w:r>
          </w:p>
        </w:tc>
        <w:tc>
          <w:tcPr>
            <w:tcW w:w="1152" w:type="dxa"/>
            <w:tcBorders>
              <w:bottom w:val="single" w:sz="4" w:space="0" w:color="auto"/>
              <w:right w:val="single" w:sz="4" w:space="0" w:color="auto"/>
            </w:tcBorders>
            <w:vAlign w:val="center"/>
          </w:tcPr>
          <w:p w14:paraId="7E334BF9" w14:textId="611A2183" w:rsidR="00681525" w:rsidRDefault="00681525" w:rsidP="005901A5">
            <w:pPr>
              <w:spacing w:line="240" w:lineRule="auto"/>
              <w:jc w:val="left"/>
            </w:pPr>
            <w:r>
              <w:t>0.9839</w:t>
            </w:r>
          </w:p>
        </w:tc>
      </w:tr>
      <w:tr w:rsidR="005901A5" w14:paraId="20A6B317" w14:textId="77777777" w:rsidTr="005901A5">
        <w:trPr>
          <w:trHeight w:val="144"/>
          <w:jc w:val="center"/>
        </w:trPr>
        <w:tc>
          <w:tcPr>
            <w:tcW w:w="2016" w:type="dxa"/>
            <w:vAlign w:val="center"/>
          </w:tcPr>
          <w:p w14:paraId="5DDDF8F8" w14:textId="77777777" w:rsidR="005901A5" w:rsidRPr="00722E7F" w:rsidRDefault="005901A5" w:rsidP="005901A5">
            <w:pPr>
              <w:spacing w:line="240" w:lineRule="auto"/>
              <w:jc w:val="center"/>
              <w:rPr>
                <w:sz w:val="16"/>
              </w:rPr>
            </w:pPr>
          </w:p>
        </w:tc>
        <w:tc>
          <w:tcPr>
            <w:tcW w:w="2592" w:type="dxa"/>
            <w:tcBorders>
              <w:top w:val="single" w:sz="4" w:space="0" w:color="auto"/>
            </w:tcBorders>
            <w:vAlign w:val="center"/>
          </w:tcPr>
          <w:p w14:paraId="27A53855" w14:textId="77777777" w:rsidR="005901A5" w:rsidRPr="00722E7F" w:rsidRDefault="005901A5" w:rsidP="005901A5">
            <w:pPr>
              <w:spacing w:line="240" w:lineRule="auto"/>
              <w:jc w:val="center"/>
              <w:rPr>
                <w:sz w:val="16"/>
              </w:rPr>
            </w:pPr>
          </w:p>
        </w:tc>
        <w:tc>
          <w:tcPr>
            <w:tcW w:w="1152" w:type="dxa"/>
            <w:tcBorders>
              <w:top w:val="single" w:sz="4" w:space="0" w:color="auto"/>
            </w:tcBorders>
            <w:vAlign w:val="center"/>
          </w:tcPr>
          <w:p w14:paraId="086EE07C" w14:textId="77777777" w:rsidR="005901A5" w:rsidRPr="00722E7F" w:rsidRDefault="005901A5" w:rsidP="005901A5">
            <w:pPr>
              <w:spacing w:line="240" w:lineRule="auto"/>
              <w:jc w:val="left"/>
              <w:rPr>
                <w:sz w:val="16"/>
              </w:rPr>
            </w:pPr>
          </w:p>
        </w:tc>
      </w:tr>
      <w:tr w:rsidR="005901A5" w14:paraId="60886D1F" w14:textId="77777777" w:rsidTr="005901A5">
        <w:trPr>
          <w:jc w:val="center"/>
        </w:trPr>
        <w:tc>
          <w:tcPr>
            <w:tcW w:w="2016" w:type="dxa"/>
            <w:vAlign w:val="center"/>
          </w:tcPr>
          <w:p w14:paraId="36313C1E" w14:textId="2383B5CF" w:rsidR="005901A5" w:rsidRPr="00722E7F" w:rsidRDefault="00681525" w:rsidP="005901A5">
            <w:pPr>
              <w:spacing w:line="240" w:lineRule="auto"/>
              <w:jc w:val="center"/>
              <w:rPr>
                <w:b/>
              </w:rPr>
            </w:pPr>
            <w:r>
              <w:rPr>
                <w:b/>
              </w:rPr>
              <w:t>b) Quartz/BMI</w:t>
            </w:r>
          </w:p>
        </w:tc>
        <w:tc>
          <w:tcPr>
            <w:tcW w:w="2592" w:type="dxa"/>
            <w:tcBorders>
              <w:bottom w:val="single" w:sz="4" w:space="0" w:color="auto"/>
            </w:tcBorders>
            <w:vAlign w:val="center"/>
          </w:tcPr>
          <w:p w14:paraId="19DC1EAC" w14:textId="77777777" w:rsidR="005901A5" w:rsidRDefault="005901A5" w:rsidP="005901A5">
            <w:pPr>
              <w:spacing w:line="240" w:lineRule="auto"/>
              <w:jc w:val="center"/>
            </w:pPr>
          </w:p>
        </w:tc>
        <w:tc>
          <w:tcPr>
            <w:tcW w:w="1152" w:type="dxa"/>
            <w:tcBorders>
              <w:bottom w:val="single" w:sz="4" w:space="0" w:color="auto"/>
            </w:tcBorders>
            <w:vAlign w:val="center"/>
          </w:tcPr>
          <w:p w14:paraId="2C9162CF" w14:textId="77777777" w:rsidR="005901A5" w:rsidRDefault="005901A5" w:rsidP="005901A5">
            <w:pPr>
              <w:spacing w:line="240" w:lineRule="auto"/>
              <w:jc w:val="left"/>
            </w:pPr>
          </w:p>
        </w:tc>
      </w:tr>
      <w:tr w:rsidR="00681525" w14:paraId="50D221EF" w14:textId="77777777" w:rsidTr="005901A5">
        <w:trPr>
          <w:jc w:val="center"/>
        </w:trPr>
        <w:tc>
          <w:tcPr>
            <w:tcW w:w="2016" w:type="dxa"/>
            <w:tcBorders>
              <w:right w:val="single" w:sz="4" w:space="0" w:color="auto"/>
            </w:tcBorders>
            <w:vAlign w:val="center"/>
          </w:tcPr>
          <w:p w14:paraId="6CCF3ADD" w14:textId="6839D96C" w:rsidR="00681525" w:rsidRDefault="00681525" w:rsidP="005901A5">
            <w:pPr>
              <w:spacing w:line="240" w:lineRule="auto"/>
              <w:jc w:val="center"/>
            </w:pPr>
            <w:r>
              <w:t>2% RH</w:t>
            </w:r>
          </w:p>
        </w:tc>
        <w:tc>
          <w:tcPr>
            <w:tcW w:w="2592" w:type="dxa"/>
            <w:tcBorders>
              <w:top w:val="single" w:sz="4" w:space="0" w:color="auto"/>
              <w:left w:val="single" w:sz="4" w:space="0" w:color="auto"/>
            </w:tcBorders>
            <w:vAlign w:val="center"/>
          </w:tcPr>
          <w:p w14:paraId="6512331C" w14:textId="6142F70F" w:rsidR="00681525" w:rsidRDefault="00681525" w:rsidP="00D45A22">
            <w:pPr>
              <w:spacing w:line="240" w:lineRule="auto"/>
              <w:jc w:val="center"/>
            </w:pPr>
            <w:r>
              <w:t>28.891x</w:t>
            </w:r>
            <w:r w:rsidRPr="001B12B4">
              <w:rPr>
                <w:vertAlign w:val="superscript"/>
              </w:rPr>
              <w:t>0.1345</w:t>
            </w:r>
          </w:p>
        </w:tc>
        <w:tc>
          <w:tcPr>
            <w:tcW w:w="1152" w:type="dxa"/>
            <w:tcBorders>
              <w:top w:val="single" w:sz="4" w:space="0" w:color="auto"/>
              <w:right w:val="single" w:sz="4" w:space="0" w:color="auto"/>
            </w:tcBorders>
            <w:vAlign w:val="center"/>
          </w:tcPr>
          <w:p w14:paraId="063F98B6" w14:textId="43F9AF66" w:rsidR="00681525" w:rsidRDefault="00681525" w:rsidP="005901A5">
            <w:pPr>
              <w:spacing w:line="240" w:lineRule="auto"/>
              <w:jc w:val="left"/>
            </w:pPr>
            <w:r>
              <w:t>0.9671</w:t>
            </w:r>
          </w:p>
        </w:tc>
      </w:tr>
      <w:tr w:rsidR="00681525" w14:paraId="03931FAD" w14:textId="77777777" w:rsidTr="005901A5">
        <w:trPr>
          <w:jc w:val="center"/>
        </w:trPr>
        <w:tc>
          <w:tcPr>
            <w:tcW w:w="2016" w:type="dxa"/>
            <w:tcBorders>
              <w:right w:val="single" w:sz="4" w:space="0" w:color="auto"/>
            </w:tcBorders>
            <w:vAlign w:val="center"/>
          </w:tcPr>
          <w:p w14:paraId="286CA0EC" w14:textId="37D41695" w:rsidR="00681525" w:rsidRDefault="00681525" w:rsidP="005901A5">
            <w:pPr>
              <w:spacing w:line="240" w:lineRule="auto"/>
              <w:jc w:val="center"/>
            </w:pPr>
            <w:r>
              <w:t>40% RH</w:t>
            </w:r>
          </w:p>
        </w:tc>
        <w:tc>
          <w:tcPr>
            <w:tcW w:w="2592" w:type="dxa"/>
            <w:tcBorders>
              <w:left w:val="single" w:sz="4" w:space="0" w:color="auto"/>
            </w:tcBorders>
            <w:vAlign w:val="center"/>
          </w:tcPr>
          <w:p w14:paraId="6A664211" w14:textId="69B64C95" w:rsidR="00681525" w:rsidRDefault="00681525" w:rsidP="00D45A22">
            <w:pPr>
              <w:spacing w:line="240" w:lineRule="auto"/>
              <w:jc w:val="center"/>
            </w:pPr>
            <w:r>
              <w:t>30.660x</w:t>
            </w:r>
            <w:r w:rsidRPr="001B12B4">
              <w:rPr>
                <w:vertAlign w:val="superscript"/>
              </w:rPr>
              <w:t>0.1</w:t>
            </w:r>
            <w:r>
              <w:rPr>
                <w:vertAlign w:val="superscript"/>
              </w:rPr>
              <w:t>228</w:t>
            </w:r>
          </w:p>
        </w:tc>
        <w:tc>
          <w:tcPr>
            <w:tcW w:w="1152" w:type="dxa"/>
            <w:tcBorders>
              <w:right w:val="single" w:sz="4" w:space="0" w:color="auto"/>
            </w:tcBorders>
            <w:vAlign w:val="center"/>
          </w:tcPr>
          <w:p w14:paraId="70017930" w14:textId="7DA51591" w:rsidR="00681525" w:rsidRDefault="00681525" w:rsidP="005901A5">
            <w:pPr>
              <w:spacing w:line="240" w:lineRule="auto"/>
              <w:jc w:val="left"/>
            </w:pPr>
            <w:r>
              <w:t>0.9903</w:t>
            </w:r>
          </w:p>
        </w:tc>
      </w:tr>
      <w:tr w:rsidR="00681525" w14:paraId="64AD39AD" w14:textId="77777777" w:rsidTr="005901A5">
        <w:trPr>
          <w:jc w:val="center"/>
        </w:trPr>
        <w:tc>
          <w:tcPr>
            <w:tcW w:w="2016" w:type="dxa"/>
            <w:tcBorders>
              <w:right w:val="single" w:sz="4" w:space="0" w:color="auto"/>
            </w:tcBorders>
            <w:vAlign w:val="center"/>
          </w:tcPr>
          <w:p w14:paraId="3E32DF6D" w14:textId="7FF262B9" w:rsidR="00681525" w:rsidRDefault="00681525" w:rsidP="005901A5">
            <w:pPr>
              <w:spacing w:line="240" w:lineRule="auto"/>
              <w:jc w:val="center"/>
            </w:pPr>
            <w:r>
              <w:t>70% RH</w:t>
            </w:r>
          </w:p>
        </w:tc>
        <w:tc>
          <w:tcPr>
            <w:tcW w:w="2592" w:type="dxa"/>
            <w:tcBorders>
              <w:left w:val="single" w:sz="4" w:space="0" w:color="auto"/>
            </w:tcBorders>
            <w:vAlign w:val="center"/>
          </w:tcPr>
          <w:p w14:paraId="40B23F8D" w14:textId="5127913E" w:rsidR="00681525" w:rsidRDefault="00681525" w:rsidP="00D45A22">
            <w:pPr>
              <w:spacing w:line="240" w:lineRule="auto"/>
              <w:jc w:val="center"/>
            </w:pPr>
            <w:r>
              <w:t>37.080x</w:t>
            </w:r>
            <w:r w:rsidRPr="001B12B4">
              <w:rPr>
                <w:vertAlign w:val="superscript"/>
              </w:rPr>
              <w:t>0.</w:t>
            </w:r>
            <w:r>
              <w:rPr>
                <w:vertAlign w:val="superscript"/>
              </w:rPr>
              <w:t>0955</w:t>
            </w:r>
          </w:p>
        </w:tc>
        <w:tc>
          <w:tcPr>
            <w:tcW w:w="1152" w:type="dxa"/>
            <w:tcBorders>
              <w:right w:val="single" w:sz="4" w:space="0" w:color="auto"/>
            </w:tcBorders>
            <w:vAlign w:val="center"/>
          </w:tcPr>
          <w:p w14:paraId="113CCDBB" w14:textId="597EC43D" w:rsidR="00681525" w:rsidRDefault="00681525" w:rsidP="005901A5">
            <w:pPr>
              <w:spacing w:line="240" w:lineRule="auto"/>
              <w:jc w:val="left"/>
            </w:pPr>
            <w:r>
              <w:t>0.9975</w:t>
            </w:r>
          </w:p>
        </w:tc>
      </w:tr>
      <w:tr w:rsidR="00681525" w14:paraId="5D945036" w14:textId="77777777" w:rsidTr="005901A5">
        <w:trPr>
          <w:jc w:val="center"/>
        </w:trPr>
        <w:tc>
          <w:tcPr>
            <w:tcW w:w="2016" w:type="dxa"/>
            <w:tcBorders>
              <w:right w:val="single" w:sz="4" w:space="0" w:color="auto"/>
            </w:tcBorders>
            <w:vAlign w:val="center"/>
          </w:tcPr>
          <w:p w14:paraId="648A8B45" w14:textId="0B1208CB" w:rsidR="00681525" w:rsidRDefault="00681525" w:rsidP="005901A5">
            <w:pPr>
              <w:spacing w:line="240" w:lineRule="auto"/>
              <w:jc w:val="center"/>
            </w:pPr>
            <w:r>
              <w:t>99% RH</w:t>
            </w:r>
          </w:p>
        </w:tc>
        <w:tc>
          <w:tcPr>
            <w:tcW w:w="2592" w:type="dxa"/>
            <w:tcBorders>
              <w:left w:val="single" w:sz="4" w:space="0" w:color="auto"/>
              <w:bottom w:val="single" w:sz="4" w:space="0" w:color="auto"/>
            </w:tcBorders>
            <w:vAlign w:val="center"/>
          </w:tcPr>
          <w:p w14:paraId="320DC5B6" w14:textId="4FDF9A4E" w:rsidR="00681525" w:rsidRDefault="00681525" w:rsidP="00D45A22">
            <w:pPr>
              <w:spacing w:line="240" w:lineRule="auto"/>
              <w:jc w:val="center"/>
            </w:pPr>
            <w:r>
              <w:t>33.997x</w:t>
            </w:r>
            <w:r w:rsidRPr="001B12B4">
              <w:rPr>
                <w:vertAlign w:val="superscript"/>
              </w:rPr>
              <w:t>0.1</w:t>
            </w:r>
            <w:r>
              <w:rPr>
                <w:vertAlign w:val="superscript"/>
              </w:rPr>
              <w:t>100</w:t>
            </w:r>
          </w:p>
        </w:tc>
        <w:tc>
          <w:tcPr>
            <w:tcW w:w="1152" w:type="dxa"/>
            <w:tcBorders>
              <w:bottom w:val="single" w:sz="4" w:space="0" w:color="auto"/>
              <w:right w:val="single" w:sz="4" w:space="0" w:color="auto"/>
            </w:tcBorders>
            <w:vAlign w:val="center"/>
          </w:tcPr>
          <w:p w14:paraId="5566A351" w14:textId="4A4E09EA" w:rsidR="00681525" w:rsidRDefault="00681525" w:rsidP="005901A5">
            <w:pPr>
              <w:spacing w:line="240" w:lineRule="auto"/>
              <w:jc w:val="left"/>
            </w:pPr>
            <w:r>
              <w:t>0.7959</w:t>
            </w:r>
          </w:p>
        </w:tc>
      </w:tr>
      <w:tr w:rsidR="005901A5" w14:paraId="5A3422D9" w14:textId="77777777" w:rsidTr="005901A5">
        <w:trPr>
          <w:jc w:val="center"/>
        </w:trPr>
        <w:tc>
          <w:tcPr>
            <w:tcW w:w="2016" w:type="dxa"/>
            <w:vAlign w:val="center"/>
          </w:tcPr>
          <w:p w14:paraId="1DD61624" w14:textId="77777777" w:rsidR="005901A5" w:rsidRPr="00722E7F" w:rsidRDefault="005901A5" w:rsidP="005901A5">
            <w:pPr>
              <w:spacing w:line="240" w:lineRule="auto"/>
              <w:jc w:val="center"/>
              <w:rPr>
                <w:sz w:val="16"/>
              </w:rPr>
            </w:pPr>
          </w:p>
        </w:tc>
        <w:tc>
          <w:tcPr>
            <w:tcW w:w="2592" w:type="dxa"/>
            <w:tcBorders>
              <w:top w:val="single" w:sz="4" w:space="0" w:color="auto"/>
            </w:tcBorders>
            <w:vAlign w:val="center"/>
          </w:tcPr>
          <w:p w14:paraId="391C137C" w14:textId="77777777" w:rsidR="005901A5" w:rsidRPr="00722E7F" w:rsidRDefault="005901A5" w:rsidP="005901A5">
            <w:pPr>
              <w:spacing w:line="240" w:lineRule="auto"/>
              <w:jc w:val="center"/>
              <w:rPr>
                <w:sz w:val="16"/>
              </w:rPr>
            </w:pPr>
          </w:p>
        </w:tc>
        <w:tc>
          <w:tcPr>
            <w:tcW w:w="1152" w:type="dxa"/>
            <w:tcBorders>
              <w:top w:val="single" w:sz="4" w:space="0" w:color="auto"/>
            </w:tcBorders>
            <w:vAlign w:val="center"/>
          </w:tcPr>
          <w:p w14:paraId="05243C90" w14:textId="77777777" w:rsidR="005901A5" w:rsidRPr="00722E7F" w:rsidRDefault="005901A5" w:rsidP="005901A5">
            <w:pPr>
              <w:spacing w:line="240" w:lineRule="auto"/>
              <w:jc w:val="left"/>
              <w:rPr>
                <w:sz w:val="16"/>
              </w:rPr>
            </w:pPr>
          </w:p>
        </w:tc>
      </w:tr>
      <w:tr w:rsidR="005901A5" w14:paraId="3B57D5C8" w14:textId="77777777" w:rsidTr="005901A5">
        <w:trPr>
          <w:jc w:val="center"/>
        </w:trPr>
        <w:tc>
          <w:tcPr>
            <w:tcW w:w="2016" w:type="dxa"/>
            <w:vAlign w:val="center"/>
          </w:tcPr>
          <w:p w14:paraId="1D29C410" w14:textId="77777777" w:rsidR="005901A5" w:rsidRDefault="005901A5" w:rsidP="005901A5">
            <w:pPr>
              <w:spacing w:line="240" w:lineRule="auto"/>
              <w:jc w:val="center"/>
            </w:pPr>
            <w:r>
              <w:rPr>
                <w:b/>
              </w:rPr>
              <w:t>c</w:t>
            </w:r>
            <w:r w:rsidRPr="00722E7F">
              <w:rPr>
                <w:b/>
              </w:rPr>
              <w:t xml:space="preserve">) </w:t>
            </w:r>
            <w:r>
              <w:rPr>
                <w:b/>
              </w:rPr>
              <w:t>Carbon</w:t>
            </w:r>
            <w:r w:rsidRPr="00722E7F">
              <w:rPr>
                <w:b/>
              </w:rPr>
              <w:t>/Epoxy</w:t>
            </w:r>
          </w:p>
        </w:tc>
        <w:tc>
          <w:tcPr>
            <w:tcW w:w="2592" w:type="dxa"/>
            <w:tcBorders>
              <w:bottom w:val="single" w:sz="4" w:space="0" w:color="auto"/>
            </w:tcBorders>
            <w:vAlign w:val="center"/>
          </w:tcPr>
          <w:p w14:paraId="66535C7F" w14:textId="77777777" w:rsidR="005901A5" w:rsidRDefault="005901A5" w:rsidP="005901A5">
            <w:pPr>
              <w:spacing w:line="240" w:lineRule="auto"/>
              <w:jc w:val="center"/>
            </w:pPr>
          </w:p>
        </w:tc>
        <w:tc>
          <w:tcPr>
            <w:tcW w:w="1152" w:type="dxa"/>
            <w:tcBorders>
              <w:bottom w:val="single" w:sz="4" w:space="0" w:color="auto"/>
            </w:tcBorders>
            <w:vAlign w:val="center"/>
          </w:tcPr>
          <w:p w14:paraId="2710674E" w14:textId="77777777" w:rsidR="005901A5" w:rsidRDefault="005901A5" w:rsidP="005901A5">
            <w:pPr>
              <w:spacing w:line="240" w:lineRule="auto"/>
              <w:jc w:val="left"/>
            </w:pPr>
          </w:p>
        </w:tc>
      </w:tr>
      <w:tr w:rsidR="00141762" w14:paraId="11A813D4" w14:textId="77777777" w:rsidTr="005901A5">
        <w:trPr>
          <w:jc w:val="center"/>
        </w:trPr>
        <w:tc>
          <w:tcPr>
            <w:tcW w:w="2016" w:type="dxa"/>
            <w:tcBorders>
              <w:right w:val="single" w:sz="4" w:space="0" w:color="auto"/>
            </w:tcBorders>
            <w:vAlign w:val="center"/>
          </w:tcPr>
          <w:p w14:paraId="33B12735" w14:textId="2B8396DC" w:rsidR="00141762" w:rsidRDefault="00141762" w:rsidP="005901A5">
            <w:pPr>
              <w:spacing w:line="240" w:lineRule="auto"/>
              <w:jc w:val="center"/>
            </w:pPr>
            <w:r>
              <w:t>2% RH</w:t>
            </w:r>
          </w:p>
        </w:tc>
        <w:tc>
          <w:tcPr>
            <w:tcW w:w="2592" w:type="dxa"/>
            <w:tcBorders>
              <w:top w:val="single" w:sz="4" w:space="0" w:color="auto"/>
              <w:left w:val="single" w:sz="4" w:space="0" w:color="auto"/>
            </w:tcBorders>
            <w:vAlign w:val="center"/>
          </w:tcPr>
          <w:p w14:paraId="2E39F605" w14:textId="7708B7E4" w:rsidR="00141762" w:rsidRDefault="00141762" w:rsidP="00C10B18">
            <w:pPr>
              <w:spacing w:line="240" w:lineRule="auto"/>
              <w:jc w:val="center"/>
            </w:pPr>
            <w:r>
              <w:t>38.647x</w:t>
            </w:r>
            <w:r>
              <w:rPr>
                <w:vertAlign w:val="superscript"/>
              </w:rPr>
              <w:t>0.0850</w:t>
            </w:r>
          </w:p>
        </w:tc>
        <w:tc>
          <w:tcPr>
            <w:tcW w:w="1152" w:type="dxa"/>
            <w:tcBorders>
              <w:top w:val="single" w:sz="4" w:space="0" w:color="auto"/>
              <w:right w:val="single" w:sz="4" w:space="0" w:color="auto"/>
            </w:tcBorders>
            <w:vAlign w:val="center"/>
          </w:tcPr>
          <w:p w14:paraId="009FE886" w14:textId="6740ACC6" w:rsidR="00141762" w:rsidRDefault="00141762" w:rsidP="005901A5">
            <w:pPr>
              <w:spacing w:line="240" w:lineRule="auto"/>
              <w:jc w:val="left"/>
            </w:pPr>
            <w:r>
              <w:t>0.9442</w:t>
            </w:r>
          </w:p>
        </w:tc>
      </w:tr>
      <w:tr w:rsidR="00141762" w14:paraId="660CBE96" w14:textId="77777777" w:rsidTr="005901A5">
        <w:trPr>
          <w:jc w:val="center"/>
        </w:trPr>
        <w:tc>
          <w:tcPr>
            <w:tcW w:w="2016" w:type="dxa"/>
            <w:tcBorders>
              <w:right w:val="single" w:sz="4" w:space="0" w:color="auto"/>
            </w:tcBorders>
            <w:vAlign w:val="center"/>
          </w:tcPr>
          <w:p w14:paraId="780D79DD" w14:textId="013FE4E3" w:rsidR="00141762" w:rsidRDefault="00141762" w:rsidP="005901A5">
            <w:pPr>
              <w:spacing w:line="240" w:lineRule="auto"/>
              <w:jc w:val="center"/>
            </w:pPr>
            <w:r>
              <w:t>40% RH</w:t>
            </w:r>
          </w:p>
        </w:tc>
        <w:tc>
          <w:tcPr>
            <w:tcW w:w="2592" w:type="dxa"/>
            <w:tcBorders>
              <w:left w:val="single" w:sz="4" w:space="0" w:color="auto"/>
            </w:tcBorders>
            <w:vAlign w:val="center"/>
          </w:tcPr>
          <w:p w14:paraId="3809146D" w14:textId="1A1B7667" w:rsidR="00141762" w:rsidRDefault="00141762" w:rsidP="00C10B18">
            <w:pPr>
              <w:spacing w:line="240" w:lineRule="auto"/>
              <w:jc w:val="center"/>
            </w:pPr>
            <w:r>
              <w:t>35.101x</w:t>
            </w:r>
            <w:r>
              <w:rPr>
                <w:vertAlign w:val="superscript"/>
              </w:rPr>
              <w:t>0.0911</w:t>
            </w:r>
          </w:p>
        </w:tc>
        <w:tc>
          <w:tcPr>
            <w:tcW w:w="1152" w:type="dxa"/>
            <w:tcBorders>
              <w:right w:val="single" w:sz="4" w:space="0" w:color="auto"/>
            </w:tcBorders>
            <w:vAlign w:val="center"/>
          </w:tcPr>
          <w:p w14:paraId="4F616281" w14:textId="7431DF8E" w:rsidR="00141762" w:rsidRDefault="00141762" w:rsidP="005901A5">
            <w:pPr>
              <w:spacing w:line="240" w:lineRule="auto"/>
              <w:jc w:val="left"/>
            </w:pPr>
            <w:r>
              <w:t>0.9966</w:t>
            </w:r>
          </w:p>
        </w:tc>
      </w:tr>
      <w:tr w:rsidR="00141762" w14:paraId="673302D6" w14:textId="77777777" w:rsidTr="00681525">
        <w:trPr>
          <w:jc w:val="center"/>
        </w:trPr>
        <w:tc>
          <w:tcPr>
            <w:tcW w:w="2016" w:type="dxa"/>
            <w:tcBorders>
              <w:right w:val="single" w:sz="4" w:space="0" w:color="auto"/>
            </w:tcBorders>
            <w:vAlign w:val="center"/>
          </w:tcPr>
          <w:p w14:paraId="11F86486" w14:textId="2D7826B9" w:rsidR="00141762" w:rsidRDefault="00141762" w:rsidP="005901A5">
            <w:pPr>
              <w:spacing w:line="240" w:lineRule="auto"/>
              <w:jc w:val="center"/>
            </w:pPr>
            <w:r>
              <w:t>70% RH</w:t>
            </w:r>
          </w:p>
        </w:tc>
        <w:tc>
          <w:tcPr>
            <w:tcW w:w="2592" w:type="dxa"/>
            <w:tcBorders>
              <w:left w:val="single" w:sz="4" w:space="0" w:color="auto"/>
            </w:tcBorders>
            <w:vAlign w:val="center"/>
          </w:tcPr>
          <w:p w14:paraId="01352EF7" w14:textId="38D193C4" w:rsidR="00141762" w:rsidRDefault="00141762" w:rsidP="00C10B18">
            <w:pPr>
              <w:spacing w:line="240" w:lineRule="auto"/>
              <w:jc w:val="center"/>
            </w:pPr>
            <w:r>
              <w:t>38.906x</w:t>
            </w:r>
            <w:r w:rsidRPr="001B12B4">
              <w:rPr>
                <w:vertAlign w:val="superscript"/>
              </w:rPr>
              <w:t>0.</w:t>
            </w:r>
            <w:r>
              <w:rPr>
                <w:vertAlign w:val="superscript"/>
              </w:rPr>
              <w:t>0797</w:t>
            </w:r>
          </w:p>
        </w:tc>
        <w:tc>
          <w:tcPr>
            <w:tcW w:w="1152" w:type="dxa"/>
            <w:tcBorders>
              <w:right w:val="single" w:sz="4" w:space="0" w:color="auto"/>
            </w:tcBorders>
            <w:vAlign w:val="center"/>
          </w:tcPr>
          <w:p w14:paraId="70577BBD" w14:textId="3EF1CE8F" w:rsidR="00141762" w:rsidRDefault="00141762" w:rsidP="005901A5">
            <w:pPr>
              <w:spacing w:line="240" w:lineRule="auto"/>
              <w:jc w:val="left"/>
            </w:pPr>
            <w:r>
              <w:t>0.8516</w:t>
            </w:r>
          </w:p>
        </w:tc>
      </w:tr>
      <w:tr w:rsidR="00141762" w14:paraId="1AEBEE26" w14:textId="77777777" w:rsidTr="00681525">
        <w:trPr>
          <w:jc w:val="center"/>
        </w:trPr>
        <w:tc>
          <w:tcPr>
            <w:tcW w:w="2016" w:type="dxa"/>
            <w:tcBorders>
              <w:right w:val="single" w:sz="4" w:space="0" w:color="auto"/>
            </w:tcBorders>
            <w:vAlign w:val="center"/>
          </w:tcPr>
          <w:p w14:paraId="2B00B6D1" w14:textId="4056A737" w:rsidR="00141762" w:rsidRDefault="00141762" w:rsidP="005901A5">
            <w:pPr>
              <w:spacing w:line="240" w:lineRule="auto"/>
              <w:jc w:val="center"/>
            </w:pPr>
            <w:r>
              <w:t>99% RH</w:t>
            </w:r>
          </w:p>
        </w:tc>
        <w:tc>
          <w:tcPr>
            <w:tcW w:w="2592" w:type="dxa"/>
            <w:tcBorders>
              <w:left w:val="single" w:sz="4" w:space="0" w:color="auto"/>
              <w:bottom w:val="single" w:sz="4" w:space="0" w:color="auto"/>
            </w:tcBorders>
            <w:vAlign w:val="center"/>
          </w:tcPr>
          <w:p w14:paraId="5572390E" w14:textId="1724D644" w:rsidR="00141762" w:rsidRDefault="00141762" w:rsidP="00C10B18">
            <w:pPr>
              <w:spacing w:line="240" w:lineRule="auto"/>
              <w:jc w:val="center"/>
            </w:pPr>
            <w:r>
              <w:t>39.157x</w:t>
            </w:r>
            <w:r w:rsidRPr="001B12B4">
              <w:rPr>
                <w:vertAlign w:val="superscript"/>
              </w:rPr>
              <w:t>0.</w:t>
            </w:r>
            <w:r>
              <w:rPr>
                <w:vertAlign w:val="superscript"/>
              </w:rPr>
              <w:t>0736</w:t>
            </w:r>
          </w:p>
        </w:tc>
        <w:tc>
          <w:tcPr>
            <w:tcW w:w="1152" w:type="dxa"/>
            <w:tcBorders>
              <w:bottom w:val="single" w:sz="4" w:space="0" w:color="auto"/>
              <w:right w:val="single" w:sz="4" w:space="0" w:color="auto"/>
            </w:tcBorders>
            <w:vAlign w:val="center"/>
          </w:tcPr>
          <w:p w14:paraId="1A03B2B8" w14:textId="5F5799B1" w:rsidR="00141762" w:rsidRDefault="00141762" w:rsidP="005901A5">
            <w:pPr>
              <w:spacing w:line="240" w:lineRule="auto"/>
              <w:jc w:val="left"/>
            </w:pPr>
            <w:r>
              <w:t>0.8312</w:t>
            </w:r>
          </w:p>
        </w:tc>
      </w:tr>
    </w:tbl>
    <w:p w14:paraId="5CEBE247" w14:textId="77777777" w:rsidR="005901A5" w:rsidRDefault="005901A5" w:rsidP="00770D06">
      <w:pPr>
        <w:jc w:val="center"/>
      </w:pPr>
    </w:p>
    <w:p w14:paraId="64BC8912" w14:textId="1F006440" w:rsidR="00775B99" w:rsidRDefault="00775B99" w:rsidP="00775B99">
      <w:pPr>
        <w:pStyle w:val="Heading3"/>
      </w:pPr>
      <w:bookmarkStart w:id="94" w:name="_Ref344121192"/>
      <w:bookmarkStart w:id="95" w:name="_Toc346310974"/>
      <w:r>
        <w:t>Effect of Prepreg Humidity Exposure on Void Volume Fraction</w:t>
      </w:r>
      <w:bookmarkEnd w:id="94"/>
      <w:bookmarkEnd w:id="95"/>
    </w:p>
    <w:p w14:paraId="70BC5DF0" w14:textId="2D83453B" w:rsidR="009424DF" w:rsidRDefault="00A80E2F" w:rsidP="009424DF">
      <w:pPr>
        <w:ind w:firstLine="360"/>
      </w:pPr>
      <w:r w:rsidRPr="007F7684">
        <w:t>The e</w:t>
      </w:r>
      <w:r>
        <w:t xml:space="preserve">ffect of varying humidity exposure on the void volume fraction for each prepreg material is shown in </w:t>
      </w:r>
      <w:r>
        <w:fldChar w:fldCharType="begin"/>
      </w:r>
      <w:r>
        <w:instrText xml:space="preserve"> REF _Ref343148973 \h </w:instrText>
      </w:r>
      <w:r>
        <w:fldChar w:fldCharType="separate"/>
      </w:r>
      <w:r w:rsidR="008A1992" w:rsidRPr="009424DF">
        <w:t xml:space="preserve">Figure </w:t>
      </w:r>
      <w:r w:rsidR="008A1992">
        <w:rPr>
          <w:noProof/>
        </w:rPr>
        <w:t>2</w:t>
      </w:r>
      <w:r w:rsidR="008A1992">
        <w:t>.</w:t>
      </w:r>
      <w:r w:rsidR="008A1992">
        <w:rPr>
          <w:noProof/>
        </w:rPr>
        <w:t>13</w:t>
      </w:r>
      <w:r>
        <w:fldChar w:fldCharType="end"/>
      </w:r>
      <w:r>
        <w:t xml:space="preserve">.  </w:t>
      </w:r>
      <w:r w:rsidR="00CD33AF">
        <w:t xml:space="preserve">The linear trend line equations for each prepreg conditioning and fabrication pressure specimen are provided in </w:t>
      </w:r>
      <w:r w:rsidR="00CD33AF">
        <w:fldChar w:fldCharType="begin"/>
      </w:r>
      <w:r w:rsidR="00CD33AF">
        <w:instrText xml:space="preserve"> REF _Ref343768095 \h </w:instrText>
      </w:r>
      <w:r w:rsidR="00CD33AF">
        <w:fldChar w:fldCharType="separate"/>
      </w:r>
      <w:r w:rsidR="008A1992" w:rsidRPr="00CB34C4">
        <w:t xml:space="preserve">Table </w:t>
      </w:r>
      <w:r w:rsidR="008A1992">
        <w:rPr>
          <w:noProof/>
        </w:rPr>
        <w:t>2</w:t>
      </w:r>
      <w:r w:rsidR="008A1992">
        <w:t>.</w:t>
      </w:r>
      <w:r w:rsidR="008A1992">
        <w:rPr>
          <w:noProof/>
        </w:rPr>
        <w:t>8</w:t>
      </w:r>
      <w:r w:rsidR="00CD33AF">
        <w:fldChar w:fldCharType="end"/>
      </w:r>
      <w:r w:rsidR="00CD33AF">
        <w:t xml:space="preserve">.  </w:t>
      </w:r>
      <w:r w:rsidR="00B62B27">
        <w:t>For all prepreg materials and fabrication pressures, the R</w:t>
      </w:r>
      <w:r w:rsidR="00B62B27" w:rsidRPr="00B62B27">
        <w:rPr>
          <w:vertAlign w:val="superscript"/>
        </w:rPr>
        <w:t>2</w:t>
      </w:r>
      <w:r w:rsidR="00B62B27">
        <w:t>-values associated with</w:t>
      </w:r>
      <w:r w:rsidR="003343C0">
        <w:t xml:space="preserve"> the selected</w:t>
      </w:r>
      <w:r w:rsidR="00B62B27">
        <w:t xml:space="preserve"> linear trend lines were greater than 0.85.  Conversely, </w:t>
      </w:r>
      <w:r w:rsidR="003343C0">
        <w:t>the R</w:t>
      </w:r>
      <w:r w:rsidR="003343C0" w:rsidRPr="00C364E0">
        <w:rPr>
          <w:vertAlign w:val="superscript"/>
        </w:rPr>
        <w:t>2</w:t>
      </w:r>
      <w:r w:rsidR="003343C0">
        <w:t xml:space="preserve">-values associated for power functions ranged from 0.47-0.91. </w:t>
      </w:r>
      <w:r w:rsidR="00B62B27">
        <w:t xml:space="preserve"> </w:t>
      </w:r>
      <w:r>
        <w:t xml:space="preserve">All prepregs </w:t>
      </w:r>
      <w:r w:rsidR="002873E5">
        <w:t xml:space="preserve">observed an increase in void </w:t>
      </w:r>
      <w:r w:rsidR="003F7EF1">
        <w:t xml:space="preserve">volume </w:t>
      </w:r>
      <w:r w:rsidR="002873E5">
        <w:t>fraction as the prepreg humidity exposure level increased.  The BMI resin laminates</w:t>
      </w:r>
      <w:r w:rsidR="00A504D1">
        <w:t>,</w:t>
      </w:r>
      <w:r w:rsidR="002873E5">
        <w:t xml:space="preserve"> shown in </w:t>
      </w:r>
      <w:r w:rsidR="002873E5">
        <w:fldChar w:fldCharType="begin"/>
      </w:r>
      <w:r w:rsidR="002873E5">
        <w:instrText xml:space="preserve"> REF _Ref343148973 \h </w:instrText>
      </w:r>
      <w:r w:rsidR="002873E5">
        <w:fldChar w:fldCharType="separate"/>
      </w:r>
      <w:r w:rsidR="008A1992" w:rsidRPr="009424DF">
        <w:t xml:space="preserve">Figure </w:t>
      </w:r>
      <w:r w:rsidR="008A1992">
        <w:rPr>
          <w:noProof/>
        </w:rPr>
        <w:t>2</w:t>
      </w:r>
      <w:r w:rsidR="008A1992">
        <w:t>.</w:t>
      </w:r>
      <w:r w:rsidR="008A1992">
        <w:rPr>
          <w:noProof/>
        </w:rPr>
        <w:t>13</w:t>
      </w:r>
      <w:r w:rsidR="002873E5">
        <w:fldChar w:fldCharType="end"/>
      </w:r>
      <w:r w:rsidR="00A504D1">
        <w:t>b,</w:t>
      </w:r>
      <w:r w:rsidR="002873E5">
        <w:t xml:space="preserve"> had the highest void fractions of any of the prepreg materials, with the y-intercept of the average void fraction trend line</w:t>
      </w:r>
      <w:r w:rsidR="00AE6E03">
        <w:t>s ranging from 8.2 to 12.3%</w:t>
      </w:r>
      <w:r w:rsidR="002873E5">
        <w:t xml:space="preserve">.  </w:t>
      </w:r>
      <w:r w:rsidR="00AE6E03">
        <w:t>Meanwhile, both epoxy-matrix prepregs</w:t>
      </w:r>
      <w:r w:rsidR="00A504D1">
        <w:t xml:space="preserve"> (</w:t>
      </w:r>
      <w:r w:rsidR="00A504D1">
        <w:fldChar w:fldCharType="begin"/>
      </w:r>
      <w:r w:rsidR="00A504D1">
        <w:instrText xml:space="preserve"> REF _Ref343148973 \h </w:instrText>
      </w:r>
      <w:r w:rsidR="00A504D1">
        <w:fldChar w:fldCharType="separate"/>
      </w:r>
      <w:r w:rsidR="008A1992" w:rsidRPr="009424DF">
        <w:t xml:space="preserve">Figure </w:t>
      </w:r>
      <w:r w:rsidR="008A1992">
        <w:rPr>
          <w:noProof/>
        </w:rPr>
        <w:t>2</w:t>
      </w:r>
      <w:r w:rsidR="008A1992">
        <w:t>.</w:t>
      </w:r>
      <w:r w:rsidR="008A1992">
        <w:rPr>
          <w:noProof/>
        </w:rPr>
        <w:t>13</w:t>
      </w:r>
      <w:r w:rsidR="00A504D1">
        <w:fldChar w:fldCharType="end"/>
      </w:r>
      <w:r w:rsidR="00A504D1">
        <w:t>a and c)</w:t>
      </w:r>
      <w:r w:rsidR="00AE6E03">
        <w:t xml:space="preserve"> had approximate void fraction y-intercept values of 1.1 to 3.2%.  </w:t>
      </w:r>
      <w:r w:rsidR="008D54DD">
        <w:t xml:space="preserve">However, utilizing quartz </w:t>
      </w:r>
      <w:r w:rsidR="008D54DD">
        <w:lastRenderedPageBreak/>
        <w:t xml:space="preserve">reinforcement can cause a rate of increasing void fraction due to increasing humidity over five times that of carbon fiber-reinforcement.  </w:t>
      </w:r>
      <w:r w:rsidR="00AE6E03">
        <w:t xml:space="preserve">For all materials, the void </w:t>
      </w:r>
      <w:r w:rsidR="003F7EF1">
        <w:t xml:space="preserve">volume </w:t>
      </w:r>
      <w:r w:rsidR="00AE6E03">
        <w:t xml:space="preserve">fraction decreased as fabrication pressure increased.  </w:t>
      </w:r>
      <w:r w:rsidR="002873E5">
        <w:t xml:space="preserve">The </w:t>
      </w:r>
      <w:r w:rsidR="00AE6E03">
        <w:t>quartz/</w:t>
      </w:r>
      <w:r w:rsidR="002873E5">
        <w:t xml:space="preserve">BMI </w:t>
      </w:r>
      <w:r w:rsidR="00AE6E03">
        <w:t>laminates</w:t>
      </w:r>
      <w:r w:rsidR="002873E5">
        <w:t xml:space="preserve"> had a reasonably low rate of increasing void </w:t>
      </w:r>
      <w:r w:rsidR="003F7EF1">
        <w:t xml:space="preserve">volume </w:t>
      </w:r>
      <w:r w:rsidR="002873E5">
        <w:t xml:space="preserve">fraction </w:t>
      </w:r>
      <w:r w:rsidR="00AE6E03">
        <w:t>as</w:t>
      </w:r>
      <w:r w:rsidR="002873E5">
        <w:t xml:space="preserve"> humidity exposure</w:t>
      </w:r>
      <w:r w:rsidR="00AE6E03">
        <w:t xml:space="preserve"> increased</w:t>
      </w:r>
      <w:r w:rsidR="00676847">
        <w:t xml:space="preserve">, in that the largest rate of increasing void </w:t>
      </w:r>
      <w:r w:rsidR="003F7EF1">
        <w:t xml:space="preserve">volume </w:t>
      </w:r>
      <w:r w:rsidR="00676847">
        <w:t>fraction was 2.5% per 100% relative humidity increase.</w:t>
      </w:r>
      <w:r w:rsidR="002873E5">
        <w:t xml:space="preserve">  </w:t>
      </w:r>
      <w:r w:rsidR="00FC172A">
        <w:t>Recall</w:t>
      </w:r>
      <w:r w:rsidR="00736CFB">
        <w:t xml:space="preserve"> from Section </w:t>
      </w:r>
      <w:r w:rsidR="00736CFB">
        <w:fldChar w:fldCharType="begin"/>
      </w:r>
      <w:r w:rsidR="00736CFB">
        <w:instrText xml:space="preserve"> REF _Ref343149667 \r \h </w:instrText>
      </w:r>
      <w:r w:rsidR="00736CFB">
        <w:fldChar w:fldCharType="separate"/>
      </w:r>
      <w:r w:rsidR="008A1992">
        <w:t>2.2.2</w:t>
      </w:r>
      <w:r w:rsidR="00736CFB">
        <w:fldChar w:fldCharType="end"/>
      </w:r>
      <w:r w:rsidR="00736CFB">
        <w:t xml:space="preserve">, </w:t>
      </w:r>
      <w:r w:rsidR="002873E5">
        <w:t xml:space="preserve">BMI </w:t>
      </w:r>
      <w:r w:rsidR="00676847">
        <w:t xml:space="preserve">also </w:t>
      </w:r>
      <w:r w:rsidR="002873E5">
        <w:t xml:space="preserve">had a wide range of prepreg moisture contents of </w:t>
      </w:r>
      <w:r w:rsidR="00736CFB">
        <w:t>0</w:t>
      </w:r>
      <w:r w:rsidR="002873E5">
        <w:t>.</w:t>
      </w:r>
      <w:r w:rsidR="00736CFB">
        <w:t>08</w:t>
      </w:r>
      <w:r w:rsidR="002873E5">
        <w:t>-</w:t>
      </w:r>
      <w:r w:rsidR="00736CFB">
        <w:t>0</w:t>
      </w:r>
      <w:r w:rsidR="002873E5">
        <w:t>.</w:t>
      </w:r>
      <w:r w:rsidR="00736CFB">
        <w:t>57</w:t>
      </w:r>
      <w:r w:rsidR="00676847">
        <w:t xml:space="preserve">%.  </w:t>
      </w:r>
      <w:r w:rsidR="008D54DD">
        <w:t>It appears that</w:t>
      </w:r>
      <w:r w:rsidR="00676847">
        <w:t xml:space="preserve"> BMI is susceptible to a high void fraction when high-pressure fabrication procedures or vacuum-bag assistance is not utilized.  </w:t>
      </w:r>
      <w:r w:rsidR="008D54DD">
        <w:t>However</w:t>
      </w:r>
      <w:r w:rsidR="00676847">
        <w:t>, BMI is very resistant to further increases in the void volume fraction</w:t>
      </w:r>
      <w:r w:rsidR="008D54DD">
        <w:t xml:space="preserve"> due to high humidity exposures</w:t>
      </w:r>
      <w:r w:rsidR="00676847">
        <w:t>.</w:t>
      </w:r>
    </w:p>
    <w:p w14:paraId="09D5FD75" w14:textId="77777777" w:rsidR="00733F51" w:rsidRDefault="00733F51" w:rsidP="009424DF">
      <w:pPr>
        <w:ind w:firstLine="360"/>
      </w:pPr>
    </w:p>
    <w:p w14:paraId="05E2EDE8" w14:textId="5F5FECE7" w:rsidR="009424DF" w:rsidRDefault="00BD018B" w:rsidP="009424DF">
      <w:pPr>
        <w:keepNext/>
        <w:jc w:val="center"/>
      </w:pPr>
      <w:r>
        <w:rPr>
          <w:noProof/>
        </w:rPr>
        <w:lastRenderedPageBreak/>
        <mc:AlternateContent>
          <mc:Choice Requires="wpg">
            <w:drawing>
              <wp:inline distT="0" distB="0" distL="0" distR="0" wp14:anchorId="7E105399" wp14:editId="720C86B6">
                <wp:extent cx="5394960" cy="4494958"/>
                <wp:effectExtent l="0" t="0" r="0" b="1270"/>
                <wp:docPr id="7" name="Group 4"/>
                <wp:cNvGraphicFramePr/>
                <a:graphic xmlns:a="http://schemas.openxmlformats.org/drawingml/2006/main">
                  <a:graphicData uri="http://schemas.microsoft.com/office/word/2010/wordprocessingGroup">
                    <wpg:wgp>
                      <wpg:cNvGrpSpPr/>
                      <wpg:grpSpPr>
                        <a:xfrm>
                          <a:off x="0" y="0"/>
                          <a:ext cx="5394960" cy="4494958"/>
                          <a:chOff x="0" y="0"/>
                          <a:chExt cx="5424625" cy="4519911"/>
                        </a:xfrm>
                      </wpg:grpSpPr>
                      <wpg:graphicFrame>
                        <wpg:cNvPr id="11" name="Chart 11"/>
                        <wpg:cNvFrPr/>
                        <wpg:xfrm>
                          <a:off x="2711903" y="0"/>
                          <a:ext cx="2712722" cy="2255579"/>
                        </wpg:xfrm>
                        <a:graphic>
                          <a:graphicData uri="http://schemas.openxmlformats.org/drawingml/2006/chart">
                            <c:chart xmlns:c="http://schemas.openxmlformats.org/drawingml/2006/chart" xmlns:r="http://schemas.openxmlformats.org/officeDocument/2006/relationships" r:id="rId46"/>
                          </a:graphicData>
                        </a:graphic>
                      </wpg:graphicFrame>
                      <wpg:graphicFrame>
                        <wpg:cNvPr id="12" name="Chart 12"/>
                        <wpg:cNvFrPr>
                          <a:graphicFrameLocks/>
                        </wpg:cNvFrPr>
                        <wpg:xfrm>
                          <a:off x="0" y="0"/>
                          <a:ext cx="2712722" cy="2255579"/>
                        </wpg:xfrm>
                        <a:graphic>
                          <a:graphicData uri="http://schemas.openxmlformats.org/drawingml/2006/chart">
                            <c:chart xmlns:c="http://schemas.openxmlformats.org/drawingml/2006/chart" xmlns:r="http://schemas.openxmlformats.org/officeDocument/2006/relationships" r:id="rId47"/>
                          </a:graphicData>
                        </a:graphic>
                      </wpg:graphicFrame>
                      <wpg:graphicFrame>
                        <wpg:cNvPr id="13" name="Chart 13"/>
                        <wpg:cNvFrPr>
                          <a:graphicFrameLocks/>
                        </wpg:cNvFrPr>
                        <wpg:xfrm>
                          <a:off x="1384301" y="2264332"/>
                          <a:ext cx="2712722" cy="2255579"/>
                        </wpg:xfrm>
                        <a:graphic>
                          <a:graphicData uri="http://schemas.openxmlformats.org/drawingml/2006/chart">
                            <c:chart xmlns:c="http://schemas.openxmlformats.org/drawingml/2006/chart" xmlns:r="http://schemas.openxmlformats.org/officeDocument/2006/relationships" r:id="rId48"/>
                          </a:graphicData>
                        </a:graphic>
                      </wpg:graphicFrame>
                    </wpg:wgp>
                  </a:graphicData>
                </a:graphic>
              </wp:inline>
            </w:drawing>
          </mc:Choice>
          <mc:Fallback>
            <w:pict>
              <v:group id="Group 4" o:spid="_x0000_s1026" style="width:424.8pt;height:353.95pt;mso-position-horizontal-relative:char;mso-position-vertical-relative:line" coordsize="5424625,4519911" o:gfxdata="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1" o:spid="_x0000_s1027" type="#_x0000_t75" style="position:absolute;left:2709248;width:2715377;height:2255781;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">
                  <v:imagedata r:id="rId49" o:title=""/>
                  <o:lock v:ext="edit" aspectratio="f"/>
                </v:shape>
                <v:shape id="Chart 12" o:spid="_x0000_s1028" type="#_x0000_t75" style="position:absolute;width:2715377;height:2255781;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">
                  <v:imagedata r:id="rId50" o:title=""/>
                  <o:lock v:ext="edit" aspectratio="f"/>
                </v:shape>
                <v:shape id="Chart 13" o:spid="_x0000_s1029" type="#_x0000_t75" style="position:absolute;left:1379142;top:2261911;width:2715377;height:2255781;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">
                  <v:imagedata r:id="rId51" o:title=""/>
                  <o:lock v:ext="edit" aspectratio="f"/>
                </v:shape>
                <w10:anchorlock/>
              </v:group>
            </w:pict>
          </mc:Fallback>
        </mc:AlternateContent>
      </w:r>
    </w:p>
    <w:p w14:paraId="48D4C09C" w14:textId="250022AF" w:rsidR="00FC172A" w:rsidRDefault="009424DF" w:rsidP="009424DF">
      <w:pPr>
        <w:pStyle w:val="Caption"/>
        <w:spacing w:line="240" w:lineRule="auto"/>
        <w:jc w:val="center"/>
        <w:rPr>
          <w:sz w:val="24"/>
          <w:szCs w:val="24"/>
        </w:rPr>
      </w:pPr>
      <w:bookmarkStart w:id="96" w:name="_Ref343148973"/>
      <w:bookmarkStart w:id="97" w:name="_Toc346310421"/>
      <w:proofErr w:type="gramStart"/>
      <w:r w:rsidRPr="009424DF">
        <w:rPr>
          <w:sz w:val="24"/>
          <w:szCs w:val="24"/>
        </w:rPr>
        <w:t xml:space="preserve">Figure </w:t>
      </w:r>
      <w:r w:rsidR="00C16D85">
        <w:rPr>
          <w:sz w:val="24"/>
          <w:szCs w:val="24"/>
        </w:rPr>
        <w:fldChar w:fldCharType="begin"/>
      </w:r>
      <w:r w:rsidR="00C16D85">
        <w:rPr>
          <w:sz w:val="24"/>
          <w:szCs w:val="24"/>
        </w:rPr>
        <w:instrText xml:space="preserve"> STYLEREF 1 \s </w:instrText>
      </w:r>
      <w:r w:rsidR="00C16D85">
        <w:rPr>
          <w:sz w:val="24"/>
          <w:szCs w:val="24"/>
        </w:rPr>
        <w:fldChar w:fldCharType="separate"/>
      </w:r>
      <w:r w:rsidR="008A1992">
        <w:rPr>
          <w:noProof/>
          <w:sz w:val="24"/>
          <w:szCs w:val="24"/>
        </w:rPr>
        <w:t>2</w:t>
      </w:r>
      <w:r w:rsidR="00C16D85">
        <w:rPr>
          <w:sz w:val="24"/>
          <w:szCs w:val="24"/>
        </w:rPr>
        <w:fldChar w:fldCharType="end"/>
      </w:r>
      <w:r w:rsidR="00C16D85">
        <w:rPr>
          <w:sz w:val="24"/>
          <w:szCs w:val="24"/>
        </w:rPr>
        <w:t>.</w:t>
      </w:r>
      <w:proofErr w:type="gramEnd"/>
      <w:r w:rsidR="00C16D85">
        <w:rPr>
          <w:sz w:val="24"/>
          <w:szCs w:val="24"/>
        </w:rPr>
        <w:fldChar w:fldCharType="begin"/>
      </w:r>
      <w:r w:rsidR="00C16D85">
        <w:rPr>
          <w:sz w:val="24"/>
          <w:szCs w:val="24"/>
        </w:rPr>
        <w:instrText xml:space="preserve"> SEQ Figure \* ARABIC \s 1 </w:instrText>
      </w:r>
      <w:r w:rsidR="00C16D85">
        <w:rPr>
          <w:sz w:val="24"/>
          <w:szCs w:val="24"/>
        </w:rPr>
        <w:fldChar w:fldCharType="separate"/>
      </w:r>
      <w:r w:rsidR="008A1992">
        <w:rPr>
          <w:noProof/>
          <w:sz w:val="24"/>
          <w:szCs w:val="24"/>
        </w:rPr>
        <w:t>13</w:t>
      </w:r>
      <w:r w:rsidR="00C16D85">
        <w:rPr>
          <w:sz w:val="24"/>
          <w:szCs w:val="24"/>
        </w:rPr>
        <w:fldChar w:fldCharType="end"/>
      </w:r>
      <w:bookmarkEnd w:id="96"/>
      <w:r w:rsidRPr="009424DF">
        <w:rPr>
          <w:sz w:val="24"/>
          <w:szCs w:val="24"/>
        </w:rPr>
        <w:t xml:space="preserve"> Effect of varying prepreg humidity conditioning on void volume fraction for (a) Quartz/</w:t>
      </w:r>
      <w:r w:rsidR="0014039B">
        <w:rPr>
          <w:sz w:val="24"/>
          <w:szCs w:val="24"/>
        </w:rPr>
        <w:t>Epoxy</w:t>
      </w:r>
      <w:r w:rsidRPr="009424DF">
        <w:rPr>
          <w:sz w:val="24"/>
          <w:szCs w:val="24"/>
        </w:rPr>
        <w:t>, (b) Quartz/</w:t>
      </w:r>
      <w:r w:rsidR="0014039B">
        <w:rPr>
          <w:sz w:val="24"/>
          <w:szCs w:val="24"/>
        </w:rPr>
        <w:t>BMI</w:t>
      </w:r>
      <w:r w:rsidRPr="009424DF">
        <w:rPr>
          <w:sz w:val="24"/>
          <w:szCs w:val="24"/>
        </w:rPr>
        <w:t>, and (c) Carbon/Epoxy</w:t>
      </w:r>
      <w:bookmarkEnd w:id="97"/>
      <w:r w:rsidR="00FC172A">
        <w:rPr>
          <w:sz w:val="24"/>
          <w:szCs w:val="24"/>
        </w:rPr>
        <w:br w:type="page"/>
      </w:r>
    </w:p>
    <w:p w14:paraId="4C2AF6CF" w14:textId="72452171" w:rsidR="00CB34C4" w:rsidRPr="00CB34C4" w:rsidRDefault="00CB34C4" w:rsidP="00CB34C4">
      <w:pPr>
        <w:pStyle w:val="Caption"/>
        <w:keepNext/>
        <w:spacing w:after="120" w:line="240" w:lineRule="auto"/>
        <w:jc w:val="center"/>
        <w:rPr>
          <w:sz w:val="24"/>
          <w:szCs w:val="24"/>
        </w:rPr>
      </w:pPr>
      <w:bookmarkStart w:id="98" w:name="_Ref343768095"/>
      <w:bookmarkStart w:id="99" w:name="_Toc346310850"/>
      <w:proofErr w:type="gramStart"/>
      <w:r w:rsidRPr="00CB34C4">
        <w:rPr>
          <w:sz w:val="24"/>
          <w:szCs w:val="24"/>
        </w:rPr>
        <w:lastRenderedPageBreak/>
        <w:t xml:space="preserve">Table </w:t>
      </w:r>
      <w:r w:rsidR="00707D23">
        <w:rPr>
          <w:sz w:val="24"/>
          <w:szCs w:val="24"/>
        </w:rPr>
        <w:fldChar w:fldCharType="begin"/>
      </w:r>
      <w:r w:rsidR="00707D23">
        <w:rPr>
          <w:sz w:val="24"/>
          <w:szCs w:val="24"/>
        </w:rPr>
        <w:instrText xml:space="preserve"> STYLEREF 1 \s </w:instrText>
      </w:r>
      <w:r w:rsidR="00707D23">
        <w:rPr>
          <w:sz w:val="24"/>
          <w:szCs w:val="24"/>
        </w:rPr>
        <w:fldChar w:fldCharType="separate"/>
      </w:r>
      <w:r w:rsidR="008A1992">
        <w:rPr>
          <w:noProof/>
          <w:sz w:val="24"/>
          <w:szCs w:val="24"/>
        </w:rPr>
        <w:t>2</w:t>
      </w:r>
      <w:r w:rsidR="00707D23">
        <w:rPr>
          <w:sz w:val="24"/>
          <w:szCs w:val="24"/>
        </w:rPr>
        <w:fldChar w:fldCharType="end"/>
      </w:r>
      <w:r w:rsidR="00707D23">
        <w:rPr>
          <w:sz w:val="24"/>
          <w:szCs w:val="24"/>
        </w:rPr>
        <w:t>.</w:t>
      </w:r>
      <w:proofErr w:type="gramEnd"/>
      <w:r w:rsidR="00707D23">
        <w:rPr>
          <w:sz w:val="24"/>
          <w:szCs w:val="24"/>
        </w:rPr>
        <w:fldChar w:fldCharType="begin"/>
      </w:r>
      <w:r w:rsidR="00707D23">
        <w:rPr>
          <w:sz w:val="24"/>
          <w:szCs w:val="24"/>
        </w:rPr>
        <w:instrText xml:space="preserve"> SEQ Table \* ARABIC \s 1 </w:instrText>
      </w:r>
      <w:r w:rsidR="00707D23">
        <w:rPr>
          <w:sz w:val="24"/>
          <w:szCs w:val="24"/>
        </w:rPr>
        <w:fldChar w:fldCharType="separate"/>
      </w:r>
      <w:r w:rsidR="008A1992">
        <w:rPr>
          <w:noProof/>
          <w:sz w:val="24"/>
          <w:szCs w:val="24"/>
        </w:rPr>
        <w:t>8</w:t>
      </w:r>
      <w:r w:rsidR="00707D23">
        <w:rPr>
          <w:sz w:val="24"/>
          <w:szCs w:val="24"/>
        </w:rPr>
        <w:fldChar w:fldCharType="end"/>
      </w:r>
      <w:bookmarkEnd w:id="98"/>
      <w:r w:rsidRPr="00CB34C4">
        <w:rPr>
          <w:sz w:val="24"/>
          <w:szCs w:val="24"/>
        </w:rPr>
        <w:t xml:space="preserve"> Trend</w:t>
      </w:r>
      <w:r>
        <w:rPr>
          <w:sz w:val="24"/>
          <w:szCs w:val="24"/>
        </w:rPr>
        <w:t xml:space="preserve"> </w:t>
      </w:r>
      <w:r w:rsidRPr="005901A5">
        <w:rPr>
          <w:sz w:val="24"/>
          <w:szCs w:val="24"/>
        </w:rPr>
        <w:t xml:space="preserve">line equations for prepreg humidity conditioning effect on </w:t>
      </w:r>
      <w:r>
        <w:rPr>
          <w:sz w:val="24"/>
          <w:szCs w:val="24"/>
        </w:rPr>
        <w:t>void</w:t>
      </w:r>
      <w:r w:rsidRPr="005901A5">
        <w:rPr>
          <w:sz w:val="24"/>
          <w:szCs w:val="24"/>
        </w:rPr>
        <w:t xml:space="preserve"> volume fraction</w:t>
      </w:r>
      <w:bookmarkEnd w:id="99"/>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2592"/>
        <w:gridCol w:w="1152"/>
      </w:tblGrid>
      <w:tr w:rsidR="00AF0389" w14:paraId="33442144" w14:textId="77777777" w:rsidTr="00AF0389">
        <w:trPr>
          <w:jc w:val="center"/>
        </w:trPr>
        <w:tc>
          <w:tcPr>
            <w:tcW w:w="2016" w:type="dxa"/>
            <w:tcBorders>
              <w:top w:val="single" w:sz="12" w:space="0" w:color="auto"/>
            </w:tcBorders>
            <w:vAlign w:val="center"/>
          </w:tcPr>
          <w:p w14:paraId="6115CEF7" w14:textId="3495FF4B" w:rsidR="00AF0389" w:rsidRPr="00006052" w:rsidRDefault="00A504D1" w:rsidP="00AF0389">
            <w:pPr>
              <w:spacing w:line="240" w:lineRule="auto"/>
              <w:jc w:val="center"/>
              <w:rPr>
                <w:b/>
              </w:rPr>
            </w:pPr>
            <w:r>
              <w:rPr>
                <w:b/>
              </w:rPr>
              <w:t>a) Quartz/Epoxy</w:t>
            </w:r>
          </w:p>
        </w:tc>
        <w:tc>
          <w:tcPr>
            <w:tcW w:w="2592" w:type="dxa"/>
            <w:tcBorders>
              <w:top w:val="single" w:sz="12" w:space="0" w:color="auto"/>
              <w:bottom w:val="single" w:sz="4" w:space="0" w:color="auto"/>
            </w:tcBorders>
            <w:vAlign w:val="center"/>
          </w:tcPr>
          <w:p w14:paraId="1CB1C0C2" w14:textId="77777777" w:rsidR="00AF0389" w:rsidRPr="00006052" w:rsidRDefault="00AF0389" w:rsidP="00AF0389">
            <w:pPr>
              <w:spacing w:line="240" w:lineRule="auto"/>
              <w:jc w:val="center"/>
              <w:rPr>
                <w:b/>
              </w:rPr>
            </w:pPr>
            <w:r w:rsidRPr="00006052">
              <w:rPr>
                <w:b/>
              </w:rPr>
              <w:t>Trend Line Equation</w:t>
            </w:r>
          </w:p>
        </w:tc>
        <w:tc>
          <w:tcPr>
            <w:tcW w:w="1152" w:type="dxa"/>
            <w:tcBorders>
              <w:top w:val="single" w:sz="12" w:space="0" w:color="auto"/>
              <w:bottom w:val="single" w:sz="4" w:space="0" w:color="auto"/>
            </w:tcBorders>
            <w:vAlign w:val="center"/>
          </w:tcPr>
          <w:p w14:paraId="6A3CA2F3" w14:textId="77777777" w:rsidR="00AF0389" w:rsidRPr="00006052" w:rsidRDefault="00AF0389" w:rsidP="00AF0389">
            <w:pPr>
              <w:spacing w:line="240" w:lineRule="auto"/>
              <w:jc w:val="left"/>
              <w:rPr>
                <w:b/>
              </w:rPr>
            </w:pPr>
            <w:r w:rsidRPr="00006052">
              <w:rPr>
                <w:b/>
              </w:rPr>
              <w:t>R</w:t>
            </w:r>
            <w:r w:rsidRPr="00006052">
              <w:rPr>
                <w:b/>
                <w:vertAlign w:val="superscript"/>
              </w:rPr>
              <w:t>2</w:t>
            </w:r>
            <w:r w:rsidRPr="00006052">
              <w:rPr>
                <w:b/>
              </w:rPr>
              <w:t xml:space="preserve"> Value</w:t>
            </w:r>
          </w:p>
        </w:tc>
      </w:tr>
      <w:tr w:rsidR="00A504D1" w14:paraId="1C324CB1" w14:textId="77777777" w:rsidTr="00AF0389">
        <w:trPr>
          <w:jc w:val="center"/>
        </w:trPr>
        <w:tc>
          <w:tcPr>
            <w:tcW w:w="2016" w:type="dxa"/>
            <w:tcBorders>
              <w:right w:val="single" w:sz="4" w:space="0" w:color="auto"/>
            </w:tcBorders>
            <w:vAlign w:val="center"/>
          </w:tcPr>
          <w:p w14:paraId="57BCF123" w14:textId="77777777" w:rsidR="00A504D1" w:rsidRDefault="00A504D1" w:rsidP="00AF0389">
            <w:pPr>
              <w:spacing w:line="240" w:lineRule="auto"/>
              <w:jc w:val="center"/>
            </w:pPr>
            <w:r>
              <w:t>69 kPa</w:t>
            </w:r>
          </w:p>
        </w:tc>
        <w:tc>
          <w:tcPr>
            <w:tcW w:w="2592" w:type="dxa"/>
            <w:tcBorders>
              <w:top w:val="single" w:sz="4" w:space="0" w:color="auto"/>
              <w:left w:val="single" w:sz="4" w:space="0" w:color="auto"/>
            </w:tcBorders>
            <w:vAlign w:val="center"/>
          </w:tcPr>
          <w:p w14:paraId="067BB7D7" w14:textId="0B697A24" w:rsidR="00A504D1" w:rsidRDefault="00A504D1" w:rsidP="00AF0389">
            <w:pPr>
              <w:spacing w:line="240" w:lineRule="auto"/>
              <w:jc w:val="center"/>
            </w:pPr>
            <w:r>
              <w:t>0.1085x + 2.992</w:t>
            </w:r>
          </w:p>
        </w:tc>
        <w:tc>
          <w:tcPr>
            <w:tcW w:w="1152" w:type="dxa"/>
            <w:tcBorders>
              <w:top w:val="single" w:sz="4" w:space="0" w:color="auto"/>
              <w:right w:val="single" w:sz="4" w:space="0" w:color="auto"/>
            </w:tcBorders>
            <w:vAlign w:val="center"/>
          </w:tcPr>
          <w:p w14:paraId="53486AB4" w14:textId="7B7DD760" w:rsidR="00A504D1" w:rsidRDefault="00A504D1" w:rsidP="00AF0389">
            <w:pPr>
              <w:spacing w:line="240" w:lineRule="auto"/>
              <w:jc w:val="left"/>
            </w:pPr>
            <w:r>
              <w:t>0.9920</w:t>
            </w:r>
          </w:p>
        </w:tc>
      </w:tr>
      <w:tr w:rsidR="00A504D1" w14:paraId="3EF6B8CD" w14:textId="77777777" w:rsidTr="00AF0389">
        <w:trPr>
          <w:jc w:val="center"/>
        </w:trPr>
        <w:tc>
          <w:tcPr>
            <w:tcW w:w="2016" w:type="dxa"/>
            <w:tcBorders>
              <w:right w:val="single" w:sz="4" w:space="0" w:color="auto"/>
            </w:tcBorders>
            <w:vAlign w:val="center"/>
          </w:tcPr>
          <w:p w14:paraId="50B4D8D9" w14:textId="77777777" w:rsidR="00A504D1" w:rsidRDefault="00A504D1" w:rsidP="00AF0389">
            <w:pPr>
              <w:spacing w:line="240" w:lineRule="auto"/>
              <w:jc w:val="center"/>
            </w:pPr>
            <w:r>
              <w:t>207 kPa</w:t>
            </w:r>
          </w:p>
        </w:tc>
        <w:tc>
          <w:tcPr>
            <w:tcW w:w="2592" w:type="dxa"/>
            <w:tcBorders>
              <w:left w:val="single" w:sz="4" w:space="0" w:color="auto"/>
            </w:tcBorders>
            <w:vAlign w:val="center"/>
          </w:tcPr>
          <w:p w14:paraId="44EFDFAA" w14:textId="49E4A688" w:rsidR="00A504D1" w:rsidRDefault="00A504D1" w:rsidP="00AF0389">
            <w:pPr>
              <w:spacing w:line="240" w:lineRule="auto"/>
              <w:jc w:val="center"/>
            </w:pPr>
            <w:r>
              <w:t>0.0829x + 1.7369</w:t>
            </w:r>
          </w:p>
        </w:tc>
        <w:tc>
          <w:tcPr>
            <w:tcW w:w="1152" w:type="dxa"/>
            <w:tcBorders>
              <w:right w:val="single" w:sz="4" w:space="0" w:color="auto"/>
            </w:tcBorders>
            <w:vAlign w:val="center"/>
          </w:tcPr>
          <w:p w14:paraId="416446A3" w14:textId="1258238D" w:rsidR="00A504D1" w:rsidRDefault="00A504D1" w:rsidP="00AF0389">
            <w:pPr>
              <w:spacing w:line="240" w:lineRule="auto"/>
              <w:jc w:val="left"/>
            </w:pPr>
            <w:r>
              <w:t>0.9749</w:t>
            </w:r>
          </w:p>
        </w:tc>
      </w:tr>
      <w:tr w:rsidR="00A504D1" w14:paraId="0EC0D195" w14:textId="77777777" w:rsidTr="00AF0389">
        <w:trPr>
          <w:jc w:val="center"/>
        </w:trPr>
        <w:tc>
          <w:tcPr>
            <w:tcW w:w="2016" w:type="dxa"/>
            <w:tcBorders>
              <w:right w:val="single" w:sz="4" w:space="0" w:color="auto"/>
            </w:tcBorders>
            <w:vAlign w:val="center"/>
          </w:tcPr>
          <w:p w14:paraId="1A1C654B" w14:textId="77777777" w:rsidR="00A504D1" w:rsidRDefault="00A504D1" w:rsidP="00AF0389">
            <w:pPr>
              <w:spacing w:line="240" w:lineRule="auto"/>
              <w:jc w:val="center"/>
            </w:pPr>
            <w:r>
              <w:t>345 kPa</w:t>
            </w:r>
          </w:p>
        </w:tc>
        <w:tc>
          <w:tcPr>
            <w:tcW w:w="2592" w:type="dxa"/>
            <w:tcBorders>
              <w:left w:val="single" w:sz="4" w:space="0" w:color="auto"/>
            </w:tcBorders>
            <w:vAlign w:val="center"/>
          </w:tcPr>
          <w:p w14:paraId="4E66B966" w14:textId="15BCD81F" w:rsidR="00A504D1" w:rsidRDefault="00A504D1" w:rsidP="00AF0389">
            <w:pPr>
              <w:spacing w:line="240" w:lineRule="auto"/>
              <w:jc w:val="center"/>
            </w:pPr>
            <w:r>
              <w:t>0.0633x + 1.7278</w:t>
            </w:r>
          </w:p>
        </w:tc>
        <w:tc>
          <w:tcPr>
            <w:tcW w:w="1152" w:type="dxa"/>
            <w:tcBorders>
              <w:right w:val="single" w:sz="4" w:space="0" w:color="auto"/>
            </w:tcBorders>
            <w:vAlign w:val="center"/>
          </w:tcPr>
          <w:p w14:paraId="55E35F03" w14:textId="270A626E" w:rsidR="00A504D1" w:rsidRDefault="00A504D1" w:rsidP="00AF0389">
            <w:pPr>
              <w:spacing w:line="240" w:lineRule="auto"/>
              <w:jc w:val="left"/>
            </w:pPr>
            <w:r>
              <w:t>0.9822</w:t>
            </w:r>
          </w:p>
        </w:tc>
      </w:tr>
      <w:tr w:rsidR="00A504D1" w14:paraId="15F95420" w14:textId="77777777" w:rsidTr="00AF0389">
        <w:trPr>
          <w:jc w:val="center"/>
        </w:trPr>
        <w:tc>
          <w:tcPr>
            <w:tcW w:w="2016" w:type="dxa"/>
            <w:tcBorders>
              <w:right w:val="single" w:sz="4" w:space="0" w:color="auto"/>
            </w:tcBorders>
            <w:vAlign w:val="center"/>
          </w:tcPr>
          <w:p w14:paraId="1634EC4A" w14:textId="77777777" w:rsidR="00A504D1" w:rsidRDefault="00A504D1" w:rsidP="00AF0389">
            <w:pPr>
              <w:spacing w:line="240" w:lineRule="auto"/>
              <w:jc w:val="center"/>
            </w:pPr>
            <w:r>
              <w:t>483 kPa</w:t>
            </w:r>
          </w:p>
        </w:tc>
        <w:tc>
          <w:tcPr>
            <w:tcW w:w="2592" w:type="dxa"/>
            <w:tcBorders>
              <w:left w:val="single" w:sz="4" w:space="0" w:color="auto"/>
              <w:bottom w:val="single" w:sz="4" w:space="0" w:color="auto"/>
            </w:tcBorders>
            <w:vAlign w:val="center"/>
          </w:tcPr>
          <w:p w14:paraId="07599E57" w14:textId="3D34D131" w:rsidR="00A504D1" w:rsidRDefault="00A504D1" w:rsidP="00AF0389">
            <w:pPr>
              <w:spacing w:line="240" w:lineRule="auto"/>
              <w:jc w:val="center"/>
            </w:pPr>
            <w:r>
              <w:t>0.0625x + 1.3722</w:t>
            </w:r>
          </w:p>
        </w:tc>
        <w:tc>
          <w:tcPr>
            <w:tcW w:w="1152" w:type="dxa"/>
            <w:tcBorders>
              <w:bottom w:val="single" w:sz="4" w:space="0" w:color="auto"/>
              <w:right w:val="single" w:sz="4" w:space="0" w:color="auto"/>
            </w:tcBorders>
            <w:vAlign w:val="center"/>
          </w:tcPr>
          <w:p w14:paraId="141C1FB6" w14:textId="6A72832C" w:rsidR="00A504D1" w:rsidRDefault="00A504D1" w:rsidP="00AF0389">
            <w:pPr>
              <w:spacing w:line="240" w:lineRule="auto"/>
              <w:jc w:val="left"/>
            </w:pPr>
            <w:r>
              <w:t>0.9858</w:t>
            </w:r>
          </w:p>
        </w:tc>
      </w:tr>
      <w:tr w:rsidR="00AF0389" w14:paraId="187818A9" w14:textId="77777777" w:rsidTr="00AF0389">
        <w:trPr>
          <w:trHeight w:val="144"/>
          <w:jc w:val="center"/>
        </w:trPr>
        <w:tc>
          <w:tcPr>
            <w:tcW w:w="2016" w:type="dxa"/>
            <w:vAlign w:val="center"/>
          </w:tcPr>
          <w:p w14:paraId="191CFC49" w14:textId="77777777" w:rsidR="00AF0389" w:rsidRPr="00722E7F" w:rsidRDefault="00AF0389" w:rsidP="00AF0389">
            <w:pPr>
              <w:spacing w:line="240" w:lineRule="auto"/>
              <w:jc w:val="center"/>
              <w:rPr>
                <w:sz w:val="16"/>
              </w:rPr>
            </w:pPr>
          </w:p>
        </w:tc>
        <w:tc>
          <w:tcPr>
            <w:tcW w:w="2592" w:type="dxa"/>
            <w:tcBorders>
              <w:top w:val="single" w:sz="4" w:space="0" w:color="auto"/>
            </w:tcBorders>
            <w:vAlign w:val="center"/>
          </w:tcPr>
          <w:p w14:paraId="080739E4" w14:textId="77777777" w:rsidR="00AF0389" w:rsidRPr="00722E7F" w:rsidRDefault="00AF0389" w:rsidP="00AF0389">
            <w:pPr>
              <w:spacing w:line="240" w:lineRule="auto"/>
              <w:jc w:val="center"/>
              <w:rPr>
                <w:sz w:val="16"/>
              </w:rPr>
            </w:pPr>
          </w:p>
        </w:tc>
        <w:tc>
          <w:tcPr>
            <w:tcW w:w="1152" w:type="dxa"/>
            <w:tcBorders>
              <w:top w:val="single" w:sz="4" w:space="0" w:color="auto"/>
            </w:tcBorders>
            <w:vAlign w:val="center"/>
          </w:tcPr>
          <w:p w14:paraId="18448A3E" w14:textId="77777777" w:rsidR="00AF0389" w:rsidRPr="00722E7F" w:rsidRDefault="00AF0389" w:rsidP="00AF0389">
            <w:pPr>
              <w:spacing w:line="240" w:lineRule="auto"/>
              <w:jc w:val="left"/>
              <w:rPr>
                <w:sz w:val="16"/>
              </w:rPr>
            </w:pPr>
          </w:p>
        </w:tc>
      </w:tr>
      <w:tr w:rsidR="00AF0389" w14:paraId="65B3FC89" w14:textId="77777777" w:rsidTr="00AF0389">
        <w:trPr>
          <w:jc w:val="center"/>
        </w:trPr>
        <w:tc>
          <w:tcPr>
            <w:tcW w:w="2016" w:type="dxa"/>
            <w:vAlign w:val="center"/>
          </w:tcPr>
          <w:p w14:paraId="5256BE58" w14:textId="4C0C6924" w:rsidR="00AF0389" w:rsidRPr="00722E7F" w:rsidRDefault="00A504D1" w:rsidP="00AF0389">
            <w:pPr>
              <w:spacing w:line="240" w:lineRule="auto"/>
              <w:jc w:val="center"/>
              <w:rPr>
                <w:b/>
              </w:rPr>
            </w:pPr>
            <w:r>
              <w:rPr>
                <w:b/>
              </w:rPr>
              <w:t>b) Quartz/BMI</w:t>
            </w:r>
          </w:p>
        </w:tc>
        <w:tc>
          <w:tcPr>
            <w:tcW w:w="2592" w:type="dxa"/>
            <w:tcBorders>
              <w:bottom w:val="single" w:sz="4" w:space="0" w:color="auto"/>
            </w:tcBorders>
            <w:vAlign w:val="center"/>
          </w:tcPr>
          <w:p w14:paraId="64D12396" w14:textId="77777777" w:rsidR="00AF0389" w:rsidRDefault="00AF0389" w:rsidP="00AF0389">
            <w:pPr>
              <w:spacing w:line="240" w:lineRule="auto"/>
              <w:jc w:val="center"/>
            </w:pPr>
          </w:p>
        </w:tc>
        <w:tc>
          <w:tcPr>
            <w:tcW w:w="1152" w:type="dxa"/>
            <w:tcBorders>
              <w:bottom w:val="single" w:sz="4" w:space="0" w:color="auto"/>
            </w:tcBorders>
            <w:vAlign w:val="center"/>
          </w:tcPr>
          <w:p w14:paraId="464F27BB" w14:textId="77777777" w:rsidR="00AF0389" w:rsidRDefault="00AF0389" w:rsidP="00AF0389">
            <w:pPr>
              <w:spacing w:line="240" w:lineRule="auto"/>
              <w:jc w:val="left"/>
            </w:pPr>
          </w:p>
        </w:tc>
      </w:tr>
      <w:tr w:rsidR="00A504D1" w14:paraId="7906EC3C" w14:textId="77777777" w:rsidTr="00AF0389">
        <w:trPr>
          <w:jc w:val="center"/>
        </w:trPr>
        <w:tc>
          <w:tcPr>
            <w:tcW w:w="2016" w:type="dxa"/>
            <w:tcBorders>
              <w:right w:val="single" w:sz="4" w:space="0" w:color="auto"/>
            </w:tcBorders>
            <w:vAlign w:val="center"/>
          </w:tcPr>
          <w:p w14:paraId="44EBF82C" w14:textId="77777777" w:rsidR="00A504D1" w:rsidRDefault="00A504D1" w:rsidP="00AF0389">
            <w:pPr>
              <w:spacing w:line="240" w:lineRule="auto"/>
              <w:jc w:val="center"/>
            </w:pPr>
            <w:r>
              <w:t>69 kPa</w:t>
            </w:r>
          </w:p>
        </w:tc>
        <w:tc>
          <w:tcPr>
            <w:tcW w:w="2592" w:type="dxa"/>
            <w:tcBorders>
              <w:top w:val="single" w:sz="4" w:space="0" w:color="auto"/>
              <w:left w:val="single" w:sz="4" w:space="0" w:color="auto"/>
            </w:tcBorders>
            <w:vAlign w:val="center"/>
          </w:tcPr>
          <w:p w14:paraId="2B9C991C" w14:textId="50031E52" w:rsidR="00A504D1" w:rsidRDefault="00A504D1" w:rsidP="00AF0389">
            <w:pPr>
              <w:spacing w:line="240" w:lineRule="auto"/>
              <w:jc w:val="center"/>
            </w:pPr>
            <w:r>
              <w:t>0.0153x + 12.311</w:t>
            </w:r>
          </w:p>
        </w:tc>
        <w:tc>
          <w:tcPr>
            <w:tcW w:w="1152" w:type="dxa"/>
            <w:tcBorders>
              <w:top w:val="single" w:sz="4" w:space="0" w:color="auto"/>
              <w:right w:val="single" w:sz="4" w:space="0" w:color="auto"/>
            </w:tcBorders>
            <w:vAlign w:val="center"/>
          </w:tcPr>
          <w:p w14:paraId="31AA9AF1" w14:textId="308431FD" w:rsidR="00A504D1" w:rsidRDefault="00A504D1" w:rsidP="00AF0389">
            <w:pPr>
              <w:spacing w:line="240" w:lineRule="auto"/>
              <w:jc w:val="left"/>
            </w:pPr>
            <w:r>
              <w:t>0.9854</w:t>
            </w:r>
          </w:p>
        </w:tc>
      </w:tr>
      <w:tr w:rsidR="00A504D1" w14:paraId="71400D5C" w14:textId="77777777" w:rsidTr="00AF0389">
        <w:trPr>
          <w:jc w:val="center"/>
        </w:trPr>
        <w:tc>
          <w:tcPr>
            <w:tcW w:w="2016" w:type="dxa"/>
            <w:tcBorders>
              <w:right w:val="single" w:sz="4" w:space="0" w:color="auto"/>
            </w:tcBorders>
            <w:vAlign w:val="center"/>
          </w:tcPr>
          <w:p w14:paraId="19A1AE17" w14:textId="77777777" w:rsidR="00A504D1" w:rsidRDefault="00A504D1" w:rsidP="00AF0389">
            <w:pPr>
              <w:spacing w:line="240" w:lineRule="auto"/>
              <w:jc w:val="center"/>
            </w:pPr>
            <w:r>
              <w:t>207 kPa</w:t>
            </w:r>
          </w:p>
        </w:tc>
        <w:tc>
          <w:tcPr>
            <w:tcW w:w="2592" w:type="dxa"/>
            <w:tcBorders>
              <w:left w:val="single" w:sz="4" w:space="0" w:color="auto"/>
            </w:tcBorders>
            <w:vAlign w:val="center"/>
          </w:tcPr>
          <w:p w14:paraId="6AA0583B" w14:textId="42BDBBDB" w:rsidR="00A504D1" w:rsidRDefault="00A504D1" w:rsidP="00AF0389">
            <w:pPr>
              <w:spacing w:line="240" w:lineRule="auto"/>
              <w:jc w:val="center"/>
            </w:pPr>
            <w:r>
              <w:t>0.0254x + 8.834</w:t>
            </w:r>
          </w:p>
        </w:tc>
        <w:tc>
          <w:tcPr>
            <w:tcW w:w="1152" w:type="dxa"/>
            <w:tcBorders>
              <w:right w:val="single" w:sz="4" w:space="0" w:color="auto"/>
            </w:tcBorders>
            <w:vAlign w:val="center"/>
          </w:tcPr>
          <w:p w14:paraId="2465D243" w14:textId="40E28F50" w:rsidR="00A504D1" w:rsidRDefault="00A504D1" w:rsidP="00AF0389">
            <w:pPr>
              <w:spacing w:line="240" w:lineRule="auto"/>
              <w:jc w:val="left"/>
            </w:pPr>
            <w:r>
              <w:t>0.8702</w:t>
            </w:r>
          </w:p>
        </w:tc>
      </w:tr>
      <w:tr w:rsidR="00A504D1" w14:paraId="3DDE08A2" w14:textId="77777777" w:rsidTr="00AF0389">
        <w:trPr>
          <w:jc w:val="center"/>
        </w:trPr>
        <w:tc>
          <w:tcPr>
            <w:tcW w:w="2016" w:type="dxa"/>
            <w:tcBorders>
              <w:right w:val="single" w:sz="4" w:space="0" w:color="auto"/>
            </w:tcBorders>
            <w:vAlign w:val="center"/>
          </w:tcPr>
          <w:p w14:paraId="414D6507" w14:textId="77777777" w:rsidR="00A504D1" w:rsidRDefault="00A504D1" w:rsidP="00AF0389">
            <w:pPr>
              <w:spacing w:line="240" w:lineRule="auto"/>
              <w:jc w:val="center"/>
            </w:pPr>
            <w:r>
              <w:t>345 kPa</w:t>
            </w:r>
          </w:p>
        </w:tc>
        <w:tc>
          <w:tcPr>
            <w:tcW w:w="2592" w:type="dxa"/>
            <w:tcBorders>
              <w:left w:val="single" w:sz="4" w:space="0" w:color="auto"/>
            </w:tcBorders>
            <w:vAlign w:val="center"/>
          </w:tcPr>
          <w:p w14:paraId="512998E1" w14:textId="0A37AB8A" w:rsidR="00A504D1" w:rsidRDefault="00A504D1" w:rsidP="00AF0389">
            <w:pPr>
              <w:spacing w:line="240" w:lineRule="auto"/>
              <w:jc w:val="center"/>
            </w:pPr>
            <w:r>
              <w:t>0.0187x + 8.209</w:t>
            </w:r>
          </w:p>
        </w:tc>
        <w:tc>
          <w:tcPr>
            <w:tcW w:w="1152" w:type="dxa"/>
            <w:tcBorders>
              <w:right w:val="single" w:sz="4" w:space="0" w:color="auto"/>
            </w:tcBorders>
            <w:vAlign w:val="center"/>
          </w:tcPr>
          <w:p w14:paraId="43DAD9B0" w14:textId="2150934F" w:rsidR="00A504D1" w:rsidRDefault="00A504D1" w:rsidP="00AF0389">
            <w:pPr>
              <w:spacing w:line="240" w:lineRule="auto"/>
              <w:jc w:val="left"/>
            </w:pPr>
            <w:r>
              <w:t>0.9993</w:t>
            </w:r>
          </w:p>
        </w:tc>
      </w:tr>
      <w:tr w:rsidR="00A504D1" w14:paraId="3F6B740E" w14:textId="77777777" w:rsidTr="00AF0389">
        <w:trPr>
          <w:jc w:val="center"/>
        </w:trPr>
        <w:tc>
          <w:tcPr>
            <w:tcW w:w="2016" w:type="dxa"/>
            <w:tcBorders>
              <w:right w:val="single" w:sz="4" w:space="0" w:color="auto"/>
            </w:tcBorders>
            <w:vAlign w:val="center"/>
          </w:tcPr>
          <w:p w14:paraId="09FE0493" w14:textId="77777777" w:rsidR="00A504D1" w:rsidRDefault="00A504D1" w:rsidP="00AF0389">
            <w:pPr>
              <w:spacing w:line="240" w:lineRule="auto"/>
              <w:jc w:val="center"/>
            </w:pPr>
            <w:r>
              <w:t>483 kPa</w:t>
            </w:r>
          </w:p>
        </w:tc>
        <w:tc>
          <w:tcPr>
            <w:tcW w:w="2592" w:type="dxa"/>
            <w:tcBorders>
              <w:left w:val="single" w:sz="4" w:space="0" w:color="auto"/>
              <w:bottom w:val="single" w:sz="4" w:space="0" w:color="auto"/>
            </w:tcBorders>
            <w:vAlign w:val="center"/>
          </w:tcPr>
          <w:p w14:paraId="71022715" w14:textId="6A74CF4F" w:rsidR="00A504D1" w:rsidRDefault="00A504D1" w:rsidP="00AF0389">
            <w:pPr>
              <w:spacing w:line="240" w:lineRule="auto"/>
              <w:jc w:val="center"/>
            </w:pPr>
            <w:r>
              <w:t xml:space="preserve">-0.0030x + 8.271 </w:t>
            </w:r>
          </w:p>
        </w:tc>
        <w:tc>
          <w:tcPr>
            <w:tcW w:w="1152" w:type="dxa"/>
            <w:tcBorders>
              <w:bottom w:val="single" w:sz="4" w:space="0" w:color="auto"/>
              <w:right w:val="single" w:sz="4" w:space="0" w:color="auto"/>
            </w:tcBorders>
            <w:vAlign w:val="center"/>
          </w:tcPr>
          <w:p w14:paraId="7AA24CDB" w14:textId="64384EF8" w:rsidR="00A504D1" w:rsidRDefault="00A504D1" w:rsidP="00AF0389">
            <w:pPr>
              <w:spacing w:line="240" w:lineRule="auto"/>
              <w:jc w:val="left"/>
            </w:pPr>
            <w:r>
              <w:t>0.8497</w:t>
            </w:r>
          </w:p>
        </w:tc>
      </w:tr>
      <w:tr w:rsidR="00AF0389" w14:paraId="32255B19" w14:textId="77777777" w:rsidTr="00AF0389">
        <w:trPr>
          <w:jc w:val="center"/>
        </w:trPr>
        <w:tc>
          <w:tcPr>
            <w:tcW w:w="2016" w:type="dxa"/>
            <w:vAlign w:val="center"/>
          </w:tcPr>
          <w:p w14:paraId="185018BA" w14:textId="77777777" w:rsidR="00AF0389" w:rsidRPr="00722E7F" w:rsidRDefault="00AF0389" w:rsidP="00AF0389">
            <w:pPr>
              <w:spacing w:line="240" w:lineRule="auto"/>
              <w:jc w:val="center"/>
              <w:rPr>
                <w:sz w:val="16"/>
              </w:rPr>
            </w:pPr>
          </w:p>
        </w:tc>
        <w:tc>
          <w:tcPr>
            <w:tcW w:w="2592" w:type="dxa"/>
            <w:tcBorders>
              <w:top w:val="single" w:sz="4" w:space="0" w:color="auto"/>
            </w:tcBorders>
            <w:vAlign w:val="center"/>
          </w:tcPr>
          <w:p w14:paraId="53D150AA" w14:textId="77777777" w:rsidR="00AF0389" w:rsidRPr="00722E7F" w:rsidRDefault="00AF0389" w:rsidP="00AF0389">
            <w:pPr>
              <w:spacing w:line="240" w:lineRule="auto"/>
              <w:jc w:val="center"/>
              <w:rPr>
                <w:sz w:val="16"/>
              </w:rPr>
            </w:pPr>
          </w:p>
        </w:tc>
        <w:tc>
          <w:tcPr>
            <w:tcW w:w="1152" w:type="dxa"/>
            <w:tcBorders>
              <w:top w:val="single" w:sz="4" w:space="0" w:color="auto"/>
            </w:tcBorders>
            <w:vAlign w:val="center"/>
          </w:tcPr>
          <w:p w14:paraId="20107356" w14:textId="77777777" w:rsidR="00AF0389" w:rsidRPr="00722E7F" w:rsidRDefault="00AF0389" w:rsidP="00AF0389">
            <w:pPr>
              <w:spacing w:line="240" w:lineRule="auto"/>
              <w:jc w:val="left"/>
              <w:rPr>
                <w:sz w:val="16"/>
              </w:rPr>
            </w:pPr>
          </w:p>
        </w:tc>
      </w:tr>
      <w:tr w:rsidR="00AF0389" w14:paraId="048D6801" w14:textId="77777777" w:rsidTr="00AF0389">
        <w:trPr>
          <w:jc w:val="center"/>
        </w:trPr>
        <w:tc>
          <w:tcPr>
            <w:tcW w:w="2016" w:type="dxa"/>
            <w:vAlign w:val="center"/>
          </w:tcPr>
          <w:p w14:paraId="5E24920A" w14:textId="77777777" w:rsidR="00AF0389" w:rsidRDefault="00AF0389" w:rsidP="00AF0389">
            <w:pPr>
              <w:spacing w:line="240" w:lineRule="auto"/>
              <w:jc w:val="center"/>
            </w:pPr>
            <w:r>
              <w:rPr>
                <w:b/>
              </w:rPr>
              <w:t>c</w:t>
            </w:r>
            <w:r w:rsidRPr="00722E7F">
              <w:rPr>
                <w:b/>
              </w:rPr>
              <w:t xml:space="preserve">) </w:t>
            </w:r>
            <w:r>
              <w:rPr>
                <w:b/>
              </w:rPr>
              <w:t>Carbon</w:t>
            </w:r>
            <w:r w:rsidRPr="00722E7F">
              <w:rPr>
                <w:b/>
              </w:rPr>
              <w:t>/Epoxy</w:t>
            </w:r>
          </w:p>
        </w:tc>
        <w:tc>
          <w:tcPr>
            <w:tcW w:w="2592" w:type="dxa"/>
            <w:tcBorders>
              <w:bottom w:val="single" w:sz="4" w:space="0" w:color="auto"/>
            </w:tcBorders>
            <w:vAlign w:val="center"/>
          </w:tcPr>
          <w:p w14:paraId="3C03802C" w14:textId="77777777" w:rsidR="00AF0389" w:rsidRDefault="00AF0389" w:rsidP="00AF0389">
            <w:pPr>
              <w:spacing w:line="240" w:lineRule="auto"/>
              <w:jc w:val="center"/>
            </w:pPr>
          </w:p>
        </w:tc>
        <w:tc>
          <w:tcPr>
            <w:tcW w:w="1152" w:type="dxa"/>
            <w:tcBorders>
              <w:bottom w:val="single" w:sz="4" w:space="0" w:color="auto"/>
            </w:tcBorders>
            <w:vAlign w:val="center"/>
          </w:tcPr>
          <w:p w14:paraId="6D58D918" w14:textId="77777777" w:rsidR="00AF0389" w:rsidRDefault="00AF0389" w:rsidP="00AF0389">
            <w:pPr>
              <w:spacing w:line="240" w:lineRule="auto"/>
              <w:jc w:val="left"/>
            </w:pPr>
          </w:p>
        </w:tc>
      </w:tr>
      <w:tr w:rsidR="00AF0389" w14:paraId="06E28A39" w14:textId="77777777" w:rsidTr="00AF0389">
        <w:trPr>
          <w:jc w:val="center"/>
        </w:trPr>
        <w:tc>
          <w:tcPr>
            <w:tcW w:w="2016" w:type="dxa"/>
            <w:tcBorders>
              <w:right w:val="single" w:sz="4" w:space="0" w:color="auto"/>
            </w:tcBorders>
            <w:vAlign w:val="center"/>
          </w:tcPr>
          <w:p w14:paraId="3FDBB2A0" w14:textId="77777777" w:rsidR="00AF0389" w:rsidRDefault="00AF0389" w:rsidP="00AF0389">
            <w:pPr>
              <w:spacing w:line="240" w:lineRule="auto"/>
              <w:jc w:val="center"/>
            </w:pPr>
            <w:r>
              <w:t>69 kPa</w:t>
            </w:r>
          </w:p>
        </w:tc>
        <w:tc>
          <w:tcPr>
            <w:tcW w:w="2592" w:type="dxa"/>
            <w:tcBorders>
              <w:top w:val="single" w:sz="4" w:space="0" w:color="auto"/>
              <w:left w:val="single" w:sz="4" w:space="0" w:color="auto"/>
            </w:tcBorders>
            <w:vAlign w:val="center"/>
          </w:tcPr>
          <w:p w14:paraId="6A6069CE" w14:textId="1F4DEBA9" w:rsidR="00AF0389" w:rsidRDefault="001249B7" w:rsidP="00AF0389">
            <w:pPr>
              <w:spacing w:line="240" w:lineRule="auto"/>
              <w:jc w:val="center"/>
            </w:pPr>
            <w:r>
              <w:t>0.0143x + 3.2054</w:t>
            </w:r>
          </w:p>
        </w:tc>
        <w:tc>
          <w:tcPr>
            <w:tcW w:w="1152" w:type="dxa"/>
            <w:tcBorders>
              <w:top w:val="single" w:sz="4" w:space="0" w:color="auto"/>
              <w:right w:val="single" w:sz="4" w:space="0" w:color="auto"/>
            </w:tcBorders>
            <w:vAlign w:val="center"/>
          </w:tcPr>
          <w:p w14:paraId="0FC80132" w14:textId="0CC58B3B" w:rsidR="00AF0389" w:rsidRDefault="001249B7" w:rsidP="00AF0389">
            <w:pPr>
              <w:spacing w:line="240" w:lineRule="auto"/>
              <w:jc w:val="left"/>
            </w:pPr>
            <w:r>
              <w:t>0.8830</w:t>
            </w:r>
          </w:p>
        </w:tc>
      </w:tr>
      <w:tr w:rsidR="00AF0389" w14:paraId="661D1BD1" w14:textId="77777777" w:rsidTr="00AF0389">
        <w:trPr>
          <w:jc w:val="center"/>
        </w:trPr>
        <w:tc>
          <w:tcPr>
            <w:tcW w:w="2016" w:type="dxa"/>
            <w:tcBorders>
              <w:right w:val="single" w:sz="4" w:space="0" w:color="auto"/>
            </w:tcBorders>
            <w:vAlign w:val="center"/>
          </w:tcPr>
          <w:p w14:paraId="3BDD62E1" w14:textId="77777777" w:rsidR="00AF0389" w:rsidRDefault="00AF0389" w:rsidP="00AF0389">
            <w:pPr>
              <w:spacing w:line="240" w:lineRule="auto"/>
              <w:jc w:val="center"/>
            </w:pPr>
            <w:r>
              <w:t>207 kPa</w:t>
            </w:r>
          </w:p>
        </w:tc>
        <w:tc>
          <w:tcPr>
            <w:tcW w:w="2592" w:type="dxa"/>
            <w:tcBorders>
              <w:left w:val="single" w:sz="4" w:space="0" w:color="auto"/>
            </w:tcBorders>
            <w:vAlign w:val="center"/>
          </w:tcPr>
          <w:p w14:paraId="37273817" w14:textId="37EA64CF" w:rsidR="00AF0389" w:rsidRDefault="001249B7" w:rsidP="00AF0389">
            <w:pPr>
              <w:spacing w:line="240" w:lineRule="auto"/>
              <w:jc w:val="center"/>
            </w:pPr>
            <w:r>
              <w:t>0.0166x + 1.4424</w:t>
            </w:r>
          </w:p>
        </w:tc>
        <w:tc>
          <w:tcPr>
            <w:tcW w:w="1152" w:type="dxa"/>
            <w:tcBorders>
              <w:right w:val="single" w:sz="4" w:space="0" w:color="auto"/>
            </w:tcBorders>
            <w:vAlign w:val="center"/>
          </w:tcPr>
          <w:p w14:paraId="769FA8D6" w14:textId="0B50FFAE" w:rsidR="00AF0389" w:rsidRDefault="001249B7" w:rsidP="00AF0389">
            <w:pPr>
              <w:spacing w:line="240" w:lineRule="auto"/>
              <w:jc w:val="left"/>
            </w:pPr>
            <w:r>
              <w:t>0.8783</w:t>
            </w:r>
          </w:p>
        </w:tc>
      </w:tr>
      <w:tr w:rsidR="00AF0389" w14:paraId="407BE37E" w14:textId="77777777" w:rsidTr="00A504D1">
        <w:trPr>
          <w:jc w:val="center"/>
        </w:trPr>
        <w:tc>
          <w:tcPr>
            <w:tcW w:w="2016" w:type="dxa"/>
            <w:tcBorders>
              <w:right w:val="single" w:sz="4" w:space="0" w:color="auto"/>
            </w:tcBorders>
            <w:vAlign w:val="center"/>
          </w:tcPr>
          <w:p w14:paraId="05C1075B" w14:textId="77777777" w:rsidR="00AF0389" w:rsidRDefault="00AF0389" w:rsidP="00AF0389">
            <w:pPr>
              <w:spacing w:line="240" w:lineRule="auto"/>
              <w:jc w:val="center"/>
            </w:pPr>
            <w:r>
              <w:t>345 kPa</w:t>
            </w:r>
          </w:p>
        </w:tc>
        <w:tc>
          <w:tcPr>
            <w:tcW w:w="2592" w:type="dxa"/>
            <w:tcBorders>
              <w:left w:val="single" w:sz="4" w:space="0" w:color="auto"/>
            </w:tcBorders>
            <w:vAlign w:val="center"/>
          </w:tcPr>
          <w:p w14:paraId="5943ED26" w14:textId="2A202F3D" w:rsidR="00AF0389" w:rsidRDefault="001249B7" w:rsidP="00AF0389">
            <w:pPr>
              <w:spacing w:line="240" w:lineRule="auto"/>
              <w:jc w:val="center"/>
            </w:pPr>
            <w:r>
              <w:t>0.0222x + 1.1123</w:t>
            </w:r>
          </w:p>
        </w:tc>
        <w:tc>
          <w:tcPr>
            <w:tcW w:w="1152" w:type="dxa"/>
            <w:tcBorders>
              <w:right w:val="single" w:sz="4" w:space="0" w:color="auto"/>
            </w:tcBorders>
            <w:vAlign w:val="center"/>
          </w:tcPr>
          <w:p w14:paraId="1DEDA266" w14:textId="1BEFA799" w:rsidR="00AF0389" w:rsidRDefault="001249B7" w:rsidP="00AF0389">
            <w:pPr>
              <w:spacing w:line="240" w:lineRule="auto"/>
              <w:jc w:val="left"/>
            </w:pPr>
            <w:r>
              <w:t>0.8786</w:t>
            </w:r>
          </w:p>
        </w:tc>
      </w:tr>
      <w:tr w:rsidR="00AF0389" w14:paraId="6876764E" w14:textId="77777777" w:rsidTr="00A504D1">
        <w:trPr>
          <w:jc w:val="center"/>
        </w:trPr>
        <w:tc>
          <w:tcPr>
            <w:tcW w:w="2016" w:type="dxa"/>
            <w:tcBorders>
              <w:right w:val="single" w:sz="4" w:space="0" w:color="auto"/>
            </w:tcBorders>
            <w:vAlign w:val="center"/>
          </w:tcPr>
          <w:p w14:paraId="6BD33AB4" w14:textId="77777777" w:rsidR="00AF0389" w:rsidRDefault="00AF0389" w:rsidP="00AF0389">
            <w:pPr>
              <w:spacing w:line="240" w:lineRule="auto"/>
              <w:jc w:val="center"/>
            </w:pPr>
            <w:r>
              <w:t>483 kPa</w:t>
            </w:r>
          </w:p>
        </w:tc>
        <w:tc>
          <w:tcPr>
            <w:tcW w:w="2592" w:type="dxa"/>
            <w:tcBorders>
              <w:left w:val="single" w:sz="4" w:space="0" w:color="auto"/>
              <w:bottom w:val="single" w:sz="4" w:space="0" w:color="auto"/>
            </w:tcBorders>
            <w:vAlign w:val="center"/>
          </w:tcPr>
          <w:p w14:paraId="217FF4BE" w14:textId="39A8F29C" w:rsidR="00AF0389" w:rsidRDefault="001249B7" w:rsidP="00AF0389">
            <w:pPr>
              <w:spacing w:line="240" w:lineRule="auto"/>
              <w:jc w:val="center"/>
            </w:pPr>
            <w:r>
              <w:t>0.0062x + 1.3031</w:t>
            </w:r>
          </w:p>
        </w:tc>
        <w:tc>
          <w:tcPr>
            <w:tcW w:w="1152" w:type="dxa"/>
            <w:tcBorders>
              <w:bottom w:val="single" w:sz="4" w:space="0" w:color="auto"/>
              <w:right w:val="single" w:sz="4" w:space="0" w:color="auto"/>
            </w:tcBorders>
            <w:vAlign w:val="center"/>
          </w:tcPr>
          <w:p w14:paraId="44DCDF7C" w14:textId="5BE5E696" w:rsidR="00AF0389" w:rsidRDefault="001249B7" w:rsidP="00AF0389">
            <w:pPr>
              <w:spacing w:line="240" w:lineRule="auto"/>
              <w:jc w:val="left"/>
            </w:pPr>
            <w:r>
              <w:t>0.9357</w:t>
            </w:r>
          </w:p>
        </w:tc>
      </w:tr>
    </w:tbl>
    <w:p w14:paraId="72AC8FCE" w14:textId="77777777" w:rsidR="00AF0389" w:rsidRPr="00FF5F91" w:rsidRDefault="00AF0389" w:rsidP="00D30CEF">
      <w:pPr>
        <w:jc w:val="center"/>
      </w:pPr>
    </w:p>
    <w:p w14:paraId="0A54ECA6" w14:textId="6D129DC0" w:rsidR="00FF5F91" w:rsidRDefault="00FF5F91" w:rsidP="00FF5F91">
      <w:pPr>
        <w:pStyle w:val="Heading3"/>
      </w:pPr>
      <w:bookmarkStart w:id="100" w:name="_Ref344121194"/>
      <w:bookmarkStart w:id="101" w:name="_Toc346310975"/>
      <w:r>
        <w:t>Effect of Fabrication Pressure on Void Volume Fraction</w:t>
      </w:r>
      <w:bookmarkEnd w:id="100"/>
      <w:bookmarkEnd w:id="101"/>
    </w:p>
    <w:p w14:paraId="14050B35" w14:textId="26DAD2FF" w:rsidR="002B4623" w:rsidRDefault="00961FB6" w:rsidP="002B4623">
      <w:pPr>
        <w:ind w:firstLine="360"/>
      </w:pPr>
      <w:r>
        <w:t xml:space="preserve">The effect of fabrication cure pressure on the void volume fraction for each prepreg material is shown in </w:t>
      </w:r>
      <w:r>
        <w:fldChar w:fldCharType="begin"/>
      </w:r>
      <w:r>
        <w:instrText xml:space="preserve"> REF _Ref343150555 \h </w:instrText>
      </w:r>
      <w:r>
        <w:fldChar w:fldCharType="separate"/>
      </w:r>
      <w:r w:rsidR="008A1992" w:rsidRPr="0095087E">
        <w:t xml:space="preserve">Figure </w:t>
      </w:r>
      <w:r w:rsidR="008A1992">
        <w:rPr>
          <w:noProof/>
        </w:rPr>
        <w:t>2</w:t>
      </w:r>
      <w:r w:rsidR="008A1992">
        <w:t>.</w:t>
      </w:r>
      <w:r w:rsidR="008A1992">
        <w:rPr>
          <w:noProof/>
        </w:rPr>
        <w:t>14</w:t>
      </w:r>
      <w:r>
        <w:fldChar w:fldCharType="end"/>
      </w:r>
      <w:r>
        <w:t xml:space="preserve">.  </w:t>
      </w:r>
      <w:r w:rsidR="008D54DD">
        <w:t xml:space="preserve">The </w:t>
      </w:r>
      <w:r w:rsidR="003343C0">
        <w:t xml:space="preserve">selected </w:t>
      </w:r>
      <w:r w:rsidR="008D54DD">
        <w:t xml:space="preserve">power function trend line equations for each prepreg conditioning and fabrication pressure specimen are provided in </w:t>
      </w:r>
      <w:r w:rsidR="008D54DD">
        <w:fldChar w:fldCharType="begin"/>
      </w:r>
      <w:r w:rsidR="008D54DD">
        <w:instrText xml:space="preserve"> REF _Ref343772224 \h </w:instrText>
      </w:r>
      <w:r w:rsidR="008D54DD">
        <w:fldChar w:fldCharType="separate"/>
      </w:r>
      <w:r w:rsidR="008A1992" w:rsidRPr="00AF0389">
        <w:t xml:space="preserve">Table </w:t>
      </w:r>
      <w:r w:rsidR="008A1992">
        <w:rPr>
          <w:noProof/>
        </w:rPr>
        <w:t>2</w:t>
      </w:r>
      <w:r w:rsidR="008A1992">
        <w:t>.</w:t>
      </w:r>
      <w:r w:rsidR="008A1992">
        <w:rPr>
          <w:noProof/>
        </w:rPr>
        <w:t>9</w:t>
      </w:r>
      <w:r w:rsidR="008D54DD">
        <w:fldChar w:fldCharType="end"/>
      </w:r>
      <w:r w:rsidR="003343C0">
        <w:t xml:space="preserve"> had R</w:t>
      </w:r>
      <w:r w:rsidR="003343C0" w:rsidRPr="003343C0">
        <w:rPr>
          <w:vertAlign w:val="superscript"/>
        </w:rPr>
        <w:t>2</w:t>
      </w:r>
      <w:r w:rsidR="003343C0">
        <w:t>-values greater than 0.88 for most cases</w:t>
      </w:r>
      <w:r w:rsidR="0092579A">
        <w:t xml:space="preserve">.  </w:t>
      </w:r>
      <w:r w:rsidR="003343C0">
        <w:t>The high R</w:t>
      </w:r>
      <w:r w:rsidR="003343C0" w:rsidRPr="009C01D9">
        <w:rPr>
          <w:vertAlign w:val="superscript"/>
        </w:rPr>
        <w:t>2</w:t>
      </w:r>
      <w:r w:rsidR="003343C0">
        <w:t>-values for power function trend lines clearly illustrate that this analysis method represents the</w:t>
      </w:r>
      <w:r w:rsidR="009C01D9">
        <w:t xml:space="preserve"> void volume fraction well.  Alternatively, a linear function analysis for BMI results in an R</w:t>
      </w:r>
      <w:r w:rsidR="009C01D9" w:rsidRPr="009C01D9">
        <w:rPr>
          <w:vertAlign w:val="superscript"/>
        </w:rPr>
        <w:t>2</w:t>
      </w:r>
      <w:r w:rsidR="009C01D9">
        <w:t xml:space="preserve">-value range of 0.78-0.93. </w:t>
      </w:r>
      <w:r w:rsidR="003343C0">
        <w:t xml:space="preserve"> </w:t>
      </w:r>
      <w:r w:rsidR="0092579A">
        <w:t xml:space="preserve">The quartz reinforced laminates had similar power-reduction slopes for each humidity exposure level.  The </w:t>
      </w:r>
      <w:r w:rsidR="00BD018B">
        <w:t>rate of increase</w:t>
      </w:r>
      <w:r w:rsidR="0092579A">
        <w:t xml:space="preserve"> for epoxy matr</w:t>
      </w:r>
      <w:r w:rsidR="002A5D27">
        <w:t xml:space="preserve">ix </w:t>
      </w:r>
      <w:r w:rsidR="0092579A">
        <w:t xml:space="preserve">was slightly higher (0.31-0.34) than the BMI matrix material (0.22-0.26).  The zero y-intercept value for quartz/epoxy, shown in </w:t>
      </w:r>
      <w:r w:rsidR="0092579A">
        <w:fldChar w:fldCharType="begin"/>
      </w:r>
      <w:r w:rsidR="0092579A">
        <w:instrText xml:space="preserve"> REF _Ref343150555 \h </w:instrText>
      </w:r>
      <w:r w:rsidR="0092579A">
        <w:fldChar w:fldCharType="separate"/>
      </w:r>
      <w:r w:rsidR="008A1992" w:rsidRPr="0095087E">
        <w:t xml:space="preserve">Figure </w:t>
      </w:r>
      <w:r w:rsidR="008A1992">
        <w:rPr>
          <w:noProof/>
        </w:rPr>
        <w:t>2</w:t>
      </w:r>
      <w:r w:rsidR="008A1992">
        <w:t>.</w:t>
      </w:r>
      <w:r w:rsidR="008A1992">
        <w:rPr>
          <w:noProof/>
        </w:rPr>
        <w:t>14</w:t>
      </w:r>
      <w:r w:rsidR="0092579A">
        <w:fldChar w:fldCharType="end"/>
      </w:r>
      <w:r w:rsidR="002A5D27">
        <w:t>a</w:t>
      </w:r>
      <w:r w:rsidR="0092579A">
        <w:t xml:space="preserve">, varied significantly due to humidity exposure.  Meanwhile, utilizing carbon fiber as the reinforcement material results in much more </w:t>
      </w:r>
      <w:r w:rsidR="0092579A">
        <w:lastRenderedPageBreak/>
        <w:t>consistent values regardless of humidity exposure.</w:t>
      </w:r>
      <w:r>
        <w:t xml:space="preserve">  </w:t>
      </w:r>
      <w:r w:rsidR="0092579A">
        <w:t>T</w:t>
      </w:r>
      <w:r>
        <w:t>he carbon fiber-reinforced prepregs</w:t>
      </w:r>
      <w:r w:rsidR="002F40C6">
        <w:t>,</w:t>
      </w:r>
      <w:r>
        <w:t xml:space="preserve"> shown in </w:t>
      </w:r>
      <w:r>
        <w:fldChar w:fldCharType="begin"/>
      </w:r>
      <w:r>
        <w:instrText xml:space="preserve"> REF _Ref343150555 \h </w:instrText>
      </w:r>
      <w:r>
        <w:fldChar w:fldCharType="separate"/>
      </w:r>
      <w:r w:rsidR="008A1992" w:rsidRPr="0095087E">
        <w:t xml:space="preserve">Figure </w:t>
      </w:r>
      <w:r w:rsidR="008A1992">
        <w:rPr>
          <w:noProof/>
        </w:rPr>
        <w:t>2</w:t>
      </w:r>
      <w:r w:rsidR="008A1992">
        <w:t>.</w:t>
      </w:r>
      <w:r w:rsidR="008A1992">
        <w:rPr>
          <w:noProof/>
        </w:rPr>
        <w:t>14</w:t>
      </w:r>
      <w:r>
        <w:fldChar w:fldCharType="end"/>
      </w:r>
      <w:r>
        <w:t>c</w:t>
      </w:r>
      <w:r w:rsidR="002F40C6">
        <w:t>, had a much smaller range of void volume fractions.  This may be due to the smaller diameter carbon fiber threads allowing the epoxy-matrix to fully wet the fabric and expel more microvoids</w:t>
      </w:r>
      <w:r w:rsidR="00F82E20">
        <w:t>.</w:t>
      </w:r>
    </w:p>
    <w:p w14:paraId="1AD0DAA6" w14:textId="77777777" w:rsidR="0092579A" w:rsidRDefault="0092579A" w:rsidP="002B4623">
      <w:pPr>
        <w:ind w:firstLine="360"/>
      </w:pPr>
    </w:p>
    <w:p w14:paraId="33A2E1E5" w14:textId="4D3CA38E" w:rsidR="0095087E" w:rsidRDefault="00BD018B" w:rsidP="0095087E">
      <w:pPr>
        <w:keepNext/>
        <w:jc w:val="center"/>
      </w:pPr>
      <w:r>
        <w:rPr>
          <w:noProof/>
        </w:rPr>
        <mc:AlternateContent>
          <mc:Choice Requires="wpg">
            <w:drawing>
              <wp:inline distT="0" distB="0" distL="0" distR="0" wp14:anchorId="2A5B51FC" wp14:editId="1D9863F7">
                <wp:extent cx="5394960" cy="4485484"/>
                <wp:effectExtent l="0" t="0" r="0" b="10795"/>
                <wp:docPr id="229" name="Group 1"/>
                <wp:cNvGraphicFramePr/>
                <a:graphic xmlns:a="http://schemas.openxmlformats.org/drawingml/2006/main">
                  <a:graphicData uri="http://schemas.microsoft.com/office/word/2010/wordprocessingGroup">
                    <wpg:wgp>
                      <wpg:cNvGrpSpPr/>
                      <wpg:grpSpPr>
                        <a:xfrm>
                          <a:off x="0" y="0"/>
                          <a:ext cx="5394960" cy="4485484"/>
                          <a:chOff x="0" y="0"/>
                          <a:chExt cx="5424574" cy="4510194"/>
                        </a:xfrm>
                      </wpg:grpSpPr>
                      <wpg:graphicFrame>
                        <wpg:cNvPr id="230" name="Chart 230"/>
                        <wpg:cNvFrPr/>
                        <wpg:xfrm>
                          <a:off x="2711851" y="0"/>
                          <a:ext cx="2712723" cy="2256768"/>
                        </wpg:xfrm>
                        <a:graphic>
                          <a:graphicData uri="http://schemas.openxmlformats.org/drawingml/2006/chart">
                            <c:chart xmlns:c="http://schemas.openxmlformats.org/drawingml/2006/chart" xmlns:r="http://schemas.openxmlformats.org/officeDocument/2006/relationships" r:id="rId52"/>
                          </a:graphicData>
                        </a:graphic>
                      </wpg:graphicFrame>
                      <wpg:graphicFrame>
                        <wpg:cNvPr id="231" name="Chart 231"/>
                        <wpg:cNvFrPr>
                          <a:graphicFrameLocks/>
                        </wpg:cNvFrPr>
                        <wpg:xfrm>
                          <a:off x="0" y="0"/>
                          <a:ext cx="2712723" cy="2256768"/>
                        </wpg:xfrm>
                        <a:graphic>
                          <a:graphicData uri="http://schemas.openxmlformats.org/drawingml/2006/chart">
                            <c:chart xmlns:c="http://schemas.openxmlformats.org/drawingml/2006/chart" xmlns:r="http://schemas.openxmlformats.org/officeDocument/2006/relationships" r:id="rId53"/>
                          </a:graphicData>
                        </a:graphic>
                      </wpg:graphicFrame>
                      <wpg:graphicFrame>
                        <wpg:cNvPr id="232" name="Chart 232"/>
                        <wpg:cNvFrPr>
                          <a:graphicFrameLocks/>
                        </wpg:cNvFrPr>
                        <wpg:xfrm>
                          <a:off x="1384300" y="2253426"/>
                          <a:ext cx="2712723" cy="2256768"/>
                        </wpg:xfrm>
                        <a:graphic>
                          <a:graphicData uri="http://schemas.openxmlformats.org/drawingml/2006/chart">
                            <c:chart xmlns:c="http://schemas.openxmlformats.org/drawingml/2006/chart" xmlns:r="http://schemas.openxmlformats.org/officeDocument/2006/relationships" r:id="rId54"/>
                          </a:graphicData>
                        </a:graphic>
                      </wpg:graphicFrame>
                    </wpg:wgp>
                  </a:graphicData>
                </a:graphic>
              </wp:inline>
            </w:drawing>
          </mc:Choice>
          <mc:Fallback>
            <w:pict>
              <v:group id="Group 1" o:spid="_x0000_s1026" style="width:424.8pt;height:353.2pt;mso-position-horizontal-relative:char;mso-position-vertical-relative:line" coordsize="5424574,4510194" o:gfxdata="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">
                <v:shape id="Chart 230" o:spid="_x0000_s1027" type="#_x0000_t75" style="position:absolute;left:2709222;width:2715352;height:225568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">
                  <v:imagedata r:id="rId55" o:title=""/>
                  <o:lock v:ext="edit" aspectratio="f"/>
                </v:shape>
                <v:shape id="Chart 231" o:spid="_x0000_s1028" type="#_x0000_t75" style="position:absolute;width:2715352;height:225568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">
                  <v:imagedata r:id="rId56" o:title=""/>
                  <o:lock v:ext="edit" aspectratio="f"/>
                </v:shape>
                <v:shape id="Chart 232" o:spid="_x0000_s1029" type="#_x0000_t75" style="position:absolute;left:1379129;top:2249557;width:2715352;height:226181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">
                  <v:imagedata r:id="rId57" o:title=""/>
                  <o:lock v:ext="edit" aspectratio="f"/>
                </v:shape>
                <w10:anchorlock/>
              </v:group>
            </w:pict>
          </mc:Fallback>
        </mc:AlternateContent>
      </w:r>
    </w:p>
    <w:p w14:paraId="24EDFF4F" w14:textId="64258AA2" w:rsidR="00FC172A" w:rsidRDefault="0095087E" w:rsidP="0095087E">
      <w:pPr>
        <w:pStyle w:val="Caption"/>
        <w:spacing w:line="240" w:lineRule="auto"/>
        <w:jc w:val="center"/>
        <w:rPr>
          <w:sz w:val="24"/>
          <w:szCs w:val="24"/>
        </w:rPr>
      </w:pPr>
      <w:bookmarkStart w:id="102" w:name="_Ref343150555"/>
      <w:bookmarkStart w:id="103" w:name="_Toc346310422"/>
      <w:proofErr w:type="gramStart"/>
      <w:r w:rsidRPr="0095087E">
        <w:rPr>
          <w:sz w:val="24"/>
          <w:szCs w:val="24"/>
        </w:rPr>
        <w:t xml:space="preserve">Figure </w:t>
      </w:r>
      <w:r w:rsidR="00C16D85">
        <w:rPr>
          <w:sz w:val="24"/>
          <w:szCs w:val="24"/>
        </w:rPr>
        <w:fldChar w:fldCharType="begin"/>
      </w:r>
      <w:r w:rsidR="00C16D85">
        <w:rPr>
          <w:sz w:val="24"/>
          <w:szCs w:val="24"/>
        </w:rPr>
        <w:instrText xml:space="preserve"> STYLEREF 1 \s </w:instrText>
      </w:r>
      <w:r w:rsidR="00C16D85">
        <w:rPr>
          <w:sz w:val="24"/>
          <w:szCs w:val="24"/>
        </w:rPr>
        <w:fldChar w:fldCharType="separate"/>
      </w:r>
      <w:r w:rsidR="008A1992">
        <w:rPr>
          <w:noProof/>
          <w:sz w:val="24"/>
          <w:szCs w:val="24"/>
        </w:rPr>
        <w:t>2</w:t>
      </w:r>
      <w:r w:rsidR="00C16D85">
        <w:rPr>
          <w:sz w:val="24"/>
          <w:szCs w:val="24"/>
        </w:rPr>
        <w:fldChar w:fldCharType="end"/>
      </w:r>
      <w:r w:rsidR="00C16D85">
        <w:rPr>
          <w:sz w:val="24"/>
          <w:szCs w:val="24"/>
        </w:rPr>
        <w:t>.</w:t>
      </w:r>
      <w:proofErr w:type="gramEnd"/>
      <w:r w:rsidR="00C16D85">
        <w:rPr>
          <w:sz w:val="24"/>
          <w:szCs w:val="24"/>
        </w:rPr>
        <w:fldChar w:fldCharType="begin"/>
      </w:r>
      <w:r w:rsidR="00C16D85">
        <w:rPr>
          <w:sz w:val="24"/>
          <w:szCs w:val="24"/>
        </w:rPr>
        <w:instrText xml:space="preserve"> SEQ Figure \* ARABIC \s 1 </w:instrText>
      </w:r>
      <w:r w:rsidR="00C16D85">
        <w:rPr>
          <w:sz w:val="24"/>
          <w:szCs w:val="24"/>
        </w:rPr>
        <w:fldChar w:fldCharType="separate"/>
      </w:r>
      <w:r w:rsidR="008A1992">
        <w:rPr>
          <w:noProof/>
          <w:sz w:val="24"/>
          <w:szCs w:val="24"/>
        </w:rPr>
        <w:t>14</w:t>
      </w:r>
      <w:r w:rsidR="00C16D85">
        <w:rPr>
          <w:sz w:val="24"/>
          <w:szCs w:val="24"/>
        </w:rPr>
        <w:fldChar w:fldCharType="end"/>
      </w:r>
      <w:bookmarkEnd w:id="102"/>
      <w:r w:rsidRPr="0095087E">
        <w:rPr>
          <w:sz w:val="24"/>
          <w:szCs w:val="24"/>
        </w:rPr>
        <w:t xml:space="preserve"> Effect of varying fabrication pressure on void volume fraction for (a) Quartz/</w:t>
      </w:r>
      <w:r w:rsidR="0014039B">
        <w:rPr>
          <w:sz w:val="24"/>
          <w:szCs w:val="24"/>
        </w:rPr>
        <w:t>Epoxy</w:t>
      </w:r>
      <w:r w:rsidRPr="0095087E">
        <w:rPr>
          <w:sz w:val="24"/>
          <w:szCs w:val="24"/>
        </w:rPr>
        <w:t>, (b) Quartz/</w:t>
      </w:r>
      <w:r w:rsidR="0014039B">
        <w:rPr>
          <w:sz w:val="24"/>
          <w:szCs w:val="24"/>
        </w:rPr>
        <w:t>BMI</w:t>
      </w:r>
      <w:r w:rsidRPr="0095087E">
        <w:rPr>
          <w:sz w:val="24"/>
          <w:szCs w:val="24"/>
        </w:rPr>
        <w:t>, and (c) Carbon/Epoxy</w:t>
      </w:r>
      <w:bookmarkEnd w:id="103"/>
      <w:r w:rsidR="00FC172A">
        <w:rPr>
          <w:sz w:val="24"/>
          <w:szCs w:val="24"/>
        </w:rPr>
        <w:br w:type="page"/>
      </w:r>
    </w:p>
    <w:p w14:paraId="020EF90F" w14:textId="5EDBC4F8" w:rsidR="00CB34C4" w:rsidRPr="00AF0389" w:rsidRDefault="00CB34C4" w:rsidP="00CB34C4">
      <w:pPr>
        <w:pStyle w:val="Caption"/>
        <w:keepNext/>
        <w:spacing w:after="120" w:line="240" w:lineRule="auto"/>
        <w:jc w:val="center"/>
        <w:rPr>
          <w:sz w:val="24"/>
          <w:szCs w:val="24"/>
        </w:rPr>
      </w:pPr>
      <w:bookmarkStart w:id="104" w:name="_Ref343772224"/>
      <w:bookmarkStart w:id="105" w:name="_Toc346310851"/>
      <w:proofErr w:type="gramStart"/>
      <w:r w:rsidRPr="00AF0389">
        <w:rPr>
          <w:sz w:val="24"/>
          <w:szCs w:val="24"/>
        </w:rPr>
        <w:lastRenderedPageBreak/>
        <w:t xml:space="preserve">Table </w:t>
      </w:r>
      <w:r w:rsidR="00707D23">
        <w:rPr>
          <w:sz w:val="24"/>
          <w:szCs w:val="24"/>
        </w:rPr>
        <w:fldChar w:fldCharType="begin"/>
      </w:r>
      <w:r w:rsidR="00707D23">
        <w:rPr>
          <w:sz w:val="24"/>
          <w:szCs w:val="24"/>
        </w:rPr>
        <w:instrText xml:space="preserve"> STYLEREF 1 \s </w:instrText>
      </w:r>
      <w:r w:rsidR="00707D23">
        <w:rPr>
          <w:sz w:val="24"/>
          <w:szCs w:val="24"/>
        </w:rPr>
        <w:fldChar w:fldCharType="separate"/>
      </w:r>
      <w:r w:rsidR="008A1992">
        <w:rPr>
          <w:noProof/>
          <w:sz w:val="24"/>
          <w:szCs w:val="24"/>
        </w:rPr>
        <w:t>2</w:t>
      </w:r>
      <w:r w:rsidR="00707D23">
        <w:rPr>
          <w:sz w:val="24"/>
          <w:szCs w:val="24"/>
        </w:rPr>
        <w:fldChar w:fldCharType="end"/>
      </w:r>
      <w:r w:rsidR="00707D23">
        <w:rPr>
          <w:sz w:val="24"/>
          <w:szCs w:val="24"/>
        </w:rPr>
        <w:t>.</w:t>
      </w:r>
      <w:proofErr w:type="gramEnd"/>
      <w:r w:rsidR="00707D23">
        <w:rPr>
          <w:sz w:val="24"/>
          <w:szCs w:val="24"/>
        </w:rPr>
        <w:fldChar w:fldCharType="begin"/>
      </w:r>
      <w:r w:rsidR="00707D23">
        <w:rPr>
          <w:sz w:val="24"/>
          <w:szCs w:val="24"/>
        </w:rPr>
        <w:instrText xml:space="preserve"> SEQ Table \* ARABIC \s 1 </w:instrText>
      </w:r>
      <w:r w:rsidR="00707D23">
        <w:rPr>
          <w:sz w:val="24"/>
          <w:szCs w:val="24"/>
        </w:rPr>
        <w:fldChar w:fldCharType="separate"/>
      </w:r>
      <w:r w:rsidR="008A1992">
        <w:rPr>
          <w:noProof/>
          <w:sz w:val="24"/>
          <w:szCs w:val="24"/>
        </w:rPr>
        <w:t>9</w:t>
      </w:r>
      <w:r w:rsidR="00707D23">
        <w:rPr>
          <w:sz w:val="24"/>
          <w:szCs w:val="24"/>
        </w:rPr>
        <w:fldChar w:fldCharType="end"/>
      </w:r>
      <w:bookmarkEnd w:id="104"/>
      <w:r w:rsidRPr="00AF0389">
        <w:rPr>
          <w:sz w:val="24"/>
          <w:szCs w:val="24"/>
        </w:rPr>
        <w:t xml:space="preserve"> Trend </w:t>
      </w:r>
      <w:r w:rsidRPr="005901A5">
        <w:rPr>
          <w:sz w:val="24"/>
          <w:szCs w:val="24"/>
        </w:rPr>
        <w:t xml:space="preserve">line equations for </w:t>
      </w:r>
      <w:r>
        <w:rPr>
          <w:sz w:val="24"/>
          <w:szCs w:val="24"/>
        </w:rPr>
        <w:t>fabrication pressure ef</w:t>
      </w:r>
      <w:r w:rsidRPr="005901A5">
        <w:rPr>
          <w:sz w:val="24"/>
          <w:szCs w:val="24"/>
        </w:rPr>
        <w:t xml:space="preserve">fect on </w:t>
      </w:r>
      <w:r>
        <w:rPr>
          <w:sz w:val="24"/>
          <w:szCs w:val="24"/>
        </w:rPr>
        <w:t>void</w:t>
      </w:r>
      <w:r w:rsidRPr="005901A5">
        <w:rPr>
          <w:sz w:val="24"/>
          <w:szCs w:val="24"/>
        </w:rPr>
        <w:t xml:space="preserve"> volume fraction</w:t>
      </w:r>
      <w:bookmarkEnd w:id="105"/>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2592"/>
        <w:gridCol w:w="1152"/>
      </w:tblGrid>
      <w:tr w:rsidR="00CB34C4" w14:paraId="35C6CB3B" w14:textId="77777777" w:rsidTr="00CB34C4">
        <w:trPr>
          <w:jc w:val="center"/>
        </w:trPr>
        <w:tc>
          <w:tcPr>
            <w:tcW w:w="2016" w:type="dxa"/>
            <w:tcBorders>
              <w:top w:val="single" w:sz="12" w:space="0" w:color="auto"/>
            </w:tcBorders>
            <w:vAlign w:val="center"/>
          </w:tcPr>
          <w:p w14:paraId="13756AC6" w14:textId="189A32C8" w:rsidR="00CB34C4" w:rsidRPr="00006052" w:rsidRDefault="002A5D27" w:rsidP="00CB34C4">
            <w:pPr>
              <w:spacing w:line="240" w:lineRule="auto"/>
              <w:jc w:val="center"/>
              <w:rPr>
                <w:b/>
              </w:rPr>
            </w:pPr>
            <w:r>
              <w:rPr>
                <w:b/>
              </w:rPr>
              <w:t>a) Quartz/Epoxy</w:t>
            </w:r>
          </w:p>
        </w:tc>
        <w:tc>
          <w:tcPr>
            <w:tcW w:w="2592" w:type="dxa"/>
            <w:tcBorders>
              <w:top w:val="single" w:sz="12" w:space="0" w:color="auto"/>
              <w:bottom w:val="single" w:sz="4" w:space="0" w:color="auto"/>
            </w:tcBorders>
            <w:vAlign w:val="center"/>
          </w:tcPr>
          <w:p w14:paraId="1A8DFBDC" w14:textId="77777777" w:rsidR="00CB34C4" w:rsidRPr="00006052" w:rsidRDefault="00CB34C4" w:rsidP="00CB34C4">
            <w:pPr>
              <w:spacing w:line="240" w:lineRule="auto"/>
              <w:jc w:val="center"/>
              <w:rPr>
                <w:b/>
              </w:rPr>
            </w:pPr>
            <w:r w:rsidRPr="00006052">
              <w:rPr>
                <w:b/>
              </w:rPr>
              <w:t>Trend Line Equation</w:t>
            </w:r>
          </w:p>
        </w:tc>
        <w:tc>
          <w:tcPr>
            <w:tcW w:w="1152" w:type="dxa"/>
            <w:tcBorders>
              <w:top w:val="single" w:sz="12" w:space="0" w:color="auto"/>
              <w:bottom w:val="single" w:sz="4" w:space="0" w:color="auto"/>
            </w:tcBorders>
            <w:vAlign w:val="center"/>
          </w:tcPr>
          <w:p w14:paraId="5403EDCE" w14:textId="77777777" w:rsidR="00CB34C4" w:rsidRPr="00006052" w:rsidRDefault="00CB34C4" w:rsidP="00CB34C4">
            <w:pPr>
              <w:spacing w:line="240" w:lineRule="auto"/>
              <w:jc w:val="left"/>
              <w:rPr>
                <w:b/>
              </w:rPr>
            </w:pPr>
            <w:r w:rsidRPr="00006052">
              <w:rPr>
                <w:b/>
              </w:rPr>
              <w:t>R</w:t>
            </w:r>
            <w:r w:rsidRPr="00006052">
              <w:rPr>
                <w:b/>
                <w:vertAlign w:val="superscript"/>
              </w:rPr>
              <w:t>2</w:t>
            </w:r>
            <w:r w:rsidRPr="00006052">
              <w:rPr>
                <w:b/>
              </w:rPr>
              <w:t xml:space="preserve"> Value</w:t>
            </w:r>
          </w:p>
        </w:tc>
      </w:tr>
      <w:tr w:rsidR="002A5D27" w14:paraId="1019BE35" w14:textId="77777777" w:rsidTr="00CB34C4">
        <w:trPr>
          <w:jc w:val="center"/>
        </w:trPr>
        <w:tc>
          <w:tcPr>
            <w:tcW w:w="2016" w:type="dxa"/>
            <w:tcBorders>
              <w:right w:val="single" w:sz="4" w:space="0" w:color="auto"/>
            </w:tcBorders>
            <w:vAlign w:val="center"/>
          </w:tcPr>
          <w:p w14:paraId="266F76A5" w14:textId="546CF37A" w:rsidR="002A5D27" w:rsidRDefault="002A5D27" w:rsidP="0092579A">
            <w:pPr>
              <w:spacing w:line="240" w:lineRule="auto"/>
              <w:jc w:val="center"/>
            </w:pPr>
            <w:r>
              <w:t>2% RH</w:t>
            </w:r>
          </w:p>
        </w:tc>
        <w:tc>
          <w:tcPr>
            <w:tcW w:w="2592" w:type="dxa"/>
            <w:tcBorders>
              <w:top w:val="single" w:sz="4" w:space="0" w:color="auto"/>
              <w:left w:val="single" w:sz="4" w:space="0" w:color="auto"/>
            </w:tcBorders>
            <w:vAlign w:val="center"/>
          </w:tcPr>
          <w:p w14:paraId="1D27541C" w14:textId="1CCF502D" w:rsidR="002A5D27" w:rsidRDefault="002A5D27" w:rsidP="00CB34C4">
            <w:pPr>
              <w:spacing w:line="240" w:lineRule="auto"/>
              <w:jc w:val="center"/>
            </w:pPr>
            <w:r>
              <w:t>15.175x</w:t>
            </w:r>
            <w:r>
              <w:rPr>
                <w:vertAlign w:val="superscript"/>
              </w:rPr>
              <w:t>-0</w:t>
            </w:r>
            <w:r w:rsidRPr="001B12B4">
              <w:rPr>
                <w:vertAlign w:val="superscript"/>
              </w:rPr>
              <w:t>.</w:t>
            </w:r>
            <w:r>
              <w:rPr>
                <w:vertAlign w:val="superscript"/>
              </w:rPr>
              <w:t>346</w:t>
            </w:r>
          </w:p>
        </w:tc>
        <w:tc>
          <w:tcPr>
            <w:tcW w:w="1152" w:type="dxa"/>
            <w:tcBorders>
              <w:top w:val="single" w:sz="4" w:space="0" w:color="auto"/>
              <w:right w:val="single" w:sz="4" w:space="0" w:color="auto"/>
            </w:tcBorders>
            <w:vAlign w:val="center"/>
          </w:tcPr>
          <w:p w14:paraId="08D28A8B" w14:textId="30655280" w:rsidR="002A5D27" w:rsidRDefault="002A5D27" w:rsidP="00CB34C4">
            <w:pPr>
              <w:spacing w:line="240" w:lineRule="auto"/>
              <w:jc w:val="left"/>
            </w:pPr>
            <w:r>
              <w:t>0.9736</w:t>
            </w:r>
          </w:p>
        </w:tc>
      </w:tr>
      <w:tr w:rsidR="002A5D27" w14:paraId="29EE679D" w14:textId="77777777" w:rsidTr="00CB34C4">
        <w:trPr>
          <w:jc w:val="center"/>
        </w:trPr>
        <w:tc>
          <w:tcPr>
            <w:tcW w:w="2016" w:type="dxa"/>
            <w:tcBorders>
              <w:right w:val="single" w:sz="4" w:space="0" w:color="auto"/>
            </w:tcBorders>
            <w:vAlign w:val="center"/>
          </w:tcPr>
          <w:p w14:paraId="46A2A436" w14:textId="2D1ECCA1" w:rsidR="002A5D27" w:rsidRDefault="002A5D27" w:rsidP="00141762">
            <w:pPr>
              <w:spacing w:line="240" w:lineRule="auto"/>
              <w:jc w:val="center"/>
            </w:pPr>
            <w:r>
              <w:t>40% RH</w:t>
            </w:r>
          </w:p>
        </w:tc>
        <w:tc>
          <w:tcPr>
            <w:tcW w:w="2592" w:type="dxa"/>
            <w:tcBorders>
              <w:left w:val="single" w:sz="4" w:space="0" w:color="auto"/>
            </w:tcBorders>
            <w:vAlign w:val="center"/>
          </w:tcPr>
          <w:p w14:paraId="688284DB" w14:textId="2DE8149D" w:rsidR="002A5D27" w:rsidRDefault="002A5D27" w:rsidP="0048684A">
            <w:pPr>
              <w:spacing w:line="240" w:lineRule="auto"/>
              <w:jc w:val="center"/>
            </w:pPr>
            <w:r>
              <w:t>29.619x</w:t>
            </w:r>
            <w:r>
              <w:rPr>
                <w:vertAlign w:val="superscript"/>
              </w:rPr>
              <w:t>-0</w:t>
            </w:r>
            <w:r w:rsidRPr="001B12B4">
              <w:rPr>
                <w:vertAlign w:val="superscript"/>
              </w:rPr>
              <w:t>.</w:t>
            </w:r>
            <w:r>
              <w:rPr>
                <w:vertAlign w:val="superscript"/>
              </w:rPr>
              <w:t>344</w:t>
            </w:r>
          </w:p>
        </w:tc>
        <w:tc>
          <w:tcPr>
            <w:tcW w:w="1152" w:type="dxa"/>
            <w:tcBorders>
              <w:right w:val="single" w:sz="4" w:space="0" w:color="auto"/>
            </w:tcBorders>
            <w:vAlign w:val="center"/>
          </w:tcPr>
          <w:p w14:paraId="722FAC35" w14:textId="27A1A517" w:rsidR="002A5D27" w:rsidRDefault="002A5D27" w:rsidP="00CB34C4">
            <w:pPr>
              <w:spacing w:line="240" w:lineRule="auto"/>
              <w:jc w:val="left"/>
            </w:pPr>
            <w:r>
              <w:t>0.9903</w:t>
            </w:r>
          </w:p>
        </w:tc>
      </w:tr>
      <w:tr w:rsidR="002A5D27" w14:paraId="29706FA4" w14:textId="77777777" w:rsidTr="00CB34C4">
        <w:trPr>
          <w:jc w:val="center"/>
        </w:trPr>
        <w:tc>
          <w:tcPr>
            <w:tcW w:w="2016" w:type="dxa"/>
            <w:tcBorders>
              <w:right w:val="single" w:sz="4" w:space="0" w:color="auto"/>
            </w:tcBorders>
            <w:vAlign w:val="center"/>
          </w:tcPr>
          <w:p w14:paraId="3A09BD57" w14:textId="4FC524D6" w:rsidR="002A5D27" w:rsidRDefault="002A5D27" w:rsidP="00CB34C4">
            <w:pPr>
              <w:spacing w:line="240" w:lineRule="auto"/>
              <w:jc w:val="center"/>
            </w:pPr>
            <w:r>
              <w:t>70% RH</w:t>
            </w:r>
          </w:p>
        </w:tc>
        <w:tc>
          <w:tcPr>
            <w:tcW w:w="2592" w:type="dxa"/>
            <w:tcBorders>
              <w:left w:val="single" w:sz="4" w:space="0" w:color="auto"/>
            </w:tcBorders>
            <w:vAlign w:val="center"/>
          </w:tcPr>
          <w:p w14:paraId="22B17B23" w14:textId="6696EBCA" w:rsidR="002A5D27" w:rsidRDefault="002A5D27" w:rsidP="0048684A">
            <w:pPr>
              <w:spacing w:line="240" w:lineRule="auto"/>
              <w:jc w:val="center"/>
            </w:pPr>
            <w:r>
              <w:t>40.760x</w:t>
            </w:r>
            <w:r>
              <w:rPr>
                <w:vertAlign w:val="superscript"/>
              </w:rPr>
              <w:t>-0</w:t>
            </w:r>
            <w:r w:rsidRPr="001B12B4">
              <w:rPr>
                <w:vertAlign w:val="superscript"/>
              </w:rPr>
              <w:t>.</w:t>
            </w:r>
            <w:r>
              <w:rPr>
                <w:vertAlign w:val="superscript"/>
              </w:rPr>
              <w:t>328</w:t>
            </w:r>
          </w:p>
        </w:tc>
        <w:tc>
          <w:tcPr>
            <w:tcW w:w="1152" w:type="dxa"/>
            <w:tcBorders>
              <w:right w:val="single" w:sz="4" w:space="0" w:color="auto"/>
            </w:tcBorders>
            <w:vAlign w:val="center"/>
          </w:tcPr>
          <w:p w14:paraId="0DCDC0F7" w14:textId="2F230DB0" w:rsidR="002A5D27" w:rsidRDefault="002A5D27" w:rsidP="00CB34C4">
            <w:pPr>
              <w:spacing w:line="240" w:lineRule="auto"/>
              <w:jc w:val="left"/>
            </w:pPr>
            <w:r>
              <w:t>0.9987</w:t>
            </w:r>
          </w:p>
        </w:tc>
      </w:tr>
      <w:tr w:rsidR="002A5D27" w14:paraId="10C6FBB4" w14:textId="77777777" w:rsidTr="00CB34C4">
        <w:trPr>
          <w:jc w:val="center"/>
        </w:trPr>
        <w:tc>
          <w:tcPr>
            <w:tcW w:w="2016" w:type="dxa"/>
            <w:tcBorders>
              <w:right w:val="single" w:sz="4" w:space="0" w:color="auto"/>
            </w:tcBorders>
            <w:vAlign w:val="center"/>
          </w:tcPr>
          <w:p w14:paraId="5977AAFD" w14:textId="31460B30" w:rsidR="002A5D27" w:rsidRDefault="002A5D27" w:rsidP="00CB34C4">
            <w:pPr>
              <w:spacing w:line="240" w:lineRule="auto"/>
              <w:jc w:val="center"/>
            </w:pPr>
            <w:r>
              <w:t>99% RH</w:t>
            </w:r>
          </w:p>
        </w:tc>
        <w:tc>
          <w:tcPr>
            <w:tcW w:w="2592" w:type="dxa"/>
            <w:tcBorders>
              <w:left w:val="single" w:sz="4" w:space="0" w:color="auto"/>
              <w:bottom w:val="single" w:sz="4" w:space="0" w:color="auto"/>
            </w:tcBorders>
            <w:vAlign w:val="center"/>
          </w:tcPr>
          <w:p w14:paraId="5EE77F87" w14:textId="5FD95B28" w:rsidR="002A5D27" w:rsidRDefault="002A5D27" w:rsidP="0048684A">
            <w:pPr>
              <w:spacing w:line="240" w:lineRule="auto"/>
              <w:jc w:val="center"/>
            </w:pPr>
            <w:r>
              <w:t>53.274x</w:t>
            </w:r>
            <w:r>
              <w:rPr>
                <w:vertAlign w:val="superscript"/>
              </w:rPr>
              <w:t>-0</w:t>
            </w:r>
            <w:r w:rsidRPr="001B12B4">
              <w:rPr>
                <w:vertAlign w:val="superscript"/>
              </w:rPr>
              <w:t>.</w:t>
            </w:r>
            <w:r>
              <w:rPr>
                <w:vertAlign w:val="superscript"/>
              </w:rPr>
              <w:t>312</w:t>
            </w:r>
          </w:p>
        </w:tc>
        <w:tc>
          <w:tcPr>
            <w:tcW w:w="1152" w:type="dxa"/>
            <w:tcBorders>
              <w:bottom w:val="single" w:sz="4" w:space="0" w:color="auto"/>
              <w:right w:val="single" w:sz="4" w:space="0" w:color="auto"/>
            </w:tcBorders>
            <w:vAlign w:val="center"/>
          </w:tcPr>
          <w:p w14:paraId="72145327" w14:textId="5B8A7CCE" w:rsidR="002A5D27" w:rsidRDefault="002A5D27" w:rsidP="00CB34C4">
            <w:pPr>
              <w:spacing w:line="240" w:lineRule="auto"/>
              <w:jc w:val="left"/>
            </w:pPr>
            <w:r>
              <w:t>0.9862</w:t>
            </w:r>
          </w:p>
        </w:tc>
      </w:tr>
      <w:tr w:rsidR="00CB34C4" w14:paraId="28B96B95" w14:textId="77777777" w:rsidTr="00CB34C4">
        <w:trPr>
          <w:trHeight w:val="144"/>
          <w:jc w:val="center"/>
        </w:trPr>
        <w:tc>
          <w:tcPr>
            <w:tcW w:w="2016" w:type="dxa"/>
            <w:vAlign w:val="center"/>
          </w:tcPr>
          <w:p w14:paraId="3CB2D7AC" w14:textId="77777777" w:rsidR="00CB34C4" w:rsidRPr="00722E7F" w:rsidRDefault="00CB34C4" w:rsidP="00CB34C4">
            <w:pPr>
              <w:spacing w:line="240" w:lineRule="auto"/>
              <w:jc w:val="center"/>
              <w:rPr>
                <w:sz w:val="16"/>
              </w:rPr>
            </w:pPr>
          </w:p>
        </w:tc>
        <w:tc>
          <w:tcPr>
            <w:tcW w:w="2592" w:type="dxa"/>
            <w:tcBorders>
              <w:top w:val="single" w:sz="4" w:space="0" w:color="auto"/>
            </w:tcBorders>
            <w:vAlign w:val="center"/>
          </w:tcPr>
          <w:p w14:paraId="3408AC90" w14:textId="77777777" w:rsidR="00CB34C4" w:rsidRPr="00722E7F" w:rsidRDefault="00CB34C4" w:rsidP="00CB34C4">
            <w:pPr>
              <w:spacing w:line="240" w:lineRule="auto"/>
              <w:jc w:val="center"/>
              <w:rPr>
                <w:sz w:val="16"/>
              </w:rPr>
            </w:pPr>
          </w:p>
        </w:tc>
        <w:tc>
          <w:tcPr>
            <w:tcW w:w="1152" w:type="dxa"/>
            <w:tcBorders>
              <w:top w:val="single" w:sz="4" w:space="0" w:color="auto"/>
            </w:tcBorders>
            <w:vAlign w:val="center"/>
          </w:tcPr>
          <w:p w14:paraId="4BD0EA4D" w14:textId="77777777" w:rsidR="00CB34C4" w:rsidRPr="00722E7F" w:rsidRDefault="00CB34C4" w:rsidP="00CB34C4">
            <w:pPr>
              <w:spacing w:line="240" w:lineRule="auto"/>
              <w:jc w:val="left"/>
              <w:rPr>
                <w:sz w:val="16"/>
              </w:rPr>
            </w:pPr>
          </w:p>
        </w:tc>
      </w:tr>
      <w:tr w:rsidR="00CB34C4" w14:paraId="180DA4AB" w14:textId="77777777" w:rsidTr="00CB34C4">
        <w:trPr>
          <w:jc w:val="center"/>
        </w:trPr>
        <w:tc>
          <w:tcPr>
            <w:tcW w:w="2016" w:type="dxa"/>
            <w:vAlign w:val="center"/>
          </w:tcPr>
          <w:p w14:paraId="6C610446" w14:textId="1534F929" w:rsidR="00CB34C4" w:rsidRPr="00722E7F" w:rsidRDefault="002A5D27" w:rsidP="002A5D27">
            <w:pPr>
              <w:spacing w:line="240" w:lineRule="auto"/>
              <w:jc w:val="center"/>
              <w:rPr>
                <w:b/>
              </w:rPr>
            </w:pPr>
            <w:r>
              <w:rPr>
                <w:b/>
              </w:rPr>
              <w:t>b) Quartz/BMI</w:t>
            </w:r>
          </w:p>
        </w:tc>
        <w:tc>
          <w:tcPr>
            <w:tcW w:w="2592" w:type="dxa"/>
            <w:tcBorders>
              <w:bottom w:val="single" w:sz="4" w:space="0" w:color="auto"/>
            </w:tcBorders>
            <w:vAlign w:val="center"/>
          </w:tcPr>
          <w:p w14:paraId="60EDE6C4" w14:textId="77777777" w:rsidR="00CB34C4" w:rsidRDefault="00CB34C4" w:rsidP="00CB34C4">
            <w:pPr>
              <w:spacing w:line="240" w:lineRule="auto"/>
              <w:jc w:val="center"/>
            </w:pPr>
          </w:p>
        </w:tc>
        <w:tc>
          <w:tcPr>
            <w:tcW w:w="1152" w:type="dxa"/>
            <w:tcBorders>
              <w:bottom w:val="single" w:sz="4" w:space="0" w:color="auto"/>
            </w:tcBorders>
            <w:vAlign w:val="center"/>
          </w:tcPr>
          <w:p w14:paraId="21BAD86D" w14:textId="77777777" w:rsidR="00CB34C4" w:rsidRDefault="00CB34C4" w:rsidP="00CB34C4">
            <w:pPr>
              <w:spacing w:line="240" w:lineRule="auto"/>
              <w:jc w:val="left"/>
            </w:pPr>
          </w:p>
        </w:tc>
      </w:tr>
      <w:tr w:rsidR="002A5D27" w14:paraId="7298F08E" w14:textId="77777777" w:rsidTr="00CB34C4">
        <w:trPr>
          <w:jc w:val="center"/>
        </w:trPr>
        <w:tc>
          <w:tcPr>
            <w:tcW w:w="2016" w:type="dxa"/>
            <w:tcBorders>
              <w:right w:val="single" w:sz="4" w:space="0" w:color="auto"/>
            </w:tcBorders>
            <w:vAlign w:val="center"/>
          </w:tcPr>
          <w:p w14:paraId="5E72EA25" w14:textId="7336FCC2" w:rsidR="002A5D27" w:rsidRDefault="002A5D27" w:rsidP="00CB34C4">
            <w:pPr>
              <w:spacing w:line="240" w:lineRule="auto"/>
              <w:jc w:val="center"/>
            </w:pPr>
            <w:r>
              <w:t>2% RH</w:t>
            </w:r>
          </w:p>
        </w:tc>
        <w:tc>
          <w:tcPr>
            <w:tcW w:w="2592" w:type="dxa"/>
            <w:tcBorders>
              <w:top w:val="single" w:sz="4" w:space="0" w:color="auto"/>
              <w:left w:val="single" w:sz="4" w:space="0" w:color="auto"/>
            </w:tcBorders>
            <w:vAlign w:val="center"/>
          </w:tcPr>
          <w:p w14:paraId="798D65DB" w14:textId="14127B67" w:rsidR="002A5D27" w:rsidRDefault="002A5D27" w:rsidP="00CB34C4">
            <w:pPr>
              <w:spacing w:line="240" w:lineRule="auto"/>
              <w:jc w:val="center"/>
            </w:pPr>
            <w:r>
              <w:t>31.445x</w:t>
            </w:r>
            <w:r>
              <w:rPr>
                <w:vertAlign w:val="superscript"/>
              </w:rPr>
              <w:t>-0</w:t>
            </w:r>
            <w:r w:rsidRPr="001B12B4">
              <w:rPr>
                <w:vertAlign w:val="superscript"/>
              </w:rPr>
              <w:t>.</w:t>
            </w:r>
            <w:r>
              <w:rPr>
                <w:vertAlign w:val="superscript"/>
              </w:rPr>
              <w:t>224</w:t>
            </w:r>
          </w:p>
        </w:tc>
        <w:tc>
          <w:tcPr>
            <w:tcW w:w="1152" w:type="dxa"/>
            <w:tcBorders>
              <w:top w:val="single" w:sz="4" w:space="0" w:color="auto"/>
              <w:right w:val="single" w:sz="4" w:space="0" w:color="auto"/>
            </w:tcBorders>
            <w:vAlign w:val="center"/>
          </w:tcPr>
          <w:p w14:paraId="40896949" w14:textId="504EB2A3" w:rsidR="002A5D27" w:rsidRDefault="002A5D27" w:rsidP="00CB34C4">
            <w:pPr>
              <w:spacing w:line="240" w:lineRule="auto"/>
              <w:jc w:val="left"/>
            </w:pPr>
            <w:r>
              <w:t>0.9635</w:t>
            </w:r>
          </w:p>
        </w:tc>
      </w:tr>
      <w:tr w:rsidR="002A5D27" w14:paraId="379AE670" w14:textId="77777777" w:rsidTr="00CB34C4">
        <w:trPr>
          <w:jc w:val="center"/>
        </w:trPr>
        <w:tc>
          <w:tcPr>
            <w:tcW w:w="2016" w:type="dxa"/>
            <w:tcBorders>
              <w:right w:val="single" w:sz="4" w:space="0" w:color="auto"/>
            </w:tcBorders>
            <w:vAlign w:val="center"/>
          </w:tcPr>
          <w:p w14:paraId="70516C06" w14:textId="467F1722" w:rsidR="002A5D27" w:rsidRDefault="002A5D27" w:rsidP="00CB34C4">
            <w:pPr>
              <w:spacing w:line="240" w:lineRule="auto"/>
              <w:jc w:val="center"/>
            </w:pPr>
            <w:r>
              <w:t>40% RH</w:t>
            </w:r>
          </w:p>
        </w:tc>
        <w:tc>
          <w:tcPr>
            <w:tcW w:w="2592" w:type="dxa"/>
            <w:tcBorders>
              <w:left w:val="single" w:sz="4" w:space="0" w:color="auto"/>
            </w:tcBorders>
            <w:vAlign w:val="center"/>
          </w:tcPr>
          <w:p w14:paraId="7EAA0681" w14:textId="73AE0AE5" w:rsidR="002A5D27" w:rsidRDefault="002A5D27" w:rsidP="00EA798D">
            <w:pPr>
              <w:spacing w:line="240" w:lineRule="auto"/>
              <w:jc w:val="center"/>
            </w:pPr>
            <w:r>
              <w:t>32.659x</w:t>
            </w:r>
            <w:r>
              <w:rPr>
                <w:vertAlign w:val="superscript"/>
              </w:rPr>
              <w:t>-0.225</w:t>
            </w:r>
          </w:p>
        </w:tc>
        <w:tc>
          <w:tcPr>
            <w:tcW w:w="1152" w:type="dxa"/>
            <w:tcBorders>
              <w:right w:val="single" w:sz="4" w:space="0" w:color="auto"/>
            </w:tcBorders>
            <w:vAlign w:val="center"/>
          </w:tcPr>
          <w:p w14:paraId="5BC88B75" w14:textId="47B942AE" w:rsidR="002A5D27" w:rsidRDefault="002A5D27" w:rsidP="00CB34C4">
            <w:pPr>
              <w:spacing w:line="240" w:lineRule="auto"/>
              <w:jc w:val="left"/>
            </w:pPr>
            <w:r>
              <w:t>0.9723</w:t>
            </w:r>
          </w:p>
        </w:tc>
      </w:tr>
      <w:tr w:rsidR="002A5D27" w14:paraId="3029E4A2" w14:textId="77777777" w:rsidTr="00CB34C4">
        <w:trPr>
          <w:jc w:val="center"/>
        </w:trPr>
        <w:tc>
          <w:tcPr>
            <w:tcW w:w="2016" w:type="dxa"/>
            <w:tcBorders>
              <w:right w:val="single" w:sz="4" w:space="0" w:color="auto"/>
            </w:tcBorders>
            <w:vAlign w:val="center"/>
          </w:tcPr>
          <w:p w14:paraId="4C8735D9" w14:textId="712F43A2" w:rsidR="002A5D27" w:rsidRDefault="002A5D27" w:rsidP="00CB34C4">
            <w:pPr>
              <w:spacing w:line="240" w:lineRule="auto"/>
              <w:jc w:val="center"/>
            </w:pPr>
            <w:r>
              <w:t>70% RH</w:t>
            </w:r>
          </w:p>
        </w:tc>
        <w:tc>
          <w:tcPr>
            <w:tcW w:w="2592" w:type="dxa"/>
            <w:tcBorders>
              <w:left w:val="single" w:sz="4" w:space="0" w:color="auto"/>
            </w:tcBorders>
            <w:vAlign w:val="center"/>
          </w:tcPr>
          <w:p w14:paraId="7A299388" w14:textId="14A3A2FB" w:rsidR="002A5D27" w:rsidRDefault="002A5D27" w:rsidP="00EA798D">
            <w:pPr>
              <w:spacing w:line="240" w:lineRule="auto"/>
              <w:jc w:val="center"/>
            </w:pPr>
            <w:r>
              <w:t>37.689x</w:t>
            </w:r>
            <w:r>
              <w:rPr>
                <w:vertAlign w:val="superscript"/>
              </w:rPr>
              <w:t>-0</w:t>
            </w:r>
            <w:r w:rsidRPr="001B12B4">
              <w:rPr>
                <w:vertAlign w:val="superscript"/>
              </w:rPr>
              <w:t>.</w:t>
            </w:r>
            <w:r>
              <w:rPr>
                <w:vertAlign w:val="superscript"/>
              </w:rPr>
              <w:t>243</w:t>
            </w:r>
          </w:p>
        </w:tc>
        <w:tc>
          <w:tcPr>
            <w:tcW w:w="1152" w:type="dxa"/>
            <w:tcBorders>
              <w:right w:val="single" w:sz="4" w:space="0" w:color="auto"/>
            </w:tcBorders>
            <w:vAlign w:val="center"/>
          </w:tcPr>
          <w:p w14:paraId="280DB01C" w14:textId="5943FA52" w:rsidR="002A5D27" w:rsidRDefault="002A5D27" w:rsidP="00CB34C4">
            <w:pPr>
              <w:spacing w:line="240" w:lineRule="auto"/>
              <w:jc w:val="left"/>
            </w:pPr>
            <w:r>
              <w:t>0.9741</w:t>
            </w:r>
          </w:p>
        </w:tc>
      </w:tr>
      <w:tr w:rsidR="002A5D27" w14:paraId="0CD9C706" w14:textId="77777777" w:rsidTr="00CB34C4">
        <w:trPr>
          <w:jc w:val="center"/>
        </w:trPr>
        <w:tc>
          <w:tcPr>
            <w:tcW w:w="2016" w:type="dxa"/>
            <w:tcBorders>
              <w:right w:val="single" w:sz="4" w:space="0" w:color="auto"/>
            </w:tcBorders>
            <w:vAlign w:val="center"/>
          </w:tcPr>
          <w:p w14:paraId="5234F91C" w14:textId="3F7433BC" w:rsidR="002A5D27" w:rsidRDefault="002A5D27" w:rsidP="00CB34C4">
            <w:pPr>
              <w:spacing w:line="240" w:lineRule="auto"/>
              <w:jc w:val="center"/>
            </w:pPr>
            <w:r>
              <w:t>99% RH</w:t>
            </w:r>
          </w:p>
        </w:tc>
        <w:tc>
          <w:tcPr>
            <w:tcW w:w="2592" w:type="dxa"/>
            <w:tcBorders>
              <w:left w:val="single" w:sz="4" w:space="0" w:color="auto"/>
              <w:bottom w:val="single" w:sz="4" w:space="0" w:color="auto"/>
            </w:tcBorders>
            <w:vAlign w:val="center"/>
          </w:tcPr>
          <w:p w14:paraId="55459457" w14:textId="79617F0E" w:rsidR="002A5D27" w:rsidRDefault="002A5D27" w:rsidP="00EA798D">
            <w:pPr>
              <w:spacing w:line="240" w:lineRule="auto"/>
              <w:jc w:val="center"/>
            </w:pPr>
            <w:r>
              <w:t>44.183x</w:t>
            </w:r>
            <w:r>
              <w:rPr>
                <w:vertAlign w:val="superscript"/>
              </w:rPr>
              <w:t>-0.263</w:t>
            </w:r>
          </w:p>
        </w:tc>
        <w:tc>
          <w:tcPr>
            <w:tcW w:w="1152" w:type="dxa"/>
            <w:tcBorders>
              <w:bottom w:val="single" w:sz="4" w:space="0" w:color="auto"/>
              <w:right w:val="single" w:sz="4" w:space="0" w:color="auto"/>
            </w:tcBorders>
            <w:vAlign w:val="center"/>
          </w:tcPr>
          <w:p w14:paraId="6958C065" w14:textId="35DBFD2B" w:rsidR="002A5D27" w:rsidRDefault="002A5D27" w:rsidP="00CB34C4">
            <w:pPr>
              <w:spacing w:line="240" w:lineRule="auto"/>
              <w:jc w:val="left"/>
            </w:pPr>
            <w:r>
              <w:t>0.8880</w:t>
            </w:r>
          </w:p>
        </w:tc>
      </w:tr>
      <w:tr w:rsidR="00CB34C4" w14:paraId="6DE7B963" w14:textId="77777777" w:rsidTr="00CB34C4">
        <w:trPr>
          <w:jc w:val="center"/>
        </w:trPr>
        <w:tc>
          <w:tcPr>
            <w:tcW w:w="2016" w:type="dxa"/>
            <w:vAlign w:val="center"/>
          </w:tcPr>
          <w:p w14:paraId="19B4ECFA" w14:textId="77777777" w:rsidR="00CB34C4" w:rsidRPr="00722E7F" w:rsidRDefault="00CB34C4" w:rsidP="00CB34C4">
            <w:pPr>
              <w:spacing w:line="240" w:lineRule="auto"/>
              <w:jc w:val="center"/>
              <w:rPr>
                <w:sz w:val="16"/>
              </w:rPr>
            </w:pPr>
          </w:p>
        </w:tc>
        <w:tc>
          <w:tcPr>
            <w:tcW w:w="2592" w:type="dxa"/>
            <w:tcBorders>
              <w:top w:val="single" w:sz="4" w:space="0" w:color="auto"/>
            </w:tcBorders>
            <w:vAlign w:val="center"/>
          </w:tcPr>
          <w:p w14:paraId="4CF3E459" w14:textId="77777777" w:rsidR="00CB34C4" w:rsidRPr="00722E7F" w:rsidRDefault="00CB34C4" w:rsidP="00CB34C4">
            <w:pPr>
              <w:spacing w:line="240" w:lineRule="auto"/>
              <w:jc w:val="center"/>
              <w:rPr>
                <w:sz w:val="16"/>
              </w:rPr>
            </w:pPr>
          </w:p>
        </w:tc>
        <w:tc>
          <w:tcPr>
            <w:tcW w:w="1152" w:type="dxa"/>
            <w:tcBorders>
              <w:top w:val="single" w:sz="4" w:space="0" w:color="auto"/>
            </w:tcBorders>
            <w:vAlign w:val="center"/>
          </w:tcPr>
          <w:p w14:paraId="438C06A5" w14:textId="77777777" w:rsidR="00CB34C4" w:rsidRPr="00722E7F" w:rsidRDefault="00CB34C4" w:rsidP="00CB34C4">
            <w:pPr>
              <w:spacing w:line="240" w:lineRule="auto"/>
              <w:jc w:val="left"/>
              <w:rPr>
                <w:sz w:val="16"/>
              </w:rPr>
            </w:pPr>
          </w:p>
        </w:tc>
      </w:tr>
      <w:tr w:rsidR="00CB34C4" w14:paraId="6CB27560" w14:textId="77777777" w:rsidTr="00CB34C4">
        <w:trPr>
          <w:jc w:val="center"/>
        </w:trPr>
        <w:tc>
          <w:tcPr>
            <w:tcW w:w="2016" w:type="dxa"/>
            <w:vAlign w:val="center"/>
          </w:tcPr>
          <w:p w14:paraId="6DBFF5CF" w14:textId="77777777" w:rsidR="00CB34C4" w:rsidRDefault="00CB34C4" w:rsidP="00CB34C4">
            <w:pPr>
              <w:spacing w:line="240" w:lineRule="auto"/>
              <w:jc w:val="center"/>
            </w:pPr>
            <w:r>
              <w:rPr>
                <w:b/>
              </w:rPr>
              <w:t>c</w:t>
            </w:r>
            <w:r w:rsidRPr="00722E7F">
              <w:rPr>
                <w:b/>
              </w:rPr>
              <w:t xml:space="preserve">) </w:t>
            </w:r>
            <w:r>
              <w:rPr>
                <w:b/>
              </w:rPr>
              <w:t>Carbon</w:t>
            </w:r>
            <w:r w:rsidRPr="00722E7F">
              <w:rPr>
                <w:b/>
              </w:rPr>
              <w:t>/Epoxy</w:t>
            </w:r>
          </w:p>
        </w:tc>
        <w:tc>
          <w:tcPr>
            <w:tcW w:w="2592" w:type="dxa"/>
            <w:tcBorders>
              <w:bottom w:val="single" w:sz="4" w:space="0" w:color="auto"/>
            </w:tcBorders>
            <w:vAlign w:val="center"/>
          </w:tcPr>
          <w:p w14:paraId="7846074C" w14:textId="77777777" w:rsidR="00CB34C4" w:rsidRDefault="00CB34C4" w:rsidP="00CB34C4">
            <w:pPr>
              <w:spacing w:line="240" w:lineRule="auto"/>
              <w:jc w:val="center"/>
            </w:pPr>
          </w:p>
        </w:tc>
        <w:tc>
          <w:tcPr>
            <w:tcW w:w="1152" w:type="dxa"/>
            <w:tcBorders>
              <w:bottom w:val="single" w:sz="4" w:space="0" w:color="auto"/>
            </w:tcBorders>
            <w:vAlign w:val="center"/>
          </w:tcPr>
          <w:p w14:paraId="3192ED9D" w14:textId="77777777" w:rsidR="00CB34C4" w:rsidRDefault="00CB34C4" w:rsidP="00CB34C4">
            <w:pPr>
              <w:spacing w:line="240" w:lineRule="auto"/>
              <w:jc w:val="left"/>
            </w:pPr>
          </w:p>
        </w:tc>
      </w:tr>
      <w:tr w:rsidR="00141762" w14:paraId="27ED4837" w14:textId="77777777" w:rsidTr="00CB34C4">
        <w:trPr>
          <w:jc w:val="center"/>
        </w:trPr>
        <w:tc>
          <w:tcPr>
            <w:tcW w:w="2016" w:type="dxa"/>
            <w:tcBorders>
              <w:right w:val="single" w:sz="4" w:space="0" w:color="auto"/>
            </w:tcBorders>
            <w:vAlign w:val="center"/>
          </w:tcPr>
          <w:p w14:paraId="154DDFCF" w14:textId="618782A5" w:rsidR="00141762" w:rsidRDefault="00141762" w:rsidP="00CB34C4">
            <w:pPr>
              <w:spacing w:line="240" w:lineRule="auto"/>
              <w:jc w:val="center"/>
            </w:pPr>
            <w:r>
              <w:t>2% RH</w:t>
            </w:r>
          </w:p>
        </w:tc>
        <w:tc>
          <w:tcPr>
            <w:tcW w:w="2592" w:type="dxa"/>
            <w:tcBorders>
              <w:top w:val="single" w:sz="4" w:space="0" w:color="auto"/>
              <w:left w:val="single" w:sz="4" w:space="0" w:color="auto"/>
            </w:tcBorders>
            <w:vAlign w:val="center"/>
          </w:tcPr>
          <w:p w14:paraId="678FCC75" w14:textId="40FA0594" w:rsidR="00141762" w:rsidRDefault="00141762" w:rsidP="006836DA">
            <w:pPr>
              <w:spacing w:line="240" w:lineRule="auto"/>
              <w:jc w:val="center"/>
            </w:pPr>
            <w:r>
              <w:t>26.452x</w:t>
            </w:r>
            <w:r>
              <w:rPr>
                <w:vertAlign w:val="superscript"/>
              </w:rPr>
              <w:t>-0.507</w:t>
            </w:r>
          </w:p>
        </w:tc>
        <w:tc>
          <w:tcPr>
            <w:tcW w:w="1152" w:type="dxa"/>
            <w:tcBorders>
              <w:top w:val="single" w:sz="4" w:space="0" w:color="auto"/>
              <w:right w:val="single" w:sz="4" w:space="0" w:color="auto"/>
            </w:tcBorders>
            <w:vAlign w:val="center"/>
          </w:tcPr>
          <w:p w14:paraId="12A3908E" w14:textId="0053938F" w:rsidR="00141762" w:rsidRDefault="00141762" w:rsidP="00CB34C4">
            <w:pPr>
              <w:spacing w:line="240" w:lineRule="auto"/>
              <w:jc w:val="left"/>
            </w:pPr>
            <w:r>
              <w:t>0.9701</w:t>
            </w:r>
          </w:p>
        </w:tc>
      </w:tr>
      <w:tr w:rsidR="00141762" w14:paraId="20620EBE" w14:textId="77777777" w:rsidTr="00CB34C4">
        <w:trPr>
          <w:jc w:val="center"/>
        </w:trPr>
        <w:tc>
          <w:tcPr>
            <w:tcW w:w="2016" w:type="dxa"/>
            <w:tcBorders>
              <w:right w:val="single" w:sz="4" w:space="0" w:color="auto"/>
            </w:tcBorders>
            <w:vAlign w:val="center"/>
          </w:tcPr>
          <w:p w14:paraId="54F83B66" w14:textId="2A2FEA3E" w:rsidR="00141762" w:rsidRDefault="00141762" w:rsidP="00CB34C4">
            <w:pPr>
              <w:spacing w:line="240" w:lineRule="auto"/>
              <w:jc w:val="center"/>
            </w:pPr>
            <w:r>
              <w:t>40% RH</w:t>
            </w:r>
          </w:p>
        </w:tc>
        <w:tc>
          <w:tcPr>
            <w:tcW w:w="2592" w:type="dxa"/>
            <w:tcBorders>
              <w:left w:val="single" w:sz="4" w:space="0" w:color="auto"/>
            </w:tcBorders>
            <w:vAlign w:val="center"/>
          </w:tcPr>
          <w:p w14:paraId="520B9497" w14:textId="6C90232D" w:rsidR="00141762" w:rsidRDefault="00141762" w:rsidP="006836DA">
            <w:pPr>
              <w:spacing w:line="240" w:lineRule="auto"/>
              <w:jc w:val="center"/>
            </w:pPr>
            <w:r>
              <w:t>22.872x</w:t>
            </w:r>
            <w:r>
              <w:rPr>
                <w:vertAlign w:val="superscript"/>
              </w:rPr>
              <w:t>-0.430</w:t>
            </w:r>
          </w:p>
        </w:tc>
        <w:tc>
          <w:tcPr>
            <w:tcW w:w="1152" w:type="dxa"/>
            <w:tcBorders>
              <w:right w:val="single" w:sz="4" w:space="0" w:color="auto"/>
            </w:tcBorders>
            <w:vAlign w:val="center"/>
          </w:tcPr>
          <w:p w14:paraId="21504B36" w14:textId="21EF2648" w:rsidR="00141762" w:rsidRDefault="00141762" w:rsidP="00CB34C4">
            <w:pPr>
              <w:spacing w:line="240" w:lineRule="auto"/>
              <w:jc w:val="left"/>
            </w:pPr>
            <w:r>
              <w:t>0.8824</w:t>
            </w:r>
          </w:p>
        </w:tc>
      </w:tr>
      <w:tr w:rsidR="00141762" w14:paraId="2C653D0B" w14:textId="77777777" w:rsidTr="002A5D27">
        <w:trPr>
          <w:jc w:val="center"/>
        </w:trPr>
        <w:tc>
          <w:tcPr>
            <w:tcW w:w="2016" w:type="dxa"/>
            <w:tcBorders>
              <w:right w:val="single" w:sz="4" w:space="0" w:color="auto"/>
            </w:tcBorders>
            <w:vAlign w:val="center"/>
          </w:tcPr>
          <w:p w14:paraId="6CDC445F" w14:textId="4BF947D8" w:rsidR="00141762" w:rsidRDefault="00141762" w:rsidP="00CB34C4">
            <w:pPr>
              <w:spacing w:line="240" w:lineRule="auto"/>
              <w:jc w:val="center"/>
            </w:pPr>
            <w:r>
              <w:t>70% RH</w:t>
            </w:r>
          </w:p>
        </w:tc>
        <w:tc>
          <w:tcPr>
            <w:tcW w:w="2592" w:type="dxa"/>
            <w:tcBorders>
              <w:left w:val="single" w:sz="4" w:space="0" w:color="auto"/>
            </w:tcBorders>
            <w:vAlign w:val="center"/>
          </w:tcPr>
          <w:p w14:paraId="5937D6F0" w14:textId="68830A9E" w:rsidR="00141762" w:rsidRDefault="00141762" w:rsidP="006836DA">
            <w:pPr>
              <w:spacing w:line="240" w:lineRule="auto"/>
              <w:jc w:val="center"/>
            </w:pPr>
            <w:r>
              <w:t>21.036x</w:t>
            </w:r>
            <w:r>
              <w:rPr>
                <w:vertAlign w:val="superscript"/>
              </w:rPr>
              <w:t>-0</w:t>
            </w:r>
            <w:r w:rsidRPr="001B12B4">
              <w:rPr>
                <w:vertAlign w:val="superscript"/>
              </w:rPr>
              <w:t>.</w:t>
            </w:r>
            <w:r>
              <w:rPr>
                <w:vertAlign w:val="superscript"/>
              </w:rPr>
              <w:t>400</w:t>
            </w:r>
          </w:p>
        </w:tc>
        <w:tc>
          <w:tcPr>
            <w:tcW w:w="1152" w:type="dxa"/>
            <w:tcBorders>
              <w:right w:val="single" w:sz="4" w:space="0" w:color="auto"/>
            </w:tcBorders>
            <w:vAlign w:val="center"/>
          </w:tcPr>
          <w:p w14:paraId="4E3D9AB7" w14:textId="2BE83E70" w:rsidR="00141762" w:rsidRDefault="00141762" w:rsidP="00CB34C4">
            <w:pPr>
              <w:spacing w:line="240" w:lineRule="auto"/>
              <w:jc w:val="left"/>
            </w:pPr>
            <w:r>
              <w:t>0.9756</w:t>
            </w:r>
          </w:p>
        </w:tc>
      </w:tr>
      <w:tr w:rsidR="00141762" w14:paraId="1D7547E4" w14:textId="77777777" w:rsidTr="002A5D27">
        <w:trPr>
          <w:jc w:val="center"/>
        </w:trPr>
        <w:tc>
          <w:tcPr>
            <w:tcW w:w="2016" w:type="dxa"/>
            <w:tcBorders>
              <w:right w:val="single" w:sz="4" w:space="0" w:color="auto"/>
            </w:tcBorders>
            <w:vAlign w:val="center"/>
          </w:tcPr>
          <w:p w14:paraId="42E38B50" w14:textId="58F70B02" w:rsidR="00141762" w:rsidRDefault="00141762" w:rsidP="00CB34C4">
            <w:pPr>
              <w:spacing w:line="240" w:lineRule="auto"/>
              <w:jc w:val="center"/>
            </w:pPr>
            <w:r>
              <w:t>99% RH</w:t>
            </w:r>
          </w:p>
        </w:tc>
        <w:tc>
          <w:tcPr>
            <w:tcW w:w="2592" w:type="dxa"/>
            <w:tcBorders>
              <w:left w:val="single" w:sz="4" w:space="0" w:color="auto"/>
              <w:bottom w:val="single" w:sz="4" w:space="0" w:color="auto"/>
            </w:tcBorders>
            <w:vAlign w:val="center"/>
          </w:tcPr>
          <w:p w14:paraId="2E645E5F" w14:textId="352B8A62" w:rsidR="00141762" w:rsidRDefault="00141762" w:rsidP="006836DA">
            <w:pPr>
              <w:spacing w:line="240" w:lineRule="auto"/>
              <w:jc w:val="center"/>
            </w:pPr>
            <w:r>
              <w:t>24.706x</w:t>
            </w:r>
            <w:r>
              <w:rPr>
                <w:vertAlign w:val="superscript"/>
              </w:rPr>
              <w:t>-0</w:t>
            </w:r>
            <w:r w:rsidRPr="001B12B4">
              <w:rPr>
                <w:vertAlign w:val="superscript"/>
              </w:rPr>
              <w:t>.</w:t>
            </w:r>
            <w:r>
              <w:rPr>
                <w:vertAlign w:val="superscript"/>
              </w:rPr>
              <w:t>377</w:t>
            </w:r>
          </w:p>
        </w:tc>
        <w:tc>
          <w:tcPr>
            <w:tcW w:w="1152" w:type="dxa"/>
            <w:tcBorders>
              <w:bottom w:val="single" w:sz="4" w:space="0" w:color="auto"/>
              <w:right w:val="single" w:sz="4" w:space="0" w:color="auto"/>
            </w:tcBorders>
            <w:vAlign w:val="center"/>
          </w:tcPr>
          <w:p w14:paraId="5B8521FA" w14:textId="61752307" w:rsidR="00141762" w:rsidRDefault="00141762" w:rsidP="00CB34C4">
            <w:pPr>
              <w:spacing w:line="240" w:lineRule="auto"/>
              <w:jc w:val="left"/>
            </w:pPr>
            <w:r>
              <w:t>0.6837</w:t>
            </w:r>
          </w:p>
        </w:tc>
      </w:tr>
    </w:tbl>
    <w:p w14:paraId="65112FE1" w14:textId="77777777" w:rsidR="00CB34C4" w:rsidRDefault="00CB34C4" w:rsidP="00CB34C4">
      <w:pPr>
        <w:spacing w:line="240" w:lineRule="auto"/>
        <w:jc w:val="center"/>
      </w:pPr>
    </w:p>
    <w:p w14:paraId="66FC3ABB" w14:textId="77777777" w:rsidR="00060480" w:rsidRDefault="00FE685E" w:rsidP="00060480">
      <w:pPr>
        <w:pStyle w:val="Heading2"/>
      </w:pPr>
      <w:bookmarkStart w:id="106" w:name="_Ref460937403"/>
      <w:bookmarkStart w:id="107" w:name="_Toc346310976"/>
      <w:r>
        <w:t>S</w:t>
      </w:r>
      <w:r w:rsidR="00E96BD0">
        <w:t>canning Electron Microscope Evaluation</w:t>
      </w:r>
      <w:bookmarkEnd w:id="106"/>
      <w:bookmarkEnd w:id="107"/>
    </w:p>
    <w:p w14:paraId="7565FA63" w14:textId="59E95F3D" w:rsidR="002667AA" w:rsidRDefault="002667AA" w:rsidP="00EA79C6">
      <w:pPr>
        <w:ind w:firstLine="360"/>
      </w:pPr>
      <w:r>
        <w:t xml:space="preserve">It was also of interest to examine the effect </w:t>
      </w:r>
      <w:r w:rsidR="00BD018B">
        <w:t>humidity exposure and fabrication pressure</w:t>
      </w:r>
      <w:r>
        <w:t xml:space="preserve"> had on </w:t>
      </w:r>
      <w:r w:rsidR="00EA79C6">
        <w:t>the</w:t>
      </w:r>
      <w:r w:rsidR="00916B00">
        <w:t xml:space="preserve"> </w:t>
      </w:r>
      <w:r>
        <w:t xml:space="preserve">size and </w:t>
      </w:r>
      <w:r w:rsidR="00EA79C6">
        <w:t xml:space="preserve">spatial </w:t>
      </w:r>
      <w:r w:rsidR="00BD018B">
        <w:t>distribution of voids for</w:t>
      </w:r>
      <w:r>
        <w:t xml:space="preserve"> the laminates.</w:t>
      </w:r>
      <w:r w:rsidR="00EA79C6">
        <w:t xml:space="preserve">  </w:t>
      </w:r>
      <w:r>
        <w:t>Two specimens from each laminate was embedded in a quick cure acrylic resin with a cross-section of the through-the-thickness oriented vertically up and polished with grit sizes ranging from 15</w:t>
      </w:r>
      <w:r>
        <w:rPr>
          <w:rFonts w:cstheme="minorHAnsi"/>
        </w:rPr>
        <w:t>µ</w:t>
      </w:r>
      <w:r>
        <w:t>m to 1.9</w:t>
      </w:r>
      <w:r>
        <w:rPr>
          <w:rFonts w:cstheme="minorHAnsi"/>
        </w:rPr>
        <w:t>µ</w:t>
      </w:r>
      <w:r>
        <w:t>m in three successive steps.  The samples were then sputter coated with gold/palladium to mitigate sample charging and cross-sectional images were acquir</w:t>
      </w:r>
      <w:r w:rsidR="0014039B">
        <w:t>ed using a Zeiss NEON FEG-SEM.</w:t>
      </w:r>
    </w:p>
    <w:p w14:paraId="795EFEC4" w14:textId="77777777" w:rsidR="00BD018B" w:rsidRPr="00C068DA" w:rsidRDefault="00BD018B" w:rsidP="00BD018B">
      <w:pPr>
        <w:pStyle w:val="Heading3"/>
      </w:pPr>
      <w:bookmarkStart w:id="108" w:name="_Ref346284361"/>
      <w:bookmarkStart w:id="109" w:name="_Toc346310977"/>
      <w:bookmarkStart w:id="110" w:name="_Ref343860102"/>
      <w:r w:rsidRPr="00C068DA">
        <w:t>Humidity and</w:t>
      </w:r>
      <w:r>
        <w:t xml:space="preserve"> Processing Effect on Void Size and Spatial Distribution for Quartz/BMI Prepregs</w:t>
      </w:r>
      <w:bookmarkEnd w:id="108"/>
      <w:bookmarkEnd w:id="109"/>
    </w:p>
    <w:p w14:paraId="4C60AE9F" w14:textId="4094F2CD" w:rsidR="00BD018B" w:rsidRDefault="00BD018B" w:rsidP="00BD018B">
      <w:pPr>
        <w:ind w:firstLine="360"/>
      </w:pPr>
      <w:r>
        <w:t xml:space="preserve">The SEM images revealed the formation of many large-scale voids, which were primarily located in the intra-tow regions and ply-to-ply interface. </w:t>
      </w:r>
      <w:r>
        <w:fldChar w:fldCharType="begin"/>
      </w:r>
      <w:r>
        <w:instrText xml:space="preserve"> REF _Ref346283831 \h </w:instrText>
      </w:r>
      <w:r>
        <w:fldChar w:fldCharType="separate"/>
      </w:r>
      <w:r w:rsidR="008A1992" w:rsidRPr="00C16D85">
        <w:t xml:space="preserve">Figure </w:t>
      </w:r>
      <w:r w:rsidR="008A1992">
        <w:rPr>
          <w:noProof/>
        </w:rPr>
        <w:t>2</w:t>
      </w:r>
      <w:r w:rsidR="008A1992">
        <w:t>.</w:t>
      </w:r>
      <w:r w:rsidR="008A1992">
        <w:rPr>
          <w:noProof/>
        </w:rPr>
        <w:t>15</w:t>
      </w:r>
      <w:r>
        <w:fldChar w:fldCharType="end"/>
      </w:r>
      <w:r>
        <w:t xml:space="preserve"> contains </w:t>
      </w:r>
      <w:r>
        <w:lastRenderedPageBreak/>
        <w:t>representative images of prepregs conditioned at the lowest relative humidity level (2% RH) and subsequently cured at each of the four fabrication pressures (68.9, 206.8, 344.7, 482.6 kPa).  The low conditioning level resulted in the lowest prepreg moisture content and would therefore produce the lowest microvoid content for a given cure pressure.  Each fabrication pressure for BMI matrix laminates featured several elongated voids that were located between plies and fiber bundles.  Some of the larger voids measured over 1 mm in length, which equates to about 50% of the through-the-thickness measurement.</w:t>
      </w:r>
    </w:p>
    <w:p w14:paraId="3417E8B2" w14:textId="77777777" w:rsidR="00BD018B" w:rsidRDefault="00BD018B" w:rsidP="00BD018B">
      <w:pPr>
        <w:ind w:firstLine="360"/>
      </w:pPr>
    </w:p>
    <w:p w14:paraId="1446D3D3" w14:textId="77777777" w:rsidR="00BD018B" w:rsidRDefault="00BD018B" w:rsidP="00BD018B">
      <w:pPr>
        <w:keepNext/>
        <w:jc w:val="center"/>
      </w:pPr>
      <w:r>
        <w:rPr>
          <w:noProof/>
        </w:rPr>
        <w:drawing>
          <wp:inline distT="0" distB="0" distL="0" distR="0" wp14:anchorId="16882030" wp14:editId="7F477C85">
            <wp:extent cx="5394960" cy="323596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jpg"/>
                    <pic:cNvPicPr/>
                  </pic:nvPicPr>
                  <pic:blipFill>
                    <a:blip r:embed="rId58">
                      <a:extLst>
                        <a:ext uri="{28A0092B-C50C-407E-A947-70E740481C1C}">
                          <a14:useLocalDpi xmlns:a14="http://schemas.microsoft.com/office/drawing/2010/main" val="0"/>
                        </a:ext>
                      </a:extLst>
                    </a:blip>
                    <a:stretch>
                      <a:fillRect/>
                    </a:stretch>
                  </pic:blipFill>
                  <pic:spPr>
                    <a:xfrm>
                      <a:off x="0" y="0"/>
                      <a:ext cx="5394960" cy="3235960"/>
                    </a:xfrm>
                    <a:prstGeom prst="rect">
                      <a:avLst/>
                    </a:prstGeom>
                  </pic:spPr>
                </pic:pic>
              </a:graphicData>
            </a:graphic>
          </wp:inline>
        </w:drawing>
      </w:r>
    </w:p>
    <w:p w14:paraId="7C39135A" w14:textId="77777777" w:rsidR="00BD018B" w:rsidRPr="00C16D85" w:rsidRDefault="00BD018B" w:rsidP="00BD018B">
      <w:pPr>
        <w:pStyle w:val="Caption"/>
        <w:spacing w:line="240" w:lineRule="auto"/>
        <w:jc w:val="center"/>
        <w:rPr>
          <w:sz w:val="24"/>
        </w:rPr>
      </w:pPr>
      <w:bookmarkStart w:id="111" w:name="_Ref346283831"/>
      <w:bookmarkStart w:id="112" w:name="_Toc346310423"/>
      <w:proofErr w:type="gramStart"/>
      <w:r w:rsidRPr="00C16D85">
        <w:rPr>
          <w:sz w:val="24"/>
        </w:rPr>
        <w:t xml:space="preserve">Figure </w:t>
      </w:r>
      <w:r>
        <w:rPr>
          <w:sz w:val="24"/>
        </w:rPr>
        <w:fldChar w:fldCharType="begin"/>
      </w:r>
      <w:r>
        <w:rPr>
          <w:sz w:val="24"/>
        </w:rPr>
        <w:instrText xml:space="preserve"> STYLEREF 1 \s </w:instrText>
      </w:r>
      <w:r>
        <w:rPr>
          <w:sz w:val="24"/>
        </w:rPr>
        <w:fldChar w:fldCharType="separate"/>
      </w:r>
      <w:r w:rsidR="008A1992">
        <w:rPr>
          <w:noProof/>
          <w:sz w:val="24"/>
        </w:rPr>
        <w:t>2</w:t>
      </w:r>
      <w:r>
        <w:rPr>
          <w:sz w:val="24"/>
        </w:rPr>
        <w:fldChar w:fldCharType="end"/>
      </w:r>
      <w:r>
        <w:rPr>
          <w:sz w:val="24"/>
        </w:rPr>
        <w:t>.</w:t>
      </w:r>
      <w:proofErr w:type="gramEnd"/>
      <w:r>
        <w:rPr>
          <w:sz w:val="24"/>
        </w:rPr>
        <w:fldChar w:fldCharType="begin"/>
      </w:r>
      <w:r>
        <w:rPr>
          <w:sz w:val="24"/>
        </w:rPr>
        <w:instrText xml:space="preserve"> SEQ Figure \* ARABIC \s 1 </w:instrText>
      </w:r>
      <w:r>
        <w:rPr>
          <w:sz w:val="24"/>
        </w:rPr>
        <w:fldChar w:fldCharType="separate"/>
      </w:r>
      <w:r w:rsidR="008A1992">
        <w:rPr>
          <w:noProof/>
          <w:sz w:val="24"/>
        </w:rPr>
        <w:t>15</w:t>
      </w:r>
      <w:r>
        <w:rPr>
          <w:sz w:val="24"/>
        </w:rPr>
        <w:fldChar w:fldCharType="end"/>
      </w:r>
      <w:bookmarkEnd w:id="111"/>
      <w:r>
        <w:rPr>
          <w:sz w:val="24"/>
        </w:rPr>
        <w:t xml:space="preserve"> </w:t>
      </w:r>
      <w:r w:rsidRPr="00BC46EA">
        <w:rPr>
          <w:sz w:val="24"/>
        </w:rPr>
        <w:t>SEM image</w:t>
      </w:r>
      <w:r>
        <w:rPr>
          <w:sz w:val="24"/>
        </w:rPr>
        <w:t>s</w:t>
      </w:r>
      <w:r w:rsidRPr="00BC46EA">
        <w:rPr>
          <w:sz w:val="24"/>
        </w:rPr>
        <w:t xml:space="preserve"> of Quartz/BMI laminates fabricated from prepregs</w:t>
      </w:r>
      <w:r>
        <w:rPr>
          <w:sz w:val="24"/>
        </w:rPr>
        <w:t xml:space="preserve"> conditioned at 2% relative humidity and cured at a) 69 kPa, b) 207 kPa, c) 345 kPa, and d) 483 kPa</w:t>
      </w:r>
      <w:bookmarkEnd w:id="112"/>
    </w:p>
    <w:p w14:paraId="34A84B66" w14:textId="77777777" w:rsidR="00BD018B" w:rsidRDefault="00BD018B" w:rsidP="00BD018B">
      <w:pPr>
        <w:ind w:firstLine="360"/>
      </w:pPr>
    </w:p>
    <w:p w14:paraId="37614A84" w14:textId="77777777" w:rsidR="00BD018B" w:rsidRDefault="00BD018B" w:rsidP="00BD018B">
      <w:pPr>
        <w:ind w:firstLine="360"/>
      </w:pPr>
    </w:p>
    <w:p w14:paraId="2A748837" w14:textId="301AD391" w:rsidR="00BD018B" w:rsidRDefault="00BD018B" w:rsidP="00BD018B">
      <w:pPr>
        <w:ind w:firstLine="360"/>
      </w:pPr>
      <w:r>
        <w:lastRenderedPageBreak/>
        <w:fldChar w:fldCharType="begin"/>
      </w:r>
      <w:r>
        <w:instrText xml:space="preserve"> REF _Ref346283855 \h </w:instrText>
      </w:r>
      <w:r>
        <w:fldChar w:fldCharType="separate"/>
      </w:r>
      <w:r w:rsidR="008A1992" w:rsidRPr="00C16D85">
        <w:t xml:space="preserve">Figure </w:t>
      </w:r>
      <w:r w:rsidR="008A1992">
        <w:rPr>
          <w:noProof/>
        </w:rPr>
        <w:t>2</w:t>
      </w:r>
      <w:r w:rsidR="008A1992">
        <w:t>.</w:t>
      </w:r>
      <w:r w:rsidR="008A1992">
        <w:rPr>
          <w:noProof/>
        </w:rPr>
        <w:t>16</w:t>
      </w:r>
      <w:r>
        <w:fldChar w:fldCharType="end"/>
      </w:r>
      <w:r>
        <w:t xml:space="preserve"> contains representative images of laminates cured at the highest fabrication pressure (482.6 kPa) from each of the </w:t>
      </w:r>
      <w:proofErr w:type="gramStart"/>
      <w:r>
        <w:t>four prepreg</w:t>
      </w:r>
      <w:proofErr w:type="gramEnd"/>
      <w:r>
        <w:t xml:space="preserve"> conditioning levels (2%, 40%, 70%, 99% RH).  Generally, the spatial distribution</w:t>
      </w:r>
      <w:r w:rsidRPr="00C20F2B">
        <w:t xml:space="preserve"> </w:t>
      </w:r>
      <w:r>
        <w:t>throughout the thickness of the laminate did not change as a result of increasing prepreg conditioning level or fabrication pressure.  As fabrication pressure increased, the void morphology became more elongated, or void aspect ratio increased.  In addition to the many large-scale voids, the laminates exhibited many microscale voids with diameters equivalent to the fiber diameter.  These microscale voids were predominantly located within the fiber tows.  The laminate thickness reduced by approximately 20% as fabrication pressure increased from 68.9 kPa to 482.6 kPa.  Varying prepreg moisture content with different relative humidity levels did not have a discernible effect on the void morphology or distribution for the laminates.  The average void content increased in a near-linear fashion as relative humidity conditioning increased.  Laminates fabricated at lower cure pressures had a larger range of microvoid contents due to variations in the prepreg relative humidity exposure level.</w:t>
      </w:r>
    </w:p>
    <w:p w14:paraId="539A6CC9" w14:textId="77777777" w:rsidR="00BD018B" w:rsidRDefault="00BD018B" w:rsidP="00BD018B">
      <w:pPr>
        <w:ind w:firstLine="360"/>
      </w:pPr>
    </w:p>
    <w:p w14:paraId="664C4DCF" w14:textId="77777777" w:rsidR="00BD018B" w:rsidRDefault="00BD018B" w:rsidP="00BD018B">
      <w:pPr>
        <w:keepNext/>
        <w:jc w:val="center"/>
      </w:pPr>
      <w:r>
        <w:rPr>
          <w:noProof/>
        </w:rPr>
        <w:lastRenderedPageBreak/>
        <w:drawing>
          <wp:inline distT="0" distB="0" distL="0" distR="0" wp14:anchorId="7480E529" wp14:editId="0FE45700">
            <wp:extent cx="5394960" cy="323596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jpg"/>
                    <pic:cNvPicPr/>
                  </pic:nvPicPr>
                  <pic:blipFill>
                    <a:blip r:embed="rId59">
                      <a:extLst>
                        <a:ext uri="{28A0092B-C50C-407E-A947-70E740481C1C}">
                          <a14:useLocalDpi xmlns:a14="http://schemas.microsoft.com/office/drawing/2010/main" val="0"/>
                        </a:ext>
                      </a:extLst>
                    </a:blip>
                    <a:stretch>
                      <a:fillRect/>
                    </a:stretch>
                  </pic:blipFill>
                  <pic:spPr>
                    <a:xfrm>
                      <a:off x="0" y="0"/>
                      <a:ext cx="5394960" cy="3235960"/>
                    </a:xfrm>
                    <a:prstGeom prst="rect">
                      <a:avLst/>
                    </a:prstGeom>
                  </pic:spPr>
                </pic:pic>
              </a:graphicData>
            </a:graphic>
          </wp:inline>
        </w:drawing>
      </w:r>
    </w:p>
    <w:p w14:paraId="1851E288" w14:textId="77777777" w:rsidR="00BD018B" w:rsidRPr="00C16D85" w:rsidRDefault="00BD018B" w:rsidP="00BD018B">
      <w:pPr>
        <w:pStyle w:val="Caption"/>
        <w:spacing w:line="240" w:lineRule="auto"/>
        <w:jc w:val="center"/>
        <w:rPr>
          <w:sz w:val="24"/>
        </w:rPr>
      </w:pPr>
      <w:bookmarkStart w:id="113" w:name="_Ref346283855"/>
      <w:bookmarkStart w:id="114" w:name="_Toc346310424"/>
      <w:proofErr w:type="gramStart"/>
      <w:r w:rsidRPr="00C16D85">
        <w:rPr>
          <w:sz w:val="24"/>
        </w:rPr>
        <w:t xml:space="preserve">Figure </w:t>
      </w:r>
      <w:r>
        <w:rPr>
          <w:sz w:val="24"/>
        </w:rPr>
        <w:fldChar w:fldCharType="begin"/>
      </w:r>
      <w:r>
        <w:rPr>
          <w:sz w:val="24"/>
        </w:rPr>
        <w:instrText xml:space="preserve"> STYLEREF 1 \s </w:instrText>
      </w:r>
      <w:r>
        <w:rPr>
          <w:sz w:val="24"/>
        </w:rPr>
        <w:fldChar w:fldCharType="separate"/>
      </w:r>
      <w:r w:rsidR="008A1992">
        <w:rPr>
          <w:noProof/>
          <w:sz w:val="24"/>
        </w:rPr>
        <w:t>2</w:t>
      </w:r>
      <w:r>
        <w:rPr>
          <w:sz w:val="24"/>
        </w:rPr>
        <w:fldChar w:fldCharType="end"/>
      </w:r>
      <w:r>
        <w:rPr>
          <w:sz w:val="24"/>
        </w:rPr>
        <w:t>.</w:t>
      </w:r>
      <w:proofErr w:type="gramEnd"/>
      <w:r>
        <w:rPr>
          <w:sz w:val="24"/>
        </w:rPr>
        <w:fldChar w:fldCharType="begin"/>
      </w:r>
      <w:r>
        <w:rPr>
          <w:sz w:val="24"/>
        </w:rPr>
        <w:instrText xml:space="preserve"> SEQ Figure \* ARABIC \s 1 </w:instrText>
      </w:r>
      <w:r>
        <w:rPr>
          <w:sz w:val="24"/>
        </w:rPr>
        <w:fldChar w:fldCharType="separate"/>
      </w:r>
      <w:r w:rsidR="008A1992">
        <w:rPr>
          <w:noProof/>
          <w:sz w:val="24"/>
        </w:rPr>
        <w:t>16</w:t>
      </w:r>
      <w:r>
        <w:rPr>
          <w:sz w:val="24"/>
        </w:rPr>
        <w:fldChar w:fldCharType="end"/>
      </w:r>
      <w:bookmarkEnd w:id="113"/>
      <w:r>
        <w:rPr>
          <w:sz w:val="24"/>
        </w:rPr>
        <w:t xml:space="preserve"> </w:t>
      </w:r>
      <w:r w:rsidRPr="00BC46EA">
        <w:rPr>
          <w:sz w:val="24"/>
        </w:rPr>
        <w:t xml:space="preserve">SEM images of Quartz/BMI laminates fabricated </w:t>
      </w:r>
      <w:r>
        <w:rPr>
          <w:sz w:val="24"/>
        </w:rPr>
        <w:t xml:space="preserve">at 483 kPa </w:t>
      </w:r>
      <w:r w:rsidRPr="00BC46EA">
        <w:rPr>
          <w:sz w:val="24"/>
        </w:rPr>
        <w:t>from prepregs</w:t>
      </w:r>
      <w:r>
        <w:rPr>
          <w:sz w:val="24"/>
        </w:rPr>
        <w:t xml:space="preserve"> conditioned at a) 2% relative humidity, b) 40% relative humidity, c) 70% relative humidity, and d) 99% relative humidity</w:t>
      </w:r>
      <w:bookmarkEnd w:id="114"/>
    </w:p>
    <w:p w14:paraId="186C3734" w14:textId="77777777" w:rsidR="00BD018B" w:rsidRDefault="00BD018B" w:rsidP="00BD018B"/>
    <w:p w14:paraId="0A8E776C" w14:textId="77777777" w:rsidR="00BD018B" w:rsidRDefault="00BD018B" w:rsidP="00BD018B"/>
    <w:p w14:paraId="060F9D97" w14:textId="77777777" w:rsidR="0014039B" w:rsidRDefault="0014039B" w:rsidP="0014039B">
      <w:pPr>
        <w:pStyle w:val="Heading3"/>
      </w:pPr>
      <w:bookmarkStart w:id="115" w:name="_Ref346284379"/>
      <w:bookmarkStart w:id="116" w:name="_Toc346310978"/>
      <w:r w:rsidRPr="00C068DA">
        <w:t>Humidity and</w:t>
      </w:r>
      <w:r>
        <w:t xml:space="preserve"> Processing Effect on Void Size and Spatial Distribution for Quartz/Epoxy Prepreg</w:t>
      </w:r>
      <w:bookmarkEnd w:id="110"/>
      <w:bookmarkEnd w:id="115"/>
      <w:bookmarkEnd w:id="116"/>
    </w:p>
    <w:p w14:paraId="01F9D436" w14:textId="3024E3E4" w:rsidR="00656E41" w:rsidRDefault="0014039B" w:rsidP="0014039B">
      <w:pPr>
        <w:ind w:firstLine="360"/>
      </w:pPr>
      <w:r>
        <w:t xml:space="preserve">The SEM images for Quartz/Epoxy laminates revealed more spherical shaped voids, which were primarily located in resin-rich regions and the ply-to-ply interface. </w:t>
      </w:r>
      <w:r w:rsidR="00C16D85">
        <w:t xml:space="preserve"> </w:t>
      </w:r>
      <w:r w:rsidR="00C16D85">
        <w:fldChar w:fldCharType="begin"/>
      </w:r>
      <w:r w:rsidR="00C16D85">
        <w:instrText xml:space="preserve"> REF _Ref344716820 \h </w:instrText>
      </w:r>
      <w:r w:rsidR="00C16D85">
        <w:fldChar w:fldCharType="separate"/>
      </w:r>
      <w:r w:rsidR="008A1992" w:rsidRPr="0017632B">
        <w:t xml:space="preserve">Figure </w:t>
      </w:r>
      <w:r w:rsidR="008A1992">
        <w:rPr>
          <w:noProof/>
        </w:rPr>
        <w:t>2</w:t>
      </w:r>
      <w:r w:rsidR="008A1992">
        <w:t>.</w:t>
      </w:r>
      <w:r w:rsidR="008A1992">
        <w:rPr>
          <w:noProof/>
        </w:rPr>
        <w:t>17</w:t>
      </w:r>
      <w:r w:rsidR="00C16D85">
        <w:fldChar w:fldCharType="end"/>
      </w:r>
      <w:r w:rsidR="00C16D85">
        <w:t xml:space="preserve"> </w:t>
      </w:r>
      <w:r>
        <w:t xml:space="preserve">contains representative images of prepregs conditioned at the lowest relative humidity level (2% RH) and subsequently cured at each of the four fabrication pressures (68.9, 206.8, 344.7, 482.6 kPa).  The largest voids occurred at the lowest fabrication pressure, and measured up to 0.5 mm in length and had aspect ratios ranging from 1 to 3.  As fabrication pressure increased, the effective area of the voids </w:t>
      </w:r>
      <w:r>
        <w:lastRenderedPageBreak/>
        <w:t>significantly decreased with voids having diameters on the microscale level and being of a similar scale to the quartz fiber reinforcement.</w:t>
      </w:r>
    </w:p>
    <w:p w14:paraId="6FE93EBB" w14:textId="77777777" w:rsidR="00656E41" w:rsidRDefault="00656E41" w:rsidP="0014039B">
      <w:pPr>
        <w:ind w:firstLine="360"/>
      </w:pPr>
    </w:p>
    <w:p w14:paraId="79A863E5" w14:textId="77777777" w:rsidR="0017632B" w:rsidRDefault="0017632B" w:rsidP="0017632B">
      <w:pPr>
        <w:keepNext/>
        <w:jc w:val="center"/>
      </w:pPr>
      <w:r>
        <w:rPr>
          <w:noProof/>
        </w:rPr>
        <w:drawing>
          <wp:inline distT="0" distB="0" distL="0" distR="0" wp14:anchorId="12A9AD0C" wp14:editId="15063DE0">
            <wp:extent cx="5394960" cy="323596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3.jpg"/>
                    <pic:cNvPicPr/>
                  </pic:nvPicPr>
                  <pic:blipFill>
                    <a:blip r:embed="rId60">
                      <a:extLst>
                        <a:ext uri="{28A0092B-C50C-407E-A947-70E740481C1C}">
                          <a14:useLocalDpi xmlns:a14="http://schemas.microsoft.com/office/drawing/2010/main" val="0"/>
                        </a:ext>
                      </a:extLst>
                    </a:blip>
                    <a:stretch>
                      <a:fillRect/>
                    </a:stretch>
                  </pic:blipFill>
                  <pic:spPr>
                    <a:xfrm>
                      <a:off x="0" y="0"/>
                      <a:ext cx="5394960" cy="3235960"/>
                    </a:xfrm>
                    <a:prstGeom prst="rect">
                      <a:avLst/>
                    </a:prstGeom>
                  </pic:spPr>
                </pic:pic>
              </a:graphicData>
            </a:graphic>
          </wp:inline>
        </w:drawing>
      </w:r>
    </w:p>
    <w:p w14:paraId="345A0726" w14:textId="28B8929B" w:rsidR="00656E41" w:rsidRPr="0017632B" w:rsidRDefault="0017632B" w:rsidP="0017632B">
      <w:pPr>
        <w:pStyle w:val="Caption"/>
        <w:spacing w:line="240" w:lineRule="auto"/>
        <w:jc w:val="center"/>
        <w:rPr>
          <w:sz w:val="24"/>
        </w:rPr>
      </w:pPr>
      <w:bookmarkStart w:id="117" w:name="_Ref344716820"/>
      <w:bookmarkStart w:id="118" w:name="_Toc346310425"/>
      <w:proofErr w:type="gramStart"/>
      <w:r w:rsidRPr="0017632B">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2</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17</w:t>
      </w:r>
      <w:r w:rsidR="00C16D85">
        <w:rPr>
          <w:sz w:val="24"/>
        </w:rPr>
        <w:fldChar w:fldCharType="end"/>
      </w:r>
      <w:bookmarkEnd w:id="117"/>
      <w:r>
        <w:rPr>
          <w:sz w:val="24"/>
        </w:rPr>
        <w:t xml:space="preserve"> </w:t>
      </w:r>
      <w:r w:rsidRPr="001D3E83">
        <w:rPr>
          <w:sz w:val="24"/>
        </w:rPr>
        <w:t xml:space="preserve">SEM images </w:t>
      </w:r>
      <w:r>
        <w:rPr>
          <w:sz w:val="24"/>
        </w:rPr>
        <w:t>of Quartz/Epoxy</w:t>
      </w:r>
      <w:r w:rsidRPr="00BC46EA">
        <w:rPr>
          <w:sz w:val="24"/>
        </w:rPr>
        <w:t xml:space="preserve"> laminates fabricated from prepregs</w:t>
      </w:r>
      <w:r>
        <w:rPr>
          <w:sz w:val="24"/>
        </w:rPr>
        <w:t xml:space="preserve"> conditioned at 2% relative humidity and cured at a) 69 kPa, b) 207 kPa, c) 345 kPa, and d) 483 kPa</w:t>
      </w:r>
      <w:bookmarkEnd w:id="118"/>
    </w:p>
    <w:p w14:paraId="7CD11AE9" w14:textId="77777777" w:rsidR="00656E41" w:rsidRDefault="00656E41" w:rsidP="0014039B">
      <w:pPr>
        <w:ind w:firstLine="360"/>
      </w:pPr>
    </w:p>
    <w:p w14:paraId="12475DB3" w14:textId="77777777" w:rsidR="00C16D85" w:rsidRDefault="00C16D85" w:rsidP="0014039B">
      <w:pPr>
        <w:ind w:firstLine="360"/>
      </w:pPr>
    </w:p>
    <w:p w14:paraId="201D686C" w14:textId="113C5C62" w:rsidR="0014039B" w:rsidRDefault="0014039B" w:rsidP="0014039B">
      <w:pPr>
        <w:ind w:firstLine="360"/>
      </w:pPr>
      <w:r>
        <w:t xml:space="preserve"> </w:t>
      </w:r>
      <w:r w:rsidR="00C16D85">
        <w:fldChar w:fldCharType="begin"/>
      </w:r>
      <w:r w:rsidR="00C16D85">
        <w:instrText xml:space="preserve"> REF _Ref344716791 \h </w:instrText>
      </w:r>
      <w:r w:rsidR="00C16D85">
        <w:fldChar w:fldCharType="separate"/>
      </w:r>
      <w:r w:rsidR="008A1992" w:rsidRPr="0017632B">
        <w:t xml:space="preserve">Figure </w:t>
      </w:r>
      <w:r w:rsidR="008A1992">
        <w:rPr>
          <w:noProof/>
        </w:rPr>
        <w:t>2</w:t>
      </w:r>
      <w:r w:rsidR="008A1992">
        <w:t>.</w:t>
      </w:r>
      <w:r w:rsidR="008A1992">
        <w:rPr>
          <w:noProof/>
        </w:rPr>
        <w:t>18</w:t>
      </w:r>
      <w:r w:rsidR="00C16D85">
        <w:fldChar w:fldCharType="end"/>
      </w:r>
      <w:r w:rsidR="00C16D85">
        <w:t xml:space="preserve"> </w:t>
      </w:r>
      <w:r>
        <w:t xml:space="preserve">contains representative images of laminates cured at the highest fabrication pressure (482.6 kPa) from each of the </w:t>
      </w:r>
      <w:proofErr w:type="gramStart"/>
      <w:r>
        <w:t>four prepreg</w:t>
      </w:r>
      <w:proofErr w:type="gramEnd"/>
      <w:r>
        <w:t xml:space="preserve"> conditioning levels (2%, 40%, 70%, 99% RH).  Similar to the BMI matrix laminates, the spatial distribution</w:t>
      </w:r>
      <w:r w:rsidRPr="00C20F2B">
        <w:t xml:space="preserve"> </w:t>
      </w:r>
      <w:r>
        <w:t xml:space="preserve">throughout the thickness of the laminate did not change as a result of increasing prepreg conditioning level or fabrication pressure.  Increasing prepreg relative humidity conditioning levels resulted in the void effective diameter and aspect ratios increasing substantially.  The average void </w:t>
      </w:r>
      <w:r w:rsidR="00EA1C41">
        <w:t>fraction</w:t>
      </w:r>
      <w:r>
        <w:t xml:space="preserve"> increased in a near-linear fashion as relative </w:t>
      </w:r>
      <w:r>
        <w:lastRenderedPageBreak/>
        <w:t>humidity conditioning increased.  Laminates fabricated at lower cure pressures had a larger range of microvoid contents due to variations in the prepreg relative humidity exposure level.</w:t>
      </w:r>
    </w:p>
    <w:p w14:paraId="71BB731C" w14:textId="77777777" w:rsidR="0017632B" w:rsidRDefault="0017632B" w:rsidP="0014039B">
      <w:pPr>
        <w:ind w:firstLine="360"/>
      </w:pPr>
    </w:p>
    <w:p w14:paraId="589090E4" w14:textId="77777777" w:rsidR="0017632B" w:rsidRDefault="0017632B" w:rsidP="0017632B">
      <w:pPr>
        <w:keepNext/>
        <w:jc w:val="center"/>
      </w:pPr>
      <w:r>
        <w:rPr>
          <w:noProof/>
        </w:rPr>
        <w:drawing>
          <wp:inline distT="0" distB="0" distL="0" distR="0" wp14:anchorId="3A0DCF41" wp14:editId="00E3DE4C">
            <wp:extent cx="5394960" cy="323596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4.jpg"/>
                    <pic:cNvPicPr/>
                  </pic:nvPicPr>
                  <pic:blipFill>
                    <a:blip r:embed="rId61">
                      <a:extLst>
                        <a:ext uri="{28A0092B-C50C-407E-A947-70E740481C1C}">
                          <a14:useLocalDpi xmlns:a14="http://schemas.microsoft.com/office/drawing/2010/main" val="0"/>
                        </a:ext>
                      </a:extLst>
                    </a:blip>
                    <a:stretch>
                      <a:fillRect/>
                    </a:stretch>
                  </pic:blipFill>
                  <pic:spPr>
                    <a:xfrm>
                      <a:off x="0" y="0"/>
                      <a:ext cx="5394960" cy="3235960"/>
                    </a:xfrm>
                    <a:prstGeom prst="rect">
                      <a:avLst/>
                    </a:prstGeom>
                  </pic:spPr>
                </pic:pic>
              </a:graphicData>
            </a:graphic>
          </wp:inline>
        </w:drawing>
      </w:r>
    </w:p>
    <w:p w14:paraId="3F3BEF42" w14:textId="31737B72" w:rsidR="0017632B" w:rsidRPr="0017632B" w:rsidRDefault="0017632B" w:rsidP="0017632B">
      <w:pPr>
        <w:pStyle w:val="Caption"/>
        <w:spacing w:line="240" w:lineRule="auto"/>
        <w:jc w:val="center"/>
        <w:rPr>
          <w:sz w:val="24"/>
        </w:rPr>
      </w:pPr>
      <w:bookmarkStart w:id="119" w:name="_Ref344716791"/>
      <w:bookmarkStart w:id="120" w:name="_Toc346310426"/>
      <w:proofErr w:type="gramStart"/>
      <w:r w:rsidRPr="0017632B">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2</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18</w:t>
      </w:r>
      <w:r w:rsidR="00C16D85">
        <w:rPr>
          <w:sz w:val="24"/>
        </w:rPr>
        <w:fldChar w:fldCharType="end"/>
      </w:r>
      <w:bookmarkEnd w:id="119"/>
      <w:r>
        <w:rPr>
          <w:sz w:val="24"/>
        </w:rPr>
        <w:t xml:space="preserve"> </w:t>
      </w:r>
      <w:r w:rsidRPr="001D3E83">
        <w:rPr>
          <w:sz w:val="24"/>
        </w:rPr>
        <w:t xml:space="preserve">SEM images </w:t>
      </w:r>
      <w:r>
        <w:rPr>
          <w:sz w:val="24"/>
        </w:rPr>
        <w:t>of Quartz/Epoxy</w:t>
      </w:r>
      <w:r w:rsidRPr="00BC46EA">
        <w:rPr>
          <w:sz w:val="24"/>
        </w:rPr>
        <w:t xml:space="preserve"> laminates fabricated </w:t>
      </w:r>
      <w:r>
        <w:rPr>
          <w:sz w:val="24"/>
        </w:rPr>
        <w:t xml:space="preserve">at 483 kPa </w:t>
      </w:r>
      <w:r w:rsidRPr="00BC46EA">
        <w:rPr>
          <w:sz w:val="24"/>
        </w:rPr>
        <w:t>from prepregs</w:t>
      </w:r>
      <w:r>
        <w:rPr>
          <w:sz w:val="24"/>
        </w:rPr>
        <w:t xml:space="preserve"> conditioned at a) 2% relative humidity, b) 40% relative humidity, c) 70% relative humidity, and d) 99% relative humidity</w:t>
      </w:r>
      <w:bookmarkEnd w:id="120"/>
    </w:p>
    <w:p w14:paraId="4609DCBA" w14:textId="77777777" w:rsidR="008018A6" w:rsidRDefault="008018A6" w:rsidP="0014039B">
      <w:pPr>
        <w:ind w:firstLine="360"/>
      </w:pPr>
    </w:p>
    <w:p w14:paraId="11648608" w14:textId="77777777" w:rsidR="00C16D85" w:rsidRDefault="00C16D85" w:rsidP="00C16D85"/>
    <w:p w14:paraId="12FCC941" w14:textId="77777777" w:rsidR="00A35B47" w:rsidRDefault="00EA79C6" w:rsidP="00EA79C6">
      <w:pPr>
        <w:pStyle w:val="Heading3"/>
      </w:pPr>
      <w:bookmarkStart w:id="121" w:name="_Ref460937987"/>
      <w:bookmarkStart w:id="122" w:name="_Toc346310979"/>
      <w:r w:rsidRPr="00C068DA">
        <w:t>Humidity and</w:t>
      </w:r>
      <w:r>
        <w:t xml:space="preserve"> Processing Effect on Void Size and Distribution for </w:t>
      </w:r>
      <w:r w:rsidR="00A35B47">
        <w:t>Carbon / Epoxy Prepreg</w:t>
      </w:r>
      <w:bookmarkEnd w:id="121"/>
      <w:bookmarkEnd w:id="122"/>
    </w:p>
    <w:p w14:paraId="5876A683" w14:textId="5017B79C" w:rsidR="00C16D85" w:rsidRDefault="00FA2241" w:rsidP="00F41017">
      <w:pPr>
        <w:ind w:firstLine="360"/>
      </w:pPr>
      <w:r>
        <w:t xml:space="preserve">The microvoid content for carbon-reinforced laminates was significantly lower than the other </w:t>
      </w:r>
      <w:proofErr w:type="gramStart"/>
      <w:r>
        <w:t>two prepreg</w:t>
      </w:r>
      <w:proofErr w:type="gramEnd"/>
      <w:r>
        <w:t xml:space="preserve"> materials in this study.  The SEM images for Carbon/Epoxy laminates revealed </w:t>
      </w:r>
      <w:proofErr w:type="gramStart"/>
      <w:r>
        <w:t>sporadic,</w:t>
      </w:r>
      <w:proofErr w:type="gramEnd"/>
      <w:r>
        <w:t xml:space="preserve"> slightly elongated voids, which were primarily located in </w:t>
      </w:r>
      <w:r>
        <w:lastRenderedPageBreak/>
        <w:t xml:space="preserve">resin-rich regions and the ply-to-ply interface. </w:t>
      </w:r>
      <w:r w:rsidR="00C16D85">
        <w:t xml:space="preserve"> </w:t>
      </w:r>
      <w:r w:rsidR="00C16D85">
        <w:fldChar w:fldCharType="begin"/>
      </w:r>
      <w:r w:rsidR="00C16D85">
        <w:instrText xml:space="preserve"> REF _Ref344717353 \h </w:instrText>
      </w:r>
      <w:r w:rsidR="00C16D85">
        <w:fldChar w:fldCharType="separate"/>
      </w:r>
      <w:r w:rsidR="008A1992" w:rsidRPr="00C16D85">
        <w:t xml:space="preserve">Figure </w:t>
      </w:r>
      <w:r w:rsidR="008A1992">
        <w:rPr>
          <w:noProof/>
        </w:rPr>
        <w:t>2</w:t>
      </w:r>
      <w:r w:rsidR="008A1992">
        <w:t>.</w:t>
      </w:r>
      <w:r w:rsidR="008A1992">
        <w:rPr>
          <w:noProof/>
        </w:rPr>
        <w:t>19</w:t>
      </w:r>
      <w:r w:rsidR="00C16D85">
        <w:fldChar w:fldCharType="end"/>
      </w:r>
      <w:r w:rsidR="00C16D85">
        <w:t xml:space="preserve"> </w:t>
      </w:r>
      <w:r>
        <w:t>contains representative images of prepregs conditioned at the lowest relative humidity level (2% RH) and subsequently cured at each of the four fabrication pressures (68.9, 206.8, 344.7, 482.6 kPa).  As fabrication pressure increased, the effective area of the voids significantly decreased and the void aspect ratio increased.</w:t>
      </w:r>
    </w:p>
    <w:p w14:paraId="3429815C" w14:textId="77777777" w:rsidR="00C16D85" w:rsidRDefault="00C16D85" w:rsidP="00F41017">
      <w:pPr>
        <w:ind w:firstLine="360"/>
      </w:pPr>
    </w:p>
    <w:p w14:paraId="0C76C716" w14:textId="77777777" w:rsidR="00C16D85" w:rsidRDefault="00C16D85" w:rsidP="00C16D85">
      <w:pPr>
        <w:keepNext/>
        <w:jc w:val="center"/>
      </w:pPr>
      <w:r>
        <w:rPr>
          <w:noProof/>
        </w:rPr>
        <w:drawing>
          <wp:inline distT="0" distB="0" distL="0" distR="0" wp14:anchorId="299C4394" wp14:editId="2DF2CA4C">
            <wp:extent cx="5394960" cy="323596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5.jpg"/>
                    <pic:cNvPicPr/>
                  </pic:nvPicPr>
                  <pic:blipFill>
                    <a:blip r:embed="rId62">
                      <a:extLst>
                        <a:ext uri="{28A0092B-C50C-407E-A947-70E740481C1C}">
                          <a14:useLocalDpi xmlns:a14="http://schemas.microsoft.com/office/drawing/2010/main" val="0"/>
                        </a:ext>
                      </a:extLst>
                    </a:blip>
                    <a:stretch>
                      <a:fillRect/>
                    </a:stretch>
                  </pic:blipFill>
                  <pic:spPr>
                    <a:xfrm>
                      <a:off x="0" y="0"/>
                      <a:ext cx="5394960" cy="3235960"/>
                    </a:xfrm>
                    <a:prstGeom prst="rect">
                      <a:avLst/>
                    </a:prstGeom>
                  </pic:spPr>
                </pic:pic>
              </a:graphicData>
            </a:graphic>
          </wp:inline>
        </w:drawing>
      </w:r>
    </w:p>
    <w:p w14:paraId="37548296" w14:textId="649426F4" w:rsidR="00C16D85" w:rsidRPr="00C16D85" w:rsidRDefault="00C16D85" w:rsidP="00C16D85">
      <w:pPr>
        <w:pStyle w:val="Caption"/>
        <w:spacing w:line="240" w:lineRule="auto"/>
        <w:jc w:val="center"/>
        <w:rPr>
          <w:sz w:val="24"/>
        </w:rPr>
      </w:pPr>
      <w:bookmarkStart w:id="123" w:name="_Ref344717353"/>
      <w:bookmarkStart w:id="124" w:name="_Toc346310427"/>
      <w:proofErr w:type="gramStart"/>
      <w:r w:rsidRPr="00C16D85">
        <w:rPr>
          <w:sz w:val="24"/>
        </w:rPr>
        <w:t xml:space="preserve">Figure </w:t>
      </w:r>
      <w:r>
        <w:rPr>
          <w:sz w:val="24"/>
        </w:rPr>
        <w:fldChar w:fldCharType="begin"/>
      </w:r>
      <w:r>
        <w:rPr>
          <w:sz w:val="24"/>
        </w:rPr>
        <w:instrText xml:space="preserve"> STYLEREF 1 \s </w:instrText>
      </w:r>
      <w:r>
        <w:rPr>
          <w:sz w:val="24"/>
        </w:rPr>
        <w:fldChar w:fldCharType="separate"/>
      </w:r>
      <w:r w:rsidR="008A1992">
        <w:rPr>
          <w:noProof/>
          <w:sz w:val="24"/>
        </w:rPr>
        <w:t>2</w:t>
      </w:r>
      <w:r>
        <w:rPr>
          <w:sz w:val="24"/>
        </w:rPr>
        <w:fldChar w:fldCharType="end"/>
      </w:r>
      <w:r>
        <w:rPr>
          <w:sz w:val="24"/>
        </w:rPr>
        <w:t>.</w:t>
      </w:r>
      <w:proofErr w:type="gramEnd"/>
      <w:r>
        <w:rPr>
          <w:sz w:val="24"/>
        </w:rPr>
        <w:fldChar w:fldCharType="begin"/>
      </w:r>
      <w:r>
        <w:rPr>
          <w:sz w:val="24"/>
        </w:rPr>
        <w:instrText xml:space="preserve"> SEQ Figure \* ARABIC \s 1 </w:instrText>
      </w:r>
      <w:r>
        <w:rPr>
          <w:sz w:val="24"/>
        </w:rPr>
        <w:fldChar w:fldCharType="separate"/>
      </w:r>
      <w:r w:rsidR="008A1992">
        <w:rPr>
          <w:noProof/>
          <w:sz w:val="24"/>
        </w:rPr>
        <w:t>19</w:t>
      </w:r>
      <w:r>
        <w:rPr>
          <w:sz w:val="24"/>
        </w:rPr>
        <w:fldChar w:fldCharType="end"/>
      </w:r>
      <w:bookmarkEnd w:id="123"/>
      <w:r>
        <w:rPr>
          <w:sz w:val="24"/>
        </w:rPr>
        <w:t xml:space="preserve"> </w:t>
      </w:r>
      <w:r w:rsidRPr="0085272E">
        <w:rPr>
          <w:sz w:val="24"/>
        </w:rPr>
        <w:t xml:space="preserve">SEM images </w:t>
      </w:r>
      <w:r>
        <w:rPr>
          <w:sz w:val="24"/>
        </w:rPr>
        <w:t>of Carbon/Epoxy</w:t>
      </w:r>
      <w:r w:rsidRPr="00BC46EA">
        <w:rPr>
          <w:sz w:val="24"/>
        </w:rPr>
        <w:t xml:space="preserve"> laminates fabricated from prepregs</w:t>
      </w:r>
      <w:r>
        <w:rPr>
          <w:sz w:val="24"/>
        </w:rPr>
        <w:t xml:space="preserve"> conditioned at 2% relative humidity and cured at a) 69 kPa, b) 207 kPa, c) 345 kPa, and d) 483 kPa</w:t>
      </w:r>
      <w:bookmarkEnd w:id="124"/>
    </w:p>
    <w:p w14:paraId="40227801" w14:textId="77777777" w:rsidR="00C16D85" w:rsidRDefault="00C16D85" w:rsidP="00F41017">
      <w:pPr>
        <w:ind w:firstLine="360"/>
      </w:pPr>
    </w:p>
    <w:p w14:paraId="06C187B3" w14:textId="428BF259" w:rsidR="00FA2241" w:rsidRDefault="00C16D85" w:rsidP="00F41017">
      <w:pPr>
        <w:ind w:firstLine="360"/>
      </w:pPr>
      <w:r>
        <w:fldChar w:fldCharType="begin"/>
      </w:r>
      <w:r>
        <w:instrText xml:space="preserve"> REF _Ref344717367 \h </w:instrText>
      </w:r>
      <w:r>
        <w:fldChar w:fldCharType="separate"/>
      </w:r>
      <w:r w:rsidR="008A1992" w:rsidRPr="00C16D85">
        <w:t xml:space="preserve">Figure </w:t>
      </w:r>
      <w:r w:rsidR="008A1992">
        <w:rPr>
          <w:noProof/>
        </w:rPr>
        <w:t>2</w:t>
      </w:r>
      <w:r w:rsidR="008A1992" w:rsidRPr="00C16D85">
        <w:t>.</w:t>
      </w:r>
      <w:r w:rsidR="008A1992">
        <w:rPr>
          <w:noProof/>
        </w:rPr>
        <w:t>20</w:t>
      </w:r>
      <w:r>
        <w:fldChar w:fldCharType="end"/>
      </w:r>
      <w:r>
        <w:t xml:space="preserve"> </w:t>
      </w:r>
      <w:r w:rsidR="00FA2241">
        <w:t xml:space="preserve">contains representative images of laminates cured at the highest fabrication pressure (482.6 kPa) from each of the </w:t>
      </w:r>
      <w:proofErr w:type="gramStart"/>
      <w:r w:rsidR="00FA2241">
        <w:t>four prepreg</w:t>
      </w:r>
      <w:proofErr w:type="gramEnd"/>
      <w:r w:rsidR="00FA2241">
        <w:t xml:space="preserve"> conditioning levels (2%, 40%, 70%, 99% RH).  It appears that the larger microvoids by effective area were predominantly located within plies close to the laminate midplane.  Increasing prepreg relative humidity conditioning levels did not have a significant effect on overall </w:t>
      </w:r>
      <w:r w:rsidR="00FA2241">
        <w:lastRenderedPageBreak/>
        <w:t xml:space="preserve">microvoid content, however the microvoids did become more spherical in shape and slightly larger in diameter.  </w:t>
      </w:r>
      <w:r w:rsidR="00627C39">
        <w:t xml:space="preserve">All laminate fabrication pressures for carbon-reinforced prepregs had a </w:t>
      </w:r>
      <w:r w:rsidR="00EA1C41">
        <w:t>smaller</w:t>
      </w:r>
      <w:r w:rsidR="00627C39">
        <w:t xml:space="preserve"> range of microvoid contents when compared to the two quartz-reinforced prepreg materials.</w:t>
      </w:r>
    </w:p>
    <w:p w14:paraId="7B1A62AB" w14:textId="77777777" w:rsidR="00C16D85" w:rsidRDefault="00C16D85" w:rsidP="00F41017">
      <w:pPr>
        <w:ind w:firstLine="360"/>
      </w:pPr>
    </w:p>
    <w:p w14:paraId="10633C2C" w14:textId="77777777" w:rsidR="00C16D85" w:rsidRDefault="00C16D85" w:rsidP="00C16D85">
      <w:pPr>
        <w:keepNext/>
        <w:jc w:val="center"/>
      </w:pPr>
      <w:r>
        <w:rPr>
          <w:noProof/>
        </w:rPr>
        <w:drawing>
          <wp:inline distT="0" distB="0" distL="0" distR="0" wp14:anchorId="4FF94801" wp14:editId="6CAEA208">
            <wp:extent cx="5394960" cy="323596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6.jpg"/>
                    <pic:cNvPicPr/>
                  </pic:nvPicPr>
                  <pic:blipFill>
                    <a:blip r:embed="rId63">
                      <a:extLst>
                        <a:ext uri="{28A0092B-C50C-407E-A947-70E740481C1C}">
                          <a14:useLocalDpi xmlns:a14="http://schemas.microsoft.com/office/drawing/2010/main" val="0"/>
                        </a:ext>
                      </a:extLst>
                    </a:blip>
                    <a:stretch>
                      <a:fillRect/>
                    </a:stretch>
                  </pic:blipFill>
                  <pic:spPr>
                    <a:xfrm>
                      <a:off x="0" y="0"/>
                      <a:ext cx="5394960" cy="3235960"/>
                    </a:xfrm>
                    <a:prstGeom prst="rect">
                      <a:avLst/>
                    </a:prstGeom>
                  </pic:spPr>
                </pic:pic>
              </a:graphicData>
            </a:graphic>
          </wp:inline>
        </w:drawing>
      </w:r>
    </w:p>
    <w:p w14:paraId="3E483CDF" w14:textId="5D47C038" w:rsidR="00C16D85" w:rsidRDefault="00C16D85" w:rsidP="00C16D85">
      <w:pPr>
        <w:pStyle w:val="Caption"/>
        <w:spacing w:line="240" w:lineRule="auto"/>
        <w:jc w:val="center"/>
        <w:rPr>
          <w:sz w:val="24"/>
        </w:rPr>
      </w:pPr>
      <w:bookmarkStart w:id="125" w:name="_Ref344717367"/>
      <w:bookmarkStart w:id="126" w:name="_Toc346310428"/>
      <w:proofErr w:type="gramStart"/>
      <w:r w:rsidRPr="00C16D85">
        <w:rPr>
          <w:sz w:val="24"/>
        </w:rPr>
        <w:t xml:space="preserve">Figure </w:t>
      </w:r>
      <w:r w:rsidRPr="00C16D85">
        <w:rPr>
          <w:sz w:val="24"/>
        </w:rPr>
        <w:fldChar w:fldCharType="begin"/>
      </w:r>
      <w:r w:rsidRPr="00C16D85">
        <w:rPr>
          <w:sz w:val="24"/>
        </w:rPr>
        <w:instrText xml:space="preserve"> STYLEREF 1 \s </w:instrText>
      </w:r>
      <w:r w:rsidRPr="00C16D85">
        <w:rPr>
          <w:sz w:val="24"/>
        </w:rPr>
        <w:fldChar w:fldCharType="separate"/>
      </w:r>
      <w:r w:rsidR="008A1992">
        <w:rPr>
          <w:noProof/>
          <w:sz w:val="24"/>
        </w:rPr>
        <w:t>2</w:t>
      </w:r>
      <w:r w:rsidRPr="00C16D85">
        <w:rPr>
          <w:sz w:val="24"/>
        </w:rPr>
        <w:fldChar w:fldCharType="end"/>
      </w:r>
      <w:r w:rsidRPr="00C16D85">
        <w:rPr>
          <w:sz w:val="24"/>
        </w:rPr>
        <w:t>.</w:t>
      </w:r>
      <w:proofErr w:type="gramEnd"/>
      <w:r w:rsidRPr="00C16D85">
        <w:rPr>
          <w:sz w:val="24"/>
        </w:rPr>
        <w:fldChar w:fldCharType="begin"/>
      </w:r>
      <w:r w:rsidRPr="00C16D85">
        <w:rPr>
          <w:sz w:val="24"/>
        </w:rPr>
        <w:instrText xml:space="preserve"> SEQ Figure \* ARABIC \s 1 </w:instrText>
      </w:r>
      <w:r w:rsidRPr="00C16D85">
        <w:rPr>
          <w:sz w:val="24"/>
        </w:rPr>
        <w:fldChar w:fldCharType="separate"/>
      </w:r>
      <w:r w:rsidR="008A1992">
        <w:rPr>
          <w:noProof/>
          <w:sz w:val="24"/>
        </w:rPr>
        <w:t>20</w:t>
      </w:r>
      <w:r w:rsidRPr="00C16D85">
        <w:rPr>
          <w:sz w:val="24"/>
        </w:rPr>
        <w:fldChar w:fldCharType="end"/>
      </w:r>
      <w:bookmarkEnd w:id="125"/>
      <w:r>
        <w:rPr>
          <w:sz w:val="24"/>
        </w:rPr>
        <w:t xml:space="preserve"> </w:t>
      </w:r>
      <w:r w:rsidRPr="0085272E">
        <w:rPr>
          <w:sz w:val="24"/>
        </w:rPr>
        <w:t xml:space="preserve">SEM images </w:t>
      </w:r>
      <w:r>
        <w:rPr>
          <w:sz w:val="24"/>
        </w:rPr>
        <w:t>of Carbon/Epoxy</w:t>
      </w:r>
      <w:r w:rsidRPr="00BC46EA">
        <w:rPr>
          <w:sz w:val="24"/>
        </w:rPr>
        <w:t xml:space="preserve"> laminates fabricated </w:t>
      </w:r>
      <w:r>
        <w:rPr>
          <w:sz w:val="24"/>
        </w:rPr>
        <w:t xml:space="preserve">at 483 kPa </w:t>
      </w:r>
      <w:r w:rsidRPr="00BC46EA">
        <w:rPr>
          <w:sz w:val="24"/>
        </w:rPr>
        <w:t>from prepregs</w:t>
      </w:r>
      <w:r>
        <w:rPr>
          <w:sz w:val="24"/>
        </w:rPr>
        <w:t xml:space="preserve"> conditioned at a) 2% relative humidity, b) 40% relative humidity, c) 70% relative humidity, and d) 99% relative humidity</w:t>
      </w:r>
      <w:bookmarkEnd w:id="126"/>
    </w:p>
    <w:p w14:paraId="24A61F3A" w14:textId="77777777" w:rsidR="00C16D85" w:rsidRDefault="00C16D85" w:rsidP="00C16D85"/>
    <w:p w14:paraId="29D8B274" w14:textId="77777777" w:rsidR="00EA1C41" w:rsidRDefault="00EA1C41" w:rsidP="00C16D85"/>
    <w:p w14:paraId="06B459A2" w14:textId="77777777" w:rsidR="00555F32" w:rsidRDefault="007055CE" w:rsidP="007A7143">
      <w:pPr>
        <w:pStyle w:val="Heading2"/>
        <w:rPr>
          <w:noProof/>
        </w:rPr>
      </w:pPr>
      <w:bookmarkStart w:id="127" w:name="_Toc346310980"/>
      <w:r>
        <w:rPr>
          <w:noProof/>
        </w:rPr>
        <w:t xml:space="preserve">Summary of </w:t>
      </w:r>
      <w:r w:rsidR="00030081">
        <w:rPr>
          <w:noProof/>
        </w:rPr>
        <w:t xml:space="preserve">Laminate Microstructure and </w:t>
      </w:r>
      <w:r w:rsidR="00E04B57">
        <w:rPr>
          <w:noProof/>
        </w:rPr>
        <w:t>SEM Analysis Chapter</w:t>
      </w:r>
      <w:bookmarkEnd w:id="127"/>
    </w:p>
    <w:p w14:paraId="4FDF43B6" w14:textId="66DE622F" w:rsidR="00B96295" w:rsidRDefault="00B96295" w:rsidP="00F41017">
      <w:pPr>
        <w:ind w:firstLine="360"/>
      </w:pPr>
      <w:r>
        <w:t xml:space="preserve">Three aerospace-grade composite prepregs that are typically used in high-performance applications were introduced.  These composite prepregs included a Hexcel HexPly® F650 Bismaleimide (BMI) resin with quartz style 581 reinforcement, </w:t>
      </w:r>
      <w:r>
        <w:lastRenderedPageBreak/>
        <w:t>a</w:t>
      </w:r>
      <w:r w:rsidR="00504D27">
        <w:t>nd two variations of a</w:t>
      </w:r>
      <w:r>
        <w:t xml:space="preserve"> TenCate® EX-1522 epoxy resin with</w:t>
      </w:r>
      <w:r w:rsidR="00504D27">
        <w:t xml:space="preserve"> either</w:t>
      </w:r>
      <w:r>
        <w:t xml:space="preserve"> </w:t>
      </w:r>
      <w:r w:rsidR="00504D27">
        <w:t>quartz style 4581 reinforcement or</w:t>
      </w:r>
      <w:r>
        <w:t xml:space="preserve"> IM-7 carbon </w:t>
      </w:r>
      <w:r w:rsidR="00504D27">
        <w:t xml:space="preserve">fiber </w:t>
      </w:r>
      <w:r>
        <w:t>plain weave reinforcement.  A procedure for altering the prepreg moisture content using an en</w:t>
      </w:r>
      <w:r w:rsidR="00D01EE0">
        <w:t>vironmental chamber at varying relative h</w:t>
      </w:r>
      <w:r>
        <w:t>umidity exposure levels was described in Section</w:t>
      </w:r>
      <w:r w:rsidR="00940B2A">
        <w:t xml:space="preserve"> </w:t>
      </w:r>
      <w:r w:rsidR="00CF0651">
        <w:fldChar w:fldCharType="begin"/>
      </w:r>
      <w:r w:rsidR="00940B2A">
        <w:instrText xml:space="preserve"> REF _Ref464735892 \r \h </w:instrText>
      </w:r>
      <w:r w:rsidR="00CF0651">
        <w:fldChar w:fldCharType="separate"/>
      </w:r>
      <w:r w:rsidR="008A1992">
        <w:t>2.2</w:t>
      </w:r>
      <w:r w:rsidR="00CF0651">
        <w:fldChar w:fldCharType="end"/>
      </w:r>
      <w:r>
        <w:t xml:space="preserve">.  It is expected that varying levels of prepreg moisture content will result in laminates with different void </w:t>
      </w:r>
      <w:r w:rsidR="00EA1C41">
        <w:t>volume fractions</w:t>
      </w:r>
      <w:r>
        <w:t>.  Eight-ply thick laminates were fabricated from the conditioned prepregs using a Carver hot press and the manufacturer suggested temperature cure cycle, as described in Section</w:t>
      </w:r>
      <w:r w:rsidR="00465876">
        <w:t xml:space="preserve"> </w:t>
      </w:r>
      <w:r w:rsidR="00465876">
        <w:fldChar w:fldCharType="begin"/>
      </w:r>
      <w:r w:rsidR="00465876">
        <w:instrText xml:space="preserve"> REF _Ref343773724 \r \h </w:instrText>
      </w:r>
      <w:r w:rsidR="00465876">
        <w:fldChar w:fldCharType="separate"/>
      </w:r>
      <w:r w:rsidR="008A1992">
        <w:t>2.3</w:t>
      </w:r>
      <w:r w:rsidR="00465876">
        <w:fldChar w:fldCharType="end"/>
      </w:r>
      <w:r w:rsidR="00504D27">
        <w:t>.  A total of 32</w:t>
      </w:r>
      <w:r>
        <w:t xml:space="preserve"> specimens were extracted from each fabricated laminate to address the research </w:t>
      </w:r>
      <w:r w:rsidR="00504D27">
        <w:t>objectives</w:t>
      </w:r>
      <w:r>
        <w:t xml:space="preserve"> associated with this Dissertation</w:t>
      </w:r>
    </w:p>
    <w:p w14:paraId="43358F3C" w14:textId="2F13E8A4" w:rsidR="00030081" w:rsidRPr="00030081" w:rsidRDefault="000442B6" w:rsidP="00F41017">
      <w:pPr>
        <w:ind w:firstLine="360"/>
      </w:pPr>
      <w:r>
        <w:t>The experimental procedure for determining the laminate fiber volume fraction and void</w:t>
      </w:r>
      <w:r w:rsidR="00FD02FA">
        <w:t xml:space="preserve"> volume</w:t>
      </w:r>
      <w:r>
        <w:t xml:space="preserve"> </w:t>
      </w:r>
      <w:r w:rsidR="00D01EE0">
        <w:t>fraction</w:t>
      </w:r>
      <w:r>
        <w:t xml:space="preserve"> </w:t>
      </w:r>
      <w:r w:rsidR="00FD02FA">
        <w:t>was</w:t>
      </w:r>
      <w:r>
        <w:t xml:space="preserve"> </w:t>
      </w:r>
      <w:r w:rsidR="001514A2">
        <w:t>presented</w:t>
      </w:r>
      <w:r w:rsidR="00FD02FA">
        <w:t xml:space="preserve"> in Section </w:t>
      </w:r>
      <w:r w:rsidR="00FD02FA">
        <w:fldChar w:fldCharType="begin"/>
      </w:r>
      <w:r w:rsidR="00FD02FA">
        <w:instrText xml:space="preserve"> REF _Ref343168350 \r \h </w:instrText>
      </w:r>
      <w:r w:rsidR="00FD02FA">
        <w:fldChar w:fldCharType="separate"/>
      </w:r>
      <w:r w:rsidR="008A1992">
        <w:t>2.5</w:t>
      </w:r>
      <w:r w:rsidR="00FD02FA">
        <w:fldChar w:fldCharType="end"/>
      </w:r>
      <w:r>
        <w:t xml:space="preserve">.  Section </w:t>
      </w:r>
      <w:r w:rsidR="00CF0651">
        <w:fldChar w:fldCharType="begin"/>
      </w:r>
      <w:r>
        <w:instrText xml:space="preserve"> REF _Ref460937023 \r \h </w:instrText>
      </w:r>
      <w:r w:rsidR="00CF0651">
        <w:fldChar w:fldCharType="separate"/>
      </w:r>
      <w:r w:rsidR="008A1992">
        <w:t>2.5.2</w:t>
      </w:r>
      <w:r w:rsidR="00CF0651">
        <w:fldChar w:fldCharType="end"/>
      </w:r>
      <w:r>
        <w:t xml:space="preserve"> contained the resulting fiber volume fraction and void</w:t>
      </w:r>
      <w:r w:rsidR="00EA1C41">
        <w:t xml:space="preserve"> volume</w:t>
      </w:r>
      <w:r>
        <w:t xml:space="preserve"> </w:t>
      </w:r>
      <w:r w:rsidR="00D01EE0">
        <w:t>fraction</w:t>
      </w:r>
      <w:r>
        <w:t xml:space="preserve"> due to variations in prepreg relative humidity conditioning level, which caused unique prepreg moisture contents, and variations in fabrication pressure.  </w:t>
      </w:r>
      <w:r w:rsidR="00F91E7E">
        <w:t xml:space="preserve">Generally, the fiber volume fraction did not change significantly due to varying prepreg moisture contents and increased </w:t>
      </w:r>
      <w:r w:rsidR="00D01EE0">
        <w:t>as fabrication pressure increased, with the largest incremental improvement occurring when at low initial fabrication pressures.</w:t>
      </w:r>
      <w:r w:rsidR="00F91E7E">
        <w:t xml:space="preserve">  The void </w:t>
      </w:r>
      <w:r w:rsidR="00EA1C41">
        <w:t xml:space="preserve">volume </w:t>
      </w:r>
      <w:r w:rsidR="00D01EE0">
        <w:t>fraction</w:t>
      </w:r>
      <w:r w:rsidR="00F91E7E">
        <w:t xml:space="preserve"> increased as relatively humidity conditioning increased and fabrication pressure decreased.  SEM image analysis of each prepreg material for varying processing conditions was presented in Section </w:t>
      </w:r>
      <w:r w:rsidR="00CF0651">
        <w:fldChar w:fldCharType="begin"/>
      </w:r>
      <w:r w:rsidR="00F91E7E">
        <w:instrText xml:space="preserve"> REF _Ref460937403 \r \h </w:instrText>
      </w:r>
      <w:r w:rsidR="00CF0651">
        <w:fldChar w:fldCharType="separate"/>
      </w:r>
      <w:r w:rsidR="008A1992">
        <w:t>2.6</w:t>
      </w:r>
      <w:r w:rsidR="00CF0651">
        <w:fldChar w:fldCharType="end"/>
      </w:r>
      <w:r w:rsidR="00F91E7E">
        <w:t xml:space="preserve">.  </w:t>
      </w:r>
      <w:r w:rsidR="00EA1C41">
        <w:t xml:space="preserve">BMI matrix prepregs (Section </w:t>
      </w:r>
      <w:r w:rsidR="00EA1C41">
        <w:fldChar w:fldCharType="begin"/>
      </w:r>
      <w:r w:rsidR="00EA1C41">
        <w:instrText xml:space="preserve"> REF _Ref346284361 \r \h </w:instrText>
      </w:r>
      <w:r w:rsidR="00EA1C41">
        <w:fldChar w:fldCharType="separate"/>
      </w:r>
      <w:r w:rsidR="008A1992">
        <w:t>2.6.1</w:t>
      </w:r>
      <w:r w:rsidR="00EA1C41">
        <w:fldChar w:fldCharType="end"/>
      </w:r>
      <w:r w:rsidR="00EA1C41">
        <w:t>) featured numerous</w:t>
      </w:r>
      <w:r w:rsidR="00EA1C41" w:rsidRPr="00F91E7E">
        <w:t xml:space="preserve"> </w:t>
      </w:r>
      <w:r w:rsidR="00EA1C41">
        <w:t xml:space="preserve">large-scale voids, which were primarily located in the intra-tow regions and ply-to-ply interface; as well as several micro-scale voids primarily located within the fiber tows.  </w:t>
      </w:r>
      <w:r w:rsidR="0014039B">
        <w:t>Quartz/Epoxy prepregs (Section</w:t>
      </w:r>
      <w:r w:rsidR="00EA1C41">
        <w:t xml:space="preserve"> </w:t>
      </w:r>
      <w:r w:rsidR="00EA1C41">
        <w:fldChar w:fldCharType="begin"/>
      </w:r>
      <w:r w:rsidR="00EA1C41">
        <w:instrText xml:space="preserve"> REF _Ref346284379 \r \h </w:instrText>
      </w:r>
      <w:r w:rsidR="00EA1C41">
        <w:fldChar w:fldCharType="separate"/>
      </w:r>
      <w:r w:rsidR="008A1992">
        <w:t>2.6.2</w:t>
      </w:r>
      <w:r w:rsidR="00EA1C41">
        <w:fldChar w:fldCharType="end"/>
      </w:r>
      <w:r w:rsidR="0014039B">
        <w:t xml:space="preserve">) had voids that were more spherically shaped and </w:t>
      </w:r>
      <w:r w:rsidR="0014039B">
        <w:lastRenderedPageBreak/>
        <w:t xml:space="preserve">were primarily located in resin-rich regions or the ply-to-ply interface. </w:t>
      </w:r>
      <w:r w:rsidR="00F91E7E">
        <w:t>Carbon</w:t>
      </w:r>
      <w:r w:rsidR="00FD02FA">
        <w:t xml:space="preserve"> fiber</w:t>
      </w:r>
      <w:r w:rsidR="00F91E7E">
        <w:t>-reinforced prepregs</w:t>
      </w:r>
      <w:r w:rsidR="0068174C">
        <w:t xml:space="preserve"> (Section </w:t>
      </w:r>
      <w:r w:rsidR="00CF0651">
        <w:fldChar w:fldCharType="begin"/>
      </w:r>
      <w:r w:rsidR="0068174C">
        <w:instrText xml:space="preserve"> REF _Ref460937987 \r \h </w:instrText>
      </w:r>
      <w:r w:rsidR="00CF0651">
        <w:fldChar w:fldCharType="separate"/>
      </w:r>
      <w:r w:rsidR="008A1992">
        <w:t>2.6.3</w:t>
      </w:r>
      <w:r w:rsidR="00CF0651">
        <w:fldChar w:fldCharType="end"/>
      </w:r>
      <w:r w:rsidR="0068174C">
        <w:t>)</w:t>
      </w:r>
      <w:r w:rsidR="00F91E7E">
        <w:t xml:space="preserve"> had much lower void contents than the quartz-reinforced materials and had sporadic, slightly elongated voids primarily located in resin-rich regions and</w:t>
      </w:r>
      <w:r w:rsidR="00FD02FA">
        <w:t xml:space="preserve"> were generally closer to the laminate mid-plane</w:t>
      </w:r>
      <w:r w:rsidR="00F91E7E">
        <w:t>.</w:t>
      </w:r>
    </w:p>
    <w:p w14:paraId="78C4BCC5" w14:textId="77777777" w:rsidR="00D90CF3" w:rsidRPr="00F67F76" w:rsidRDefault="00D90CF3" w:rsidP="00F67F76">
      <w:pPr>
        <w:ind w:firstLine="576"/>
      </w:pPr>
      <w:r>
        <w:br w:type="page"/>
      </w:r>
    </w:p>
    <w:p w14:paraId="2E8AD8D0" w14:textId="77777777" w:rsidR="0029124B" w:rsidRDefault="0029124B" w:rsidP="0029124B">
      <w:pPr>
        <w:pStyle w:val="Heading1"/>
        <w:numPr>
          <w:ilvl w:val="0"/>
          <w:numId w:val="0"/>
        </w:numPr>
        <w:ind w:left="432"/>
      </w:pPr>
      <w:bookmarkStart w:id="128" w:name="_Toc464644057"/>
      <w:bookmarkStart w:id="129" w:name="_Toc465250280"/>
      <w:bookmarkStart w:id="130" w:name="_Toc345066570"/>
      <w:bookmarkStart w:id="131" w:name="_Toc346310981"/>
      <w:bookmarkStart w:id="132" w:name="_Ref320712396"/>
      <w:bookmarkStart w:id="133" w:name="_Ref196248144"/>
      <w:r>
        <w:lastRenderedPageBreak/>
        <w:t xml:space="preserve">chapter </w:t>
      </w:r>
      <w:bookmarkEnd w:id="128"/>
      <w:r w:rsidR="00CD4D53">
        <w:t>3</w:t>
      </w:r>
      <w:bookmarkEnd w:id="129"/>
      <w:bookmarkEnd w:id="130"/>
      <w:bookmarkEnd w:id="131"/>
    </w:p>
    <w:p w14:paraId="1FAC7829" w14:textId="73F60457" w:rsidR="00F81A21" w:rsidRDefault="00683F8D" w:rsidP="00F81A21">
      <w:pPr>
        <w:pStyle w:val="Heading1"/>
      </w:pPr>
      <w:bookmarkStart w:id="134" w:name="_Ref464564658"/>
      <w:bookmarkStart w:id="135" w:name="_Toc346310982"/>
      <w:bookmarkEnd w:id="132"/>
      <w:bookmarkEnd w:id="133"/>
      <w:r>
        <w:t xml:space="preserve">Coupled Effect of </w:t>
      </w:r>
      <w:r w:rsidR="00E04B57">
        <w:t xml:space="preserve">Prepreg Moisture Content and </w:t>
      </w:r>
      <w:r w:rsidR="00E5497B">
        <w:t xml:space="preserve">Fabrication Pressure </w:t>
      </w:r>
      <w:r w:rsidR="00694D2D">
        <w:t xml:space="preserve">on </w:t>
      </w:r>
      <w:r w:rsidR="00E04B57">
        <w:t xml:space="preserve">Laminate </w:t>
      </w:r>
      <w:r w:rsidR="00FD02FA">
        <w:t>Flexural</w:t>
      </w:r>
      <w:r w:rsidR="00E04B57">
        <w:t xml:space="preserve"> Properties</w:t>
      </w:r>
      <w:bookmarkEnd w:id="134"/>
      <w:bookmarkEnd w:id="135"/>
    </w:p>
    <w:p w14:paraId="368A7325" w14:textId="77777777" w:rsidR="0029124B" w:rsidRDefault="0029124B" w:rsidP="0029124B"/>
    <w:p w14:paraId="78701965" w14:textId="29D09AAB" w:rsidR="00C35240" w:rsidRDefault="00FD02FA" w:rsidP="00E04B57">
      <w:pPr>
        <w:pStyle w:val="Heading2"/>
      </w:pPr>
      <w:bookmarkStart w:id="136" w:name="_Toc346310983"/>
      <w:r>
        <w:t>Background</w:t>
      </w:r>
      <w:r w:rsidR="00C35240">
        <w:t xml:space="preserve"> and LIterature Review</w:t>
      </w:r>
      <w:r>
        <w:t xml:space="preserve"> of Processing Conditions Affect</w:t>
      </w:r>
      <w:r w:rsidR="00EA1C41">
        <w:t>s</w:t>
      </w:r>
      <w:r>
        <w:t xml:space="preserve"> on Mechanical Properties</w:t>
      </w:r>
      <w:bookmarkEnd w:id="136"/>
    </w:p>
    <w:p w14:paraId="78659A39" w14:textId="78314F2F" w:rsidR="00651668" w:rsidRDefault="001514A2" w:rsidP="00C35240">
      <w:pPr>
        <w:ind w:firstLine="360"/>
      </w:pPr>
      <w:r>
        <w:t>V</w:t>
      </w:r>
      <w:r w:rsidR="0010794F">
        <w:t>ariations in the prepreg moisture content</w:t>
      </w:r>
      <w:r w:rsidR="00C35240">
        <w:t xml:space="preserve"> due to </w:t>
      </w:r>
      <w:r w:rsidR="00651668">
        <w:t xml:space="preserve">humidity changes in prepreg storage or fabrication environment as well as variations in the fabrication pressure can have a </w:t>
      </w:r>
      <w:r w:rsidR="00C35240">
        <w:t xml:space="preserve">significant effect on the laminate </w:t>
      </w:r>
      <w:r w:rsidR="00651668">
        <w:t>fiber volume fraction and void volume fraction.  This in turn can contribute to significant variations in the resulting laminate</w:t>
      </w:r>
      <w:r w:rsidR="00C35240">
        <w:t xml:space="preserve"> mechanical </w:t>
      </w:r>
      <w:r w:rsidR="00651668">
        <w:t>properties</w:t>
      </w:r>
      <w:r w:rsidR="00C35240">
        <w:t xml:space="preserve">.  </w:t>
      </w:r>
      <w:r w:rsidR="00651668">
        <w:t xml:space="preserve">Low-pressure fabrication methods, such as vacuum-bag or composite hot-press, are generally desirable for many secondary structures due to the significant benefit of reduced operating costs when compared to high-pressure alternatives such as autoclave.  However, low-pressure fabrication methods are also more susceptible to a higher void fraction due to an inability to fully remove volatiles during laminate cure.  </w:t>
      </w:r>
      <w:r w:rsidR="00980922">
        <w:t>It is therefore useful to accurately characterize the extent of detrimental behavior due to variations in prepreg humidity exposure and fabrication cure pressure on the laminate mechanical performance.  As it would allow components with a high void volume fraction but still mechanically suitable for their desired application to be</w:t>
      </w:r>
      <w:r w:rsidR="00651668">
        <w:t xml:space="preserve"> fully </w:t>
      </w:r>
      <w:r w:rsidR="00980922">
        <w:t xml:space="preserve">vetted and approved.  The remainder of this Chapter will examine the synergistic relationship </w:t>
      </w:r>
      <w:r w:rsidR="00980922">
        <w:lastRenderedPageBreak/>
        <w:t>and interaction between prepreg humidity exposure and laminate fabrication pressure on the mechanical flexural stiffness and flexural strength for the three aerospace-grade prepreg materials; quartz/BMI, quartz/epoxy, and carbon/epoxy.</w:t>
      </w:r>
    </w:p>
    <w:p w14:paraId="1B003D1C" w14:textId="521488E2" w:rsidR="00C35240" w:rsidRDefault="00C35240" w:rsidP="00C35240">
      <w:pPr>
        <w:ind w:firstLine="360"/>
      </w:pPr>
      <w:r>
        <w:t>Regardless of the manufacturing technique, process-induced microvoids remain one of the most common defects associated with composites laminates.  An increase in laminate void fraction is known to have a deleterious effect on mechanical properties, such as interla</w:t>
      </w:r>
      <w:r w:rsidR="004B733B">
        <w:t>minar shear strength and flexural</w:t>
      </w:r>
      <w:r>
        <w:t xml:space="preserve"> strength</w:t>
      </w:r>
      <w:r w:rsidR="007B5482">
        <w:t xml:space="preserve"> [1,2,20-23]</w:t>
      </w:r>
      <w:r>
        <w:t>, and increase propensity of fiber-reinforced polymers to fluid absorption</w:t>
      </w:r>
      <w:r w:rsidR="007B5482">
        <w:t xml:space="preserve"> [2,18,25]</w:t>
      </w:r>
      <w:r>
        <w:t>.  Therefore, the void fraction of composite materials is often used to judge the quality of a finished product.  Typically a void fraction less than 1.0% is deemed acceptable for aerospace-grade composite materials.  However there are instances where products would be mechanically suitable with a higher void fraction.  If a higher void fraction is still acceptable for use, a significant cost-savings could be achieved by utilizing production methods that</w:t>
      </w:r>
      <w:r w:rsidR="00980922">
        <w:t xml:space="preserve"> are</w:t>
      </w:r>
      <w:r>
        <w:t xml:space="preserve"> </w:t>
      </w:r>
      <w:r w:rsidR="004B733B">
        <w:t>less costly</w:t>
      </w:r>
      <w:r>
        <w:t xml:space="preserve"> than autoclave manufacturing.</w:t>
      </w:r>
    </w:p>
    <w:p w14:paraId="733525B9" w14:textId="688ABC95" w:rsidR="00C35240" w:rsidRDefault="00C35240" w:rsidP="00C35240">
      <w:pPr>
        <w:ind w:firstLine="360"/>
      </w:pPr>
      <w:r>
        <w:t>Researchers have investigated the effect of process-induced defects, such as microvoids, for several decades</w:t>
      </w:r>
      <w:r w:rsidR="00D37BB4">
        <w:t xml:space="preserve"> [19,27-30]</w:t>
      </w:r>
      <w:r>
        <w:t>.  Since voids primarily influence matrix-dominated phenomena in laminates, a majority of void effect research is focused on interlaminar shear strength</w:t>
      </w:r>
      <w:r w:rsidR="00D37BB4">
        <w:t xml:space="preserve"> [31-33]</w:t>
      </w:r>
      <w:r>
        <w:t>, compressive strength</w:t>
      </w:r>
      <w:r w:rsidR="00D37BB4">
        <w:t xml:space="preserve"> [34]</w:t>
      </w:r>
      <w:r>
        <w:t>, bending strength</w:t>
      </w:r>
      <w:r w:rsidR="00D37BB4">
        <w:t xml:space="preserve"> [17,18,24,35]</w:t>
      </w:r>
      <w:r>
        <w:t xml:space="preserve"> or fatigue behavior</w:t>
      </w:r>
      <w:r w:rsidR="00D37BB4">
        <w:t xml:space="preserve"> [36]</w:t>
      </w:r>
      <w:r>
        <w:t>.  Research on the physics of void formation and its effect on laminate properties for carbon</w:t>
      </w:r>
      <w:r w:rsidR="00901027">
        <w:t xml:space="preserve"> </w:t>
      </w:r>
      <w:r>
        <w:t>fiber reinforced polymers remains the most common</w:t>
      </w:r>
      <w:r w:rsidR="00D37BB4">
        <w:t xml:space="preserve"> [17,20,24,27-29,31-33,35,37]</w:t>
      </w:r>
      <w:r>
        <w:t xml:space="preserve">.  Studies of similar scope for quartz-reinforced polymers, Bismaleimide </w:t>
      </w:r>
      <w:r w:rsidR="00901027">
        <w:t>resin</w:t>
      </w:r>
      <w:r>
        <w:t xml:space="preserve"> systems, or other high-performance aerospace-grade composites are not as prevalent in literature</w:t>
      </w:r>
      <w:r w:rsidR="00D37BB4">
        <w:t xml:space="preserve"> [18,31,38]</w:t>
      </w:r>
      <w:r>
        <w:t>.</w:t>
      </w:r>
    </w:p>
    <w:p w14:paraId="58F52025" w14:textId="2D717FE4" w:rsidR="00C35240" w:rsidRDefault="00C35240" w:rsidP="00C35240">
      <w:pPr>
        <w:ind w:firstLine="360"/>
      </w:pPr>
      <w:r>
        <w:lastRenderedPageBreak/>
        <w:t>Processing effects on void formation and mechanical strength have been studied in various details.  Lundstr</w:t>
      </w:r>
      <w:r>
        <w:rPr>
          <w:rFonts w:cstheme="minorHAnsi"/>
        </w:rPr>
        <w:t>ӧ</w:t>
      </w:r>
      <w:r>
        <w:t>m and Gebart studied the effect of va</w:t>
      </w:r>
      <w:r w:rsidR="004B733B">
        <w:t>rying processing pressure in a resin transfer m</w:t>
      </w:r>
      <w:r>
        <w:t>olding set-up on the void morphology of a unidirectional carbon reinforced laminate</w:t>
      </w:r>
      <w:r w:rsidR="00D37BB4">
        <w:t xml:space="preserve"> [39]</w:t>
      </w:r>
      <w:r>
        <w:t xml:space="preserve">.  They concluded that doubling pressure above atmospheric pressure resulted in a 60% reduction in void fraction.  </w:t>
      </w:r>
      <w:r w:rsidR="00911A38">
        <w:t>Additionally studies have primarily focused on void formation in laminate repair techniques using out-of-autoclave and vacuum-bag only processes</w:t>
      </w:r>
      <w:r w:rsidR="00D37BB4">
        <w:t xml:space="preserve"> [37,40]</w:t>
      </w:r>
      <w:r>
        <w:t xml:space="preserve">.  Numerous studies exist that </w:t>
      </w:r>
      <w:r w:rsidR="001514A2">
        <w:t>examine</w:t>
      </w:r>
      <w:r>
        <w:t xml:space="preserve"> the effect a range of void fractions may have on the absorption characteristics or mechanical properties of fiber-reinforced laminates.  Some common methods of varying the void fraction for similarly prepared laminates include changing autoclave or hot-press pressure</w:t>
      </w:r>
      <w:r w:rsidR="00D37BB4">
        <w:t xml:space="preserve"> [27]</w:t>
      </w:r>
      <w:r>
        <w:t>, modifying cure cycle temperature ramps and holds</w:t>
      </w:r>
      <w:r w:rsidR="00D37BB4">
        <w:t xml:space="preserve"> [28]</w:t>
      </w:r>
      <w:r>
        <w:t>, or by varying the extent of debulking prepregs prior to laminate fabrication</w:t>
      </w:r>
      <w:r w:rsidR="00D37BB4">
        <w:t xml:space="preserve"> [29]</w:t>
      </w:r>
      <w:r>
        <w:t>.  All of these methods carry the drawback of significantly altering the fiber volume fraction of a laminate, some by as much as 20%</w:t>
      </w:r>
      <w:r w:rsidR="00D37BB4">
        <w:t xml:space="preserve"> [30]</w:t>
      </w:r>
      <w:r>
        <w:t xml:space="preserve">.  Changes in fiber volume fraction also have a significant role on the mechanical performance of the composite laminate.  Procedures such as these make it difficult to examine the effect of changing fiber volume fraction and void </w:t>
      </w:r>
      <w:r w:rsidR="00901027">
        <w:t xml:space="preserve">volume </w:t>
      </w:r>
      <w:r>
        <w:t>fraction independently.</w:t>
      </w:r>
    </w:p>
    <w:p w14:paraId="4EDF01AF" w14:textId="7644068C" w:rsidR="00C35240" w:rsidRDefault="00C35240" w:rsidP="00376B29">
      <w:pPr>
        <w:ind w:firstLine="360"/>
      </w:pPr>
      <w:r>
        <w:t>The consensus among researchers is that an increase in void fraction will reduce mechanical performance and cause laminates to be more susceptible to fluid absorption or fatigue damage.  The magnitude of void effect on these parameters is a matter of debate however.  Muller de Almeida et al.</w:t>
      </w:r>
      <w:r w:rsidR="00D37BB4">
        <w:t xml:space="preserve"> [24]</w:t>
      </w:r>
      <w:r>
        <w:t xml:space="preserve"> focused on modeling flexural strength and fatigue life on carbon/epoxy laminates.  All laminates had a fiber volume fraction of approximately 60%, and void fractions ranging from 1.3 – 5.8%. </w:t>
      </w:r>
      <w:r w:rsidR="004B733B">
        <w:t xml:space="preserve"> Overall, a </w:t>
      </w:r>
      <w:r w:rsidR="004B733B">
        <w:lastRenderedPageBreak/>
        <w:t>reduction in flexural</w:t>
      </w:r>
      <w:r>
        <w:t xml:space="preserve"> strength of about 18% was observed throughout the void fraction range.  However, Liu et al.</w:t>
      </w:r>
      <w:r w:rsidR="00D37BB4">
        <w:t xml:space="preserve"> [17]</w:t>
      </w:r>
      <w:r>
        <w:t xml:space="preserve"> reported a 22% reduction in flexural strength for carbon/epoxy laminates with a void fraction of just 3.5%.  These discrepancies are most likely attributed to the complex nature and interaction with a number of different variables, such as void fraction, void morphology and distribution, and fiber volume fraction.  A majority of research is focused on the effect on mechanical performance at discrete levels of fiber volume fraction or void</w:t>
      </w:r>
      <w:r w:rsidR="00901027">
        <w:t xml:space="preserve"> volume</w:t>
      </w:r>
      <w:r>
        <w:t xml:space="preserve"> fractions.  However variations in the prepreg moisture content as a result of relative humidity exposure level and fabrication pressures can also have a significant effect on the laminate microstructure</w:t>
      </w:r>
      <w:r w:rsidR="00D37BB4">
        <w:t xml:space="preserve"> [1]</w:t>
      </w:r>
      <w:r w:rsidR="004B733B">
        <w:t>.</w:t>
      </w:r>
    </w:p>
    <w:p w14:paraId="5377DEE1" w14:textId="4840BDAB" w:rsidR="00E1039C" w:rsidRPr="00C35240" w:rsidRDefault="00E1039C" w:rsidP="00376B29">
      <w:pPr>
        <w:ind w:firstLine="360"/>
      </w:pPr>
      <w:r>
        <w:t xml:space="preserve">In summary, the effect of </w:t>
      </w:r>
      <w:r w:rsidR="00901027">
        <w:t xml:space="preserve">variations of </w:t>
      </w:r>
      <w:r>
        <w:t>select processing conditions on the formation of microvoids and subsequent mechanical properties has been well documented.  However, a detailed study that independently varies two processing conditions of prepreg humidity exposure and fabrication pressure and its subsequent effect on the laminate flexural properties for several aerospace-grade prepreg materials has not been reported.</w:t>
      </w:r>
    </w:p>
    <w:p w14:paraId="5C507309" w14:textId="642F3E91" w:rsidR="00E04B57" w:rsidRDefault="00E04B57" w:rsidP="00C35240">
      <w:pPr>
        <w:pStyle w:val="Heading2"/>
      </w:pPr>
      <w:bookmarkStart w:id="137" w:name="_Ref465672219"/>
      <w:bookmarkStart w:id="138" w:name="_Ref344798446"/>
      <w:bookmarkStart w:id="139" w:name="_Toc346310984"/>
      <w:r>
        <w:t>Laminate Flexur</w:t>
      </w:r>
      <w:r w:rsidR="00376B29">
        <w:t>al</w:t>
      </w:r>
      <w:r>
        <w:t xml:space="preserve"> </w:t>
      </w:r>
      <w:bookmarkEnd w:id="137"/>
      <w:r w:rsidR="009F647B">
        <w:t>Stiffness and Strength</w:t>
      </w:r>
      <w:bookmarkEnd w:id="138"/>
      <w:bookmarkEnd w:id="139"/>
    </w:p>
    <w:p w14:paraId="74EF1C10" w14:textId="6652A433" w:rsidR="000800AE" w:rsidRDefault="001514A2" w:rsidP="00F41017">
      <w:pPr>
        <w:ind w:firstLine="360"/>
      </w:pPr>
      <w:r>
        <w:t>All</w:t>
      </w:r>
      <w:r w:rsidR="00E46424">
        <w:t xml:space="preserve"> laminate flexural property testing was conducted in accordance with the ASTM testing standard for fiber-reinforced polymers D790.  Flexural properties were determined from a bar of rectangular cross section resting on two supports and loaded by means of a loading nose located midway between the two supports.  The </w:t>
      </w:r>
      <w:r w:rsidR="000800AE">
        <w:t>ASTM Standard states the following critical testing criteria for each flexural test:</w:t>
      </w:r>
    </w:p>
    <w:p w14:paraId="5BD5290A" w14:textId="0930183E" w:rsidR="000800AE" w:rsidRDefault="000800AE" w:rsidP="000800AE">
      <w:pPr>
        <w:pStyle w:val="ListParagraph"/>
        <w:numPr>
          <w:ilvl w:val="0"/>
          <w:numId w:val="28"/>
        </w:numPr>
      </w:pPr>
      <w:r>
        <w:lastRenderedPageBreak/>
        <w:t xml:space="preserve">The </w:t>
      </w:r>
      <w:r w:rsidR="00E46424">
        <w:t>support span-to-dep</w:t>
      </w:r>
      <w:r>
        <w:t>th ratio should be 16:1, however a larger span-to-depth ratio may become necessary for laminated materials.</w:t>
      </w:r>
    </w:p>
    <w:p w14:paraId="3EE706DD" w14:textId="545B27F8" w:rsidR="000800AE" w:rsidRDefault="000800AE" w:rsidP="000800AE">
      <w:pPr>
        <w:pStyle w:val="ListParagraph"/>
        <w:numPr>
          <w:ilvl w:val="0"/>
          <w:numId w:val="28"/>
        </w:numPr>
      </w:pPr>
      <w:r>
        <w:t>The specimen should be deflected until rupture occurs in the outer surface or until the maximum strain of 5.0% is reached, whichever occurs first.</w:t>
      </w:r>
    </w:p>
    <w:p w14:paraId="3C7193C3" w14:textId="54EB7EAC" w:rsidR="000800AE" w:rsidRDefault="000800AE" w:rsidP="000800AE">
      <w:pPr>
        <w:pStyle w:val="ListParagraph"/>
        <w:numPr>
          <w:ilvl w:val="0"/>
          <w:numId w:val="28"/>
        </w:numPr>
      </w:pPr>
      <w:r>
        <w:t>A strain rate of 0.01 mm/mm/min should be maintained until specimen failure.</w:t>
      </w:r>
    </w:p>
    <w:p w14:paraId="151EAD4F" w14:textId="77777777" w:rsidR="000800AE" w:rsidRDefault="000800AE" w:rsidP="000800AE"/>
    <w:p w14:paraId="0D533F38" w14:textId="77777777" w:rsidR="009F647B" w:rsidRDefault="000800AE" w:rsidP="000800AE">
      <w:pPr>
        <w:ind w:firstLine="360"/>
      </w:pPr>
      <w:r>
        <w:t>With regards to the flexural testing conducted in this study, the support span-to-depth ratio for all prepreg materials was chosen to be 20:1.  This value was chosen because (i) it allowed for a larger span-to-depth ratio to account for the laminated composite specimens and (ii) specimen overall lengths were within the range of useable space for the fabricated laminates.  All specimens ruptured prior to the</w:t>
      </w:r>
      <w:r w:rsidR="00E801F5">
        <w:t xml:space="preserve"> 5.0%</w:t>
      </w:r>
      <w:r>
        <w:t xml:space="preserve"> maximum strain </w:t>
      </w:r>
      <w:r w:rsidR="00E801F5">
        <w:t xml:space="preserve">threshold, and loading was conducted at the specified strain rate of 0.01 mm/mm/min.  </w:t>
      </w:r>
    </w:p>
    <w:p w14:paraId="014FCE42" w14:textId="6DA85E2A" w:rsidR="009F647B" w:rsidRDefault="009F647B" w:rsidP="009F647B">
      <w:pPr>
        <w:pStyle w:val="Heading3"/>
      </w:pPr>
      <w:bookmarkStart w:id="140" w:name="_Toc346310985"/>
      <w:r>
        <w:t>Experimental Procedure to Determine Laminate Mechanical Properties</w:t>
      </w:r>
      <w:bookmarkEnd w:id="140"/>
    </w:p>
    <w:p w14:paraId="3FFF7DAA" w14:textId="3534A36C" w:rsidR="001514A2" w:rsidRDefault="00BB390F" w:rsidP="001514A2">
      <w:pPr>
        <w:ind w:firstLine="360"/>
      </w:pPr>
      <w:r>
        <w:t>Six</w:t>
      </w:r>
      <w:r w:rsidR="0005211B">
        <w:t xml:space="preserve"> specimens of each laminate</w:t>
      </w:r>
      <w:r w:rsidR="00E801F5">
        <w:t xml:space="preserve"> humidity</w:t>
      </w:r>
      <w:r w:rsidR="0005211B">
        <w:t xml:space="preserve"> conditioning </w:t>
      </w:r>
      <w:r w:rsidR="00E801F5">
        <w:t>level</w:t>
      </w:r>
      <w:r w:rsidR="0005211B">
        <w:t xml:space="preserve"> </w:t>
      </w:r>
      <w:r>
        <w:t xml:space="preserve">and fabrication pressure </w:t>
      </w:r>
      <w:r w:rsidR="00E801F5">
        <w:t>was</w:t>
      </w:r>
      <w:r w:rsidR="0005211B">
        <w:t xml:space="preserve"> prepared for baseline </w:t>
      </w:r>
      <w:r w:rsidR="00E801F5">
        <w:t xml:space="preserve">flexural </w:t>
      </w:r>
      <w:r w:rsidR="0005211B">
        <w:t>tes</w:t>
      </w:r>
      <w:r>
        <w:t>ting</w:t>
      </w:r>
      <w:r w:rsidR="0005211B">
        <w:t xml:space="preserve">.  </w:t>
      </w:r>
      <w:r w:rsidR="001514A2">
        <w:t xml:space="preserve">The laminate flexural stiffness (GPa) for </w:t>
      </w:r>
      <w:r w:rsidR="00901027">
        <w:t>a laminate specimen in bending wa</w:t>
      </w:r>
      <w:r w:rsidR="001514A2">
        <w:t>s determined by:</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gridCol w:w="630"/>
      </w:tblGrid>
      <w:tr w:rsidR="001514A2" w14:paraId="0686F7CF" w14:textId="77777777" w:rsidTr="001514A2">
        <w:tc>
          <w:tcPr>
            <w:tcW w:w="7920" w:type="dxa"/>
            <w:shd w:val="clear" w:color="auto" w:fill="auto"/>
            <w:vAlign w:val="center"/>
          </w:tcPr>
          <w:p w14:paraId="4784AAEA" w14:textId="77777777" w:rsidR="001514A2" w:rsidRDefault="007F38FB" w:rsidP="001514A2">
            <w:pPr>
              <w:spacing w:line="240" w:lineRule="auto"/>
              <w:jc w:val="center"/>
            </w:pPr>
            <m:oMathPara>
              <m:oMath>
                <m:sSub>
                  <m:sSubPr>
                    <m:ctrlPr>
                      <w:rPr>
                        <w:rFonts w:ascii="Cambria Math" w:hAnsi="Cambria Math"/>
                        <w:i/>
                      </w:rPr>
                    </m:ctrlPr>
                  </m:sSubPr>
                  <m:e>
                    <m:r>
                      <w:rPr>
                        <w:rFonts w:ascii="Cambria Math" w:hAnsi="Cambria Math"/>
                      </w:rPr>
                      <m:t>E</m:t>
                    </m:r>
                  </m:e>
                  <m:sub>
                    <m:r>
                      <w:rPr>
                        <w:rFonts w:ascii="Cambria Math" w:hAnsi="Cambria Math"/>
                      </w:rPr>
                      <m:t>B</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L</m:t>
                        </m:r>
                      </m:e>
                      <m:sup>
                        <m:r>
                          <w:rPr>
                            <w:rFonts w:ascii="Cambria Math" w:hAnsi="Cambria Math"/>
                          </w:rPr>
                          <m:t>3</m:t>
                        </m:r>
                      </m:sup>
                    </m:sSup>
                    <m:r>
                      <w:rPr>
                        <w:rFonts w:ascii="Cambria Math" w:hAnsi="Cambria Math"/>
                      </w:rPr>
                      <m:t>m</m:t>
                    </m:r>
                  </m:num>
                  <m:den>
                    <m:r>
                      <w:rPr>
                        <w:rFonts w:ascii="Cambria Math" w:hAnsi="Cambria Math"/>
                      </w:rPr>
                      <m:t>4b</m:t>
                    </m:r>
                    <m:sSup>
                      <m:sSupPr>
                        <m:ctrlPr>
                          <w:rPr>
                            <w:rFonts w:ascii="Cambria Math" w:hAnsi="Cambria Math"/>
                            <w:i/>
                          </w:rPr>
                        </m:ctrlPr>
                      </m:sSupPr>
                      <m:e>
                        <m:r>
                          <w:rPr>
                            <w:rFonts w:ascii="Cambria Math" w:hAnsi="Cambria Math"/>
                          </w:rPr>
                          <m:t>d</m:t>
                        </m:r>
                      </m:e>
                      <m:sup>
                        <m:r>
                          <w:rPr>
                            <w:rFonts w:ascii="Cambria Math" w:hAnsi="Cambria Math"/>
                          </w:rPr>
                          <m:t>3</m:t>
                        </m:r>
                      </m:sup>
                    </m:sSup>
                  </m:den>
                </m:f>
              </m:oMath>
            </m:oMathPara>
          </w:p>
        </w:tc>
        <w:tc>
          <w:tcPr>
            <w:tcW w:w="630" w:type="dxa"/>
            <w:shd w:val="clear" w:color="auto" w:fill="auto"/>
            <w:vAlign w:val="center"/>
          </w:tcPr>
          <w:p w14:paraId="479DA9C6" w14:textId="7161B5BA" w:rsidR="001514A2" w:rsidRDefault="001514A2" w:rsidP="001514A2">
            <w:pPr>
              <w:spacing w:line="240" w:lineRule="auto"/>
              <w:jc w:val="right"/>
            </w:pPr>
            <w:r>
              <w:t>(3)</w:t>
            </w:r>
          </w:p>
        </w:tc>
      </w:tr>
    </w:tbl>
    <w:p w14:paraId="02DD82BD" w14:textId="77777777" w:rsidR="001514A2" w:rsidRDefault="001514A2" w:rsidP="001514A2">
      <w:pPr>
        <w:spacing w:line="240" w:lineRule="auto"/>
      </w:pPr>
    </w:p>
    <w:p w14:paraId="1559FFA8" w14:textId="0312F0C9" w:rsidR="0005211B" w:rsidRDefault="001514A2" w:rsidP="001514A2">
      <w:proofErr w:type="gramStart"/>
      <w:r>
        <w:t>where</w:t>
      </w:r>
      <w:proofErr w:type="gramEnd"/>
      <w:r>
        <w:t xml:space="preserve"> </w:t>
      </w:r>
      <w:r>
        <w:rPr>
          <w:i/>
        </w:rPr>
        <w:t>L</w:t>
      </w:r>
      <w:r>
        <w:t xml:space="preserve"> is the support span length (mm), </w:t>
      </w:r>
      <w:r>
        <w:rPr>
          <w:i/>
        </w:rPr>
        <w:t>m</w:t>
      </w:r>
      <w:r>
        <w:t xml:space="preserve"> is the slope of the tangent to the initial straight-line portion of the load-deflection curve (kN/mm), </w:t>
      </w:r>
      <w:r>
        <w:rPr>
          <w:i/>
        </w:rPr>
        <w:t>b</w:t>
      </w:r>
      <w:r>
        <w:t xml:space="preserve"> is the tested specimen beam width (mm), and </w:t>
      </w:r>
      <w:r>
        <w:rPr>
          <w:i/>
        </w:rPr>
        <w:t>d</w:t>
      </w:r>
      <w:r>
        <w:t xml:space="preserve"> is the specimen beam depth (mm).  For all laminate flexural tests, the tangent slope of the initial straight-line portion of the load-deflection curve </w:t>
      </w:r>
      <w:r>
        <w:lastRenderedPageBreak/>
        <w:t xml:space="preserve">was determined between the loads of 50-175 N.  </w:t>
      </w:r>
      <w:r w:rsidR="0005211B">
        <w:t>The la</w:t>
      </w:r>
      <w:r w:rsidR="004B733B">
        <w:t>minate flexural</w:t>
      </w:r>
      <w:r w:rsidR="0005211B">
        <w:t xml:space="preserve"> strength (MPa)</w:t>
      </w:r>
      <w:r w:rsidR="00E801F5">
        <w:t>, or</w:t>
      </w:r>
      <w:r w:rsidR="0005211B">
        <w:t xml:space="preserve"> the maximum stress in the outer surface of the test specimen at the deflection midpoint</w:t>
      </w:r>
      <w:r w:rsidR="00E801F5">
        <w:t>,</w:t>
      </w:r>
      <w:r w:rsidR="00901027">
        <w:t xml:space="preserve"> wa</w:t>
      </w:r>
      <w:r w:rsidR="0005211B">
        <w:t>s determined by:</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gridCol w:w="630"/>
      </w:tblGrid>
      <w:tr w:rsidR="0005211B" w14:paraId="75782D26" w14:textId="77777777" w:rsidTr="00F73A56">
        <w:tc>
          <w:tcPr>
            <w:tcW w:w="7920" w:type="dxa"/>
            <w:shd w:val="clear" w:color="auto" w:fill="auto"/>
            <w:vAlign w:val="center"/>
          </w:tcPr>
          <w:p w14:paraId="38B18C46" w14:textId="77E9B3B5" w:rsidR="0005211B" w:rsidRDefault="007F38FB" w:rsidP="00E801F5">
            <w:pPr>
              <w:spacing w:line="240" w:lineRule="auto"/>
              <w:jc w:val="center"/>
            </w:pPr>
            <m:oMathPara>
              <m:oMath>
                <m:sSub>
                  <m:sSubPr>
                    <m:ctrlPr>
                      <w:rPr>
                        <w:rFonts w:ascii="Cambria Math" w:hAnsi="Cambria Math"/>
                        <w:i/>
                      </w:rPr>
                    </m:ctrlPr>
                  </m:sSubPr>
                  <m:e>
                    <m:r>
                      <w:rPr>
                        <w:rFonts w:ascii="Cambria Math" w:hAnsi="Cambria Math"/>
                      </w:rPr>
                      <m:t>σ</m:t>
                    </m:r>
                  </m:e>
                  <m:sub>
                    <m:r>
                      <w:rPr>
                        <w:rFonts w:ascii="Cambria Math" w:hAnsi="Cambria Math"/>
                      </w:rPr>
                      <m:t>f</m:t>
                    </m:r>
                  </m:sub>
                </m:sSub>
                <m:r>
                  <w:rPr>
                    <w:rFonts w:ascii="Cambria Math" w:hAnsi="Cambria Math"/>
                  </w:rPr>
                  <m:t>=</m:t>
                </m:r>
                <m:f>
                  <m:fPr>
                    <m:ctrlPr>
                      <w:rPr>
                        <w:rFonts w:ascii="Cambria Math" w:hAnsi="Cambria Math"/>
                        <w:i/>
                      </w:rPr>
                    </m:ctrlPr>
                  </m:fPr>
                  <m:num>
                    <m:r>
                      <w:rPr>
                        <w:rFonts w:ascii="Cambria Math" w:hAnsi="Cambria Math"/>
                      </w:rPr>
                      <m:t>3</m:t>
                    </m:r>
                    <m:sSub>
                      <m:sSubPr>
                        <m:ctrlPr>
                          <w:rPr>
                            <w:rFonts w:ascii="Cambria Math" w:hAnsi="Cambria Math"/>
                            <w:i/>
                          </w:rPr>
                        </m:ctrlPr>
                      </m:sSubPr>
                      <m:e>
                        <m:r>
                          <w:rPr>
                            <w:rFonts w:ascii="Cambria Math" w:hAnsi="Cambria Math"/>
                          </w:rPr>
                          <m:t>P</m:t>
                        </m:r>
                      </m:e>
                      <m:sub>
                        <m:r>
                          <w:rPr>
                            <w:rFonts w:ascii="Cambria Math" w:hAnsi="Cambria Math"/>
                          </w:rPr>
                          <m:t>max</m:t>
                        </m:r>
                      </m:sub>
                    </m:sSub>
                    <m:r>
                      <w:rPr>
                        <w:rFonts w:ascii="Cambria Math" w:hAnsi="Cambria Math"/>
                      </w:rPr>
                      <m:t>L</m:t>
                    </m:r>
                  </m:num>
                  <m:den>
                    <m:sSup>
                      <m:sSupPr>
                        <m:ctrlPr>
                          <w:rPr>
                            <w:rFonts w:ascii="Cambria Math" w:hAnsi="Cambria Math"/>
                            <w:i/>
                          </w:rPr>
                        </m:ctrlPr>
                      </m:sSupPr>
                      <m:e>
                        <m:r>
                          <w:rPr>
                            <w:rFonts w:ascii="Cambria Math" w:hAnsi="Cambria Math"/>
                          </w:rPr>
                          <m:t>2bd</m:t>
                        </m:r>
                      </m:e>
                      <m:sup>
                        <m:r>
                          <w:rPr>
                            <w:rFonts w:ascii="Cambria Math" w:hAnsi="Cambria Math"/>
                          </w:rPr>
                          <m:t>2</m:t>
                        </m:r>
                      </m:sup>
                    </m:sSup>
                  </m:den>
                </m:f>
              </m:oMath>
            </m:oMathPara>
          </w:p>
        </w:tc>
        <w:tc>
          <w:tcPr>
            <w:tcW w:w="630" w:type="dxa"/>
            <w:shd w:val="clear" w:color="auto" w:fill="auto"/>
            <w:vAlign w:val="center"/>
          </w:tcPr>
          <w:p w14:paraId="0E5F34C5" w14:textId="6A655D04" w:rsidR="0005211B" w:rsidRDefault="0005211B" w:rsidP="00DF687B">
            <w:pPr>
              <w:spacing w:line="240" w:lineRule="auto"/>
              <w:jc w:val="right"/>
            </w:pPr>
            <w:r>
              <w:t>(</w:t>
            </w:r>
            <w:r w:rsidR="001514A2">
              <w:t>4</w:t>
            </w:r>
            <w:r>
              <w:t>)</w:t>
            </w:r>
          </w:p>
        </w:tc>
      </w:tr>
    </w:tbl>
    <w:p w14:paraId="1E6904DE" w14:textId="77777777" w:rsidR="008679F1" w:rsidRDefault="008679F1" w:rsidP="008679F1">
      <w:pPr>
        <w:spacing w:line="240" w:lineRule="auto"/>
      </w:pPr>
    </w:p>
    <w:p w14:paraId="7B693DA0" w14:textId="5CF63BBC" w:rsidR="0005211B" w:rsidRDefault="0005211B" w:rsidP="0005211B">
      <w:proofErr w:type="gramStart"/>
      <w:r>
        <w:t>where</w:t>
      </w:r>
      <w:proofErr w:type="gramEnd"/>
      <w:r>
        <w:t xml:space="preserve"> </w:t>
      </w:r>
      <w:r>
        <w:rPr>
          <w:i/>
        </w:rPr>
        <w:t>P</w:t>
      </w:r>
      <w:r w:rsidR="00E801F5" w:rsidRPr="00E801F5">
        <w:rPr>
          <w:i/>
          <w:vertAlign w:val="subscript"/>
        </w:rPr>
        <w:t>max</w:t>
      </w:r>
      <w:r>
        <w:t xml:space="preserve"> is the </w:t>
      </w:r>
      <w:r w:rsidR="00E801F5">
        <w:t xml:space="preserve">failure </w:t>
      </w:r>
      <w:r>
        <w:t xml:space="preserve">load (N), </w:t>
      </w:r>
      <w:r>
        <w:rPr>
          <w:i/>
        </w:rPr>
        <w:t>L</w:t>
      </w:r>
      <w:r>
        <w:t xml:space="preserve"> is the support span length (mm), </w:t>
      </w:r>
      <w:r>
        <w:rPr>
          <w:i/>
        </w:rPr>
        <w:t xml:space="preserve">b </w:t>
      </w:r>
      <w:r>
        <w:t xml:space="preserve">is the tested specimen beam width (mm), and </w:t>
      </w:r>
      <w:r>
        <w:rPr>
          <w:i/>
        </w:rPr>
        <w:t>d</w:t>
      </w:r>
      <w:r>
        <w:t xml:space="preserve"> is the depth or thickness of the specimen </w:t>
      </w:r>
      <w:r w:rsidR="0044417E">
        <w:t>beam (mm).</w:t>
      </w:r>
    </w:p>
    <w:p w14:paraId="0F6E2CD9" w14:textId="37209454" w:rsidR="00E04B57" w:rsidRDefault="00E04B57" w:rsidP="009F647B">
      <w:pPr>
        <w:pStyle w:val="Heading3"/>
      </w:pPr>
      <w:bookmarkStart w:id="141" w:name="_Ref461605451"/>
      <w:bookmarkStart w:id="142" w:name="_Toc346310986"/>
      <w:r>
        <w:t>Laminate Flexur</w:t>
      </w:r>
      <w:r w:rsidR="00465876">
        <w:t>al</w:t>
      </w:r>
      <w:r>
        <w:t xml:space="preserve"> </w:t>
      </w:r>
      <w:r w:rsidR="009F647B">
        <w:t>Stiffness</w:t>
      </w:r>
      <w:r>
        <w:t xml:space="preserve"> Results</w:t>
      </w:r>
      <w:bookmarkEnd w:id="141"/>
      <w:bookmarkEnd w:id="142"/>
    </w:p>
    <w:p w14:paraId="7329F892" w14:textId="5DAACB5E" w:rsidR="001514A2" w:rsidRDefault="00CF0651" w:rsidP="00376B29">
      <w:pPr>
        <w:ind w:firstLine="360"/>
      </w:pPr>
      <w:r>
        <w:fldChar w:fldCharType="begin"/>
      </w:r>
      <w:r w:rsidR="00F66D28">
        <w:instrText xml:space="preserve"> REF _Ref461009269 \h </w:instrText>
      </w:r>
      <w:r>
        <w:fldChar w:fldCharType="separate"/>
      </w:r>
      <w:r w:rsidR="008A1992" w:rsidRPr="00F66D28">
        <w:t xml:space="preserve">Figure </w:t>
      </w:r>
      <w:r w:rsidR="008A1992">
        <w:rPr>
          <w:noProof/>
        </w:rPr>
        <w:t>3</w:t>
      </w:r>
      <w:r w:rsidR="008A1992">
        <w:t>.</w:t>
      </w:r>
      <w:r w:rsidR="008A1992">
        <w:rPr>
          <w:noProof/>
        </w:rPr>
        <w:t>1</w:t>
      </w:r>
      <w:r>
        <w:fldChar w:fldCharType="end"/>
      </w:r>
      <w:r w:rsidR="0035728F">
        <w:t>a</w:t>
      </w:r>
      <w:r w:rsidR="00F21542">
        <w:t xml:space="preserve"> and </w:t>
      </w:r>
      <w:r w:rsidR="0035728F">
        <w:t>b indicate both quartz-reinforced laminates have</w:t>
      </w:r>
      <w:r w:rsidR="00F21542">
        <w:t xml:space="preserve"> similar flexur</w:t>
      </w:r>
      <w:r w:rsidR="0035728F">
        <w:t>al</w:t>
      </w:r>
      <w:r w:rsidR="00F21542">
        <w:t xml:space="preserve"> stiffness values regardless of the matrix material (BMI or epoxy) and were within the range of 22 to 29 GPa.  </w:t>
      </w:r>
      <w:r w:rsidR="0035728F">
        <w:t>C</w:t>
      </w:r>
      <w:r w:rsidR="00F21542">
        <w:t>arbon</w:t>
      </w:r>
      <w:r w:rsidR="0035728F">
        <w:t xml:space="preserve"> fiber</w:t>
      </w:r>
      <w:r w:rsidR="00F21542">
        <w:t>-reinforced laminates</w:t>
      </w:r>
      <w:r w:rsidR="0035728F">
        <w:t>, on the othe</w:t>
      </w:r>
      <w:r w:rsidR="00AB4ABC">
        <w:t>r hand, had</w:t>
      </w:r>
      <w:r w:rsidR="0035728F">
        <w:t xml:space="preserve"> the highest flexural stiffness values ranging from 42 to 53 GPa, as shown in </w:t>
      </w:r>
      <w:r>
        <w:fldChar w:fldCharType="begin"/>
      </w:r>
      <w:r w:rsidR="00F66D28">
        <w:instrText xml:space="preserve"> REF _Ref461009269 \h </w:instrText>
      </w:r>
      <w:r>
        <w:fldChar w:fldCharType="separate"/>
      </w:r>
      <w:r w:rsidR="008A1992" w:rsidRPr="00F66D28">
        <w:t xml:space="preserve">Figure </w:t>
      </w:r>
      <w:r w:rsidR="008A1992">
        <w:rPr>
          <w:noProof/>
        </w:rPr>
        <w:t>3</w:t>
      </w:r>
      <w:r w:rsidR="008A1992">
        <w:t>.</w:t>
      </w:r>
      <w:r w:rsidR="008A1992">
        <w:rPr>
          <w:noProof/>
        </w:rPr>
        <w:t>1</w:t>
      </w:r>
      <w:r>
        <w:fldChar w:fldCharType="end"/>
      </w:r>
      <w:r w:rsidR="0035728F">
        <w:t>c</w:t>
      </w:r>
      <w:r w:rsidR="00F21542">
        <w:t xml:space="preserve">.  </w:t>
      </w:r>
      <w:r>
        <w:fldChar w:fldCharType="begin"/>
      </w:r>
      <w:r w:rsidR="00F66D28">
        <w:instrText xml:space="preserve"> REF _Ref461009269 \h </w:instrText>
      </w:r>
      <w:r>
        <w:fldChar w:fldCharType="separate"/>
      </w:r>
      <w:r w:rsidR="008A1992" w:rsidRPr="00F66D28">
        <w:t xml:space="preserve">Figure </w:t>
      </w:r>
      <w:r w:rsidR="008A1992">
        <w:rPr>
          <w:noProof/>
        </w:rPr>
        <w:t>3</w:t>
      </w:r>
      <w:r w:rsidR="008A1992">
        <w:t>.</w:t>
      </w:r>
      <w:r w:rsidR="008A1992">
        <w:rPr>
          <w:noProof/>
        </w:rPr>
        <w:t>1</w:t>
      </w:r>
      <w:r>
        <w:fldChar w:fldCharType="end"/>
      </w:r>
      <w:r w:rsidR="0035728F">
        <w:t>a-c also depict that the quartz-reinforced laminates have slightly larger percentage variation in flexural</w:t>
      </w:r>
      <w:r w:rsidR="00F21542">
        <w:t xml:space="preserve"> stiffness of approximately 20 – 25%, while the carbon-reinforced laminates </w:t>
      </w:r>
      <w:r w:rsidR="0035728F">
        <w:t>has</w:t>
      </w:r>
      <w:r w:rsidR="00F21542">
        <w:t xml:space="preserve"> a variation of 20% throughout the prepreg conditioning and fabrication pressure range.</w:t>
      </w:r>
      <w:r w:rsidR="0035728F">
        <w:t xml:space="preserve">  As expected, the flexural stiffness showed a strong dependence on the pressure, while the prepreg moisture content did not seem to yield a discernible effect on the laminate flexural stiffness.  A careful analysis of the data show that at a particular fiber volume fraction, the flexural stiffness is often reduced by as much as 10-15% when considering void fractions up to 3%.  Similar reduction levels have also been observed previously, where</w:t>
      </w:r>
      <w:r w:rsidR="00F21542">
        <w:t xml:space="preserve"> Liu et al.</w:t>
      </w:r>
      <w:r w:rsidR="00D37BB4">
        <w:t xml:space="preserve"> [17]</w:t>
      </w:r>
      <w:r w:rsidR="00F21542">
        <w:t xml:space="preserve"> reported a 15% </w:t>
      </w:r>
      <w:r w:rsidR="0035728F">
        <w:t xml:space="preserve">reduction in </w:t>
      </w:r>
      <w:r w:rsidR="0035728F">
        <w:lastRenderedPageBreak/>
        <w:t>flexural stiffness for carbon/epoxy (i.e., T700/TDE85) laminates that had a void fraction increase from 0.6 to 3.2%.</w:t>
      </w:r>
    </w:p>
    <w:p w14:paraId="3C9229C6" w14:textId="24FBA06F" w:rsidR="00F21542" w:rsidRDefault="00CE7CD7" w:rsidP="00CE7CD7">
      <w:pPr>
        <w:spacing w:line="240" w:lineRule="auto"/>
        <w:jc w:val="center"/>
      </w:pPr>
      <w:r>
        <w:rPr>
          <w:noProof/>
        </w:rPr>
        <w:drawing>
          <wp:inline distT="0" distB="0" distL="0" distR="0" wp14:anchorId="644699B0" wp14:editId="5E081722">
            <wp:extent cx="5394960" cy="22860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4E596A9E" w14:textId="31CE94FF" w:rsidR="00F66D28" w:rsidRDefault="00CE7CD7" w:rsidP="00CE7CD7">
      <w:pPr>
        <w:spacing w:line="240" w:lineRule="auto"/>
        <w:jc w:val="center"/>
      </w:pPr>
      <w:r>
        <w:rPr>
          <w:noProof/>
        </w:rPr>
        <w:drawing>
          <wp:inline distT="0" distB="0" distL="0" distR="0" wp14:anchorId="5D36C976" wp14:editId="11E85652">
            <wp:extent cx="5394960" cy="22860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5914D183" w14:textId="2E884566" w:rsidR="00CE7CD7" w:rsidRDefault="00CE7CD7" w:rsidP="00CE7CD7">
      <w:pPr>
        <w:spacing w:line="240" w:lineRule="auto"/>
        <w:jc w:val="center"/>
      </w:pPr>
      <w:r>
        <w:rPr>
          <w:noProof/>
        </w:rPr>
        <w:drawing>
          <wp:inline distT="0" distB="0" distL="0" distR="0" wp14:anchorId="3CDB2A14" wp14:editId="6901789D">
            <wp:extent cx="5394960" cy="22860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034AFEC6" w14:textId="7C48CDEE" w:rsidR="00F66D28" w:rsidRDefault="00F66D28" w:rsidP="00F66D28">
      <w:pPr>
        <w:pStyle w:val="Caption"/>
        <w:spacing w:line="240" w:lineRule="auto"/>
        <w:jc w:val="center"/>
        <w:rPr>
          <w:b w:val="0"/>
          <w:bCs w:val="0"/>
        </w:rPr>
      </w:pPr>
      <w:bookmarkStart w:id="143" w:name="_Ref461009269"/>
      <w:bookmarkStart w:id="144" w:name="_Toc346310429"/>
      <w:proofErr w:type="gramStart"/>
      <w:r w:rsidRPr="00F66D28">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3</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proofErr w:type="gramStart"/>
      <w:r w:rsidR="008A1992">
        <w:rPr>
          <w:noProof/>
          <w:sz w:val="24"/>
        </w:rPr>
        <w:t>1</w:t>
      </w:r>
      <w:r w:rsidR="00C16D85">
        <w:rPr>
          <w:sz w:val="24"/>
        </w:rPr>
        <w:fldChar w:fldCharType="end"/>
      </w:r>
      <w:bookmarkEnd w:id="143"/>
      <w:r w:rsidRPr="00F66D28">
        <w:rPr>
          <w:sz w:val="24"/>
        </w:rPr>
        <w:t xml:space="preserve"> </w:t>
      </w:r>
      <w:r w:rsidR="0044417E">
        <w:rPr>
          <w:sz w:val="24"/>
        </w:rPr>
        <w:t>Average flexural</w:t>
      </w:r>
      <w:r w:rsidRPr="00F66D28">
        <w:rPr>
          <w:sz w:val="24"/>
        </w:rPr>
        <w:t xml:space="preserve"> stiffness </w:t>
      </w:r>
      <w:r w:rsidR="00CE7CD7">
        <w:rPr>
          <w:sz w:val="24"/>
        </w:rPr>
        <w:t>for varying prepreg</w:t>
      </w:r>
      <w:r w:rsidR="0044417E">
        <w:rPr>
          <w:sz w:val="24"/>
        </w:rPr>
        <w:t xml:space="preserve"> h</w:t>
      </w:r>
      <w:r>
        <w:rPr>
          <w:sz w:val="24"/>
        </w:rPr>
        <w:t>umidity conditioning</w:t>
      </w:r>
      <w:r w:rsidRPr="00FE685E">
        <w:rPr>
          <w:sz w:val="24"/>
        </w:rPr>
        <w:t xml:space="preserve"> and fab</w:t>
      </w:r>
      <w:r w:rsidR="0044417E">
        <w:rPr>
          <w:sz w:val="24"/>
        </w:rPr>
        <w:t>rication pressure for (a) Quartz/BMI, (b) Quartz/Epoxy, and (c</w:t>
      </w:r>
      <w:r w:rsidRPr="00FE685E">
        <w:rPr>
          <w:sz w:val="24"/>
        </w:rPr>
        <w:t>) Carbon/Epoxy</w:t>
      </w:r>
      <w:r>
        <w:rPr>
          <w:sz w:val="24"/>
        </w:rPr>
        <w:t>.</w:t>
      </w:r>
      <w:proofErr w:type="gramEnd"/>
      <w:r>
        <w:rPr>
          <w:sz w:val="24"/>
        </w:rPr>
        <w:t xml:space="preserve">  Error bars are associated with 95% confidence</w:t>
      </w:r>
      <w:r w:rsidR="00AB4ABC">
        <w:rPr>
          <w:sz w:val="24"/>
        </w:rPr>
        <w:t xml:space="preserve"> for n=6 samples</w:t>
      </w:r>
      <w:bookmarkEnd w:id="144"/>
      <w:r>
        <w:br w:type="page"/>
      </w:r>
    </w:p>
    <w:p w14:paraId="4667CBBC" w14:textId="749AA1E8" w:rsidR="00F21542" w:rsidRDefault="000209A1" w:rsidP="00F21542">
      <w:pPr>
        <w:pStyle w:val="Heading3"/>
      </w:pPr>
      <w:bookmarkStart w:id="145" w:name="_Ref344617975"/>
      <w:bookmarkStart w:id="146" w:name="_Toc346310987"/>
      <w:r>
        <w:lastRenderedPageBreak/>
        <w:t>Laminate Flexural</w:t>
      </w:r>
      <w:r w:rsidR="00F21542">
        <w:t xml:space="preserve"> Strength</w:t>
      </w:r>
      <w:r w:rsidR="009F647B">
        <w:t xml:space="preserve"> Results</w:t>
      </w:r>
      <w:bookmarkEnd w:id="145"/>
      <w:bookmarkEnd w:id="146"/>
    </w:p>
    <w:p w14:paraId="6AA29F42" w14:textId="3DDCC323" w:rsidR="00A9607D" w:rsidRDefault="00CF0651" w:rsidP="001514A2">
      <w:pPr>
        <w:ind w:firstLine="360"/>
      </w:pPr>
      <w:r>
        <w:fldChar w:fldCharType="begin"/>
      </w:r>
      <w:r w:rsidR="009A4869">
        <w:instrText xml:space="preserve"> REF _Ref461010763 \h </w:instrText>
      </w:r>
      <w:r>
        <w:fldChar w:fldCharType="separate"/>
      </w:r>
      <w:r w:rsidR="008A1992" w:rsidRPr="00936D78">
        <w:t xml:space="preserve">Figure </w:t>
      </w:r>
      <w:r w:rsidR="008A1992">
        <w:rPr>
          <w:noProof/>
        </w:rPr>
        <w:t>3</w:t>
      </w:r>
      <w:r w:rsidR="008A1992">
        <w:t>.</w:t>
      </w:r>
      <w:r w:rsidR="008A1992">
        <w:rPr>
          <w:noProof/>
        </w:rPr>
        <w:t>2</w:t>
      </w:r>
      <w:r>
        <w:fldChar w:fldCharType="end"/>
      </w:r>
      <w:r w:rsidR="0035728F">
        <w:t>a-c indicate that the quartz/BMI laminates have</w:t>
      </w:r>
      <w:r w:rsidR="00F21542">
        <w:t xml:space="preserve"> the lowest flexur</w:t>
      </w:r>
      <w:r w:rsidR="0035728F">
        <w:t>al</w:t>
      </w:r>
      <w:r w:rsidR="00F21542">
        <w:t xml:space="preserve"> strength values of the three prepreg material systems </w:t>
      </w:r>
      <w:r w:rsidR="0035728F">
        <w:t xml:space="preserve">used </w:t>
      </w:r>
      <w:r w:rsidR="00F21542">
        <w:t xml:space="preserve">in this study, with strength values </w:t>
      </w:r>
      <w:r w:rsidR="0035728F">
        <w:t>ranging from</w:t>
      </w:r>
      <w:r w:rsidR="00F21542">
        <w:t xml:space="preserve"> 425 to 600 MPa.  </w:t>
      </w:r>
      <w:r w:rsidR="0035728F">
        <w:t>The two epoxy-</w:t>
      </w:r>
      <w:r w:rsidR="00B93B51">
        <w:t>matrix laminates have</w:t>
      </w:r>
      <w:r w:rsidR="00F21542">
        <w:t xml:space="preserve"> higher flexur</w:t>
      </w:r>
      <w:r w:rsidR="00B93B51">
        <w:t>al</w:t>
      </w:r>
      <w:r w:rsidR="00F21542">
        <w:t xml:space="preserve"> strength values</w:t>
      </w:r>
      <w:r w:rsidR="00B93B51">
        <w:t xml:space="preserve">, both with a maximum of about 950 MPa.  The flexural strength of quartz/epoxy laminates shown in </w:t>
      </w:r>
      <w:r>
        <w:fldChar w:fldCharType="begin"/>
      </w:r>
      <w:r w:rsidR="009A4869">
        <w:instrText xml:space="preserve"> REF _Ref461010763 \h </w:instrText>
      </w:r>
      <w:r>
        <w:fldChar w:fldCharType="separate"/>
      </w:r>
      <w:r w:rsidR="008A1992" w:rsidRPr="00936D78">
        <w:t xml:space="preserve">Figure </w:t>
      </w:r>
      <w:r w:rsidR="008A1992">
        <w:rPr>
          <w:noProof/>
        </w:rPr>
        <w:t>3</w:t>
      </w:r>
      <w:r w:rsidR="008A1992">
        <w:t>.</w:t>
      </w:r>
      <w:r w:rsidR="008A1992">
        <w:rPr>
          <w:noProof/>
        </w:rPr>
        <w:t>2</w:t>
      </w:r>
      <w:r>
        <w:fldChar w:fldCharType="end"/>
      </w:r>
      <w:r w:rsidR="00AB4ABC">
        <w:t>b varied</w:t>
      </w:r>
      <w:r w:rsidR="00B93B51">
        <w:t xml:space="preserve"> from 562 to 967 MPa,</w:t>
      </w:r>
      <w:r w:rsidR="00F21542">
        <w:t xml:space="preserve"> </w:t>
      </w:r>
      <w:r w:rsidR="00B93B51">
        <w:t>or</w:t>
      </w:r>
      <w:r w:rsidR="00F21542">
        <w:t xml:space="preserve"> approximately</w:t>
      </w:r>
      <w:r w:rsidR="00B93B51">
        <w:t xml:space="preserve"> by</w:t>
      </w:r>
      <w:r w:rsidR="00F21542">
        <w:t xml:space="preserve"> 40%</w:t>
      </w:r>
      <w:r w:rsidR="00B93B51">
        <w:t>,</w:t>
      </w:r>
      <w:r w:rsidR="00F21542">
        <w:t xml:space="preserve"> which is most likely due to these laminates having the highest variation in void </w:t>
      </w:r>
      <w:r w:rsidR="00AB4ABC">
        <w:t xml:space="preserve">volume </w:t>
      </w:r>
      <w:r w:rsidR="00B93B51">
        <w:t>fraction</w:t>
      </w:r>
      <w:r w:rsidR="00F21542">
        <w:t>.  The carbon-reinforced laminates (</w:t>
      </w:r>
      <w:r>
        <w:fldChar w:fldCharType="begin"/>
      </w:r>
      <w:r w:rsidR="009A4869">
        <w:instrText xml:space="preserve"> REF _Ref461010763 \h </w:instrText>
      </w:r>
      <w:r>
        <w:fldChar w:fldCharType="separate"/>
      </w:r>
      <w:r w:rsidR="008A1992" w:rsidRPr="00936D78">
        <w:t xml:space="preserve">Figure </w:t>
      </w:r>
      <w:r w:rsidR="008A1992">
        <w:rPr>
          <w:noProof/>
        </w:rPr>
        <w:t>3</w:t>
      </w:r>
      <w:r w:rsidR="008A1992">
        <w:t>.</w:t>
      </w:r>
      <w:r w:rsidR="008A1992">
        <w:rPr>
          <w:noProof/>
        </w:rPr>
        <w:t>2</w:t>
      </w:r>
      <w:r>
        <w:fldChar w:fldCharType="end"/>
      </w:r>
      <w:r w:rsidR="00B93B51">
        <w:t>c</w:t>
      </w:r>
      <w:r w:rsidR="00F21542">
        <w:t xml:space="preserve">) had a flexure strength reduction of 23% </w:t>
      </w:r>
      <w:r w:rsidR="00AB4ABC">
        <w:t>as</w:t>
      </w:r>
      <w:r w:rsidR="00B93B51">
        <w:t xml:space="preserve"> void</w:t>
      </w:r>
      <w:r w:rsidR="00AB4ABC">
        <w:t xml:space="preserve"> volume</w:t>
      </w:r>
      <w:r w:rsidR="00B93B51">
        <w:t xml:space="preserve"> fraction </w:t>
      </w:r>
      <w:r w:rsidR="00AB4ABC">
        <w:t xml:space="preserve">increased </w:t>
      </w:r>
      <w:r w:rsidR="00B93B51">
        <w:t xml:space="preserve">from 1.3 to 4.8%.  </w:t>
      </w:r>
      <w:r w:rsidR="00F21542">
        <w:t xml:space="preserve">This is very similar to the </w:t>
      </w:r>
      <w:r w:rsidR="00B93B51">
        <w:t>reduction levels reported</w:t>
      </w:r>
      <w:r w:rsidR="00F21542">
        <w:t xml:space="preserve"> by Liu et al.</w:t>
      </w:r>
      <w:r w:rsidR="00D37BB4">
        <w:t xml:space="preserve"> [17]</w:t>
      </w:r>
      <w:r w:rsidR="00F21542">
        <w:t xml:space="preserve">, where a strength reduction of nearly 20% </w:t>
      </w:r>
      <w:r w:rsidR="00B93B51">
        <w:t xml:space="preserve">was observed </w:t>
      </w:r>
      <w:r w:rsidR="00F21542">
        <w:t xml:space="preserve">as void </w:t>
      </w:r>
      <w:r w:rsidR="00B93B51">
        <w:t>fraction</w:t>
      </w:r>
      <w:r w:rsidR="00F21542">
        <w:t xml:space="preserve"> increased from 0.6 to 3.2%.  Typically, reducing </w:t>
      </w:r>
      <w:r w:rsidR="00B93B51">
        <w:t xml:space="preserve">the relative humidity level of the </w:t>
      </w:r>
      <w:r w:rsidR="00F21542">
        <w:t>prepreg conditioning level and increasing fabrication pressure achieved th</w:t>
      </w:r>
      <w:r w:rsidR="00B93B51">
        <w:t>e largest improvement in flexural</w:t>
      </w:r>
      <w:r w:rsidR="00F21542">
        <w:t xml:space="preserve"> strength.  </w:t>
      </w:r>
      <w:r w:rsidR="00B93B51">
        <w:t xml:space="preserve">For example, for quartz/epoxy laminates cured at 68.9 kPa, decreasing the relative humidity level from 99% to 2% improved the flexural strength by nearly 30% (i.e., from 562.2 to 721.9 MPa).  Increasing the fabrication pressure to 482.6 kPa for these laminates improved the flexural strength further by more than 13% to 818.1 MPa.  Thus, by only controlling the storage environment at a low humidity level and applying a higher processing pressure, one can increase the flexural strength by 45%.  It is interesting to note that for all three material systems, the flexural strength values observed at the highest relative humidity exposure and fabrication pressure were 50-80 MPa higher than the strength values obtained at the lowest relative humidity and </w:t>
      </w:r>
      <w:r w:rsidR="00B93B51">
        <w:lastRenderedPageBreak/>
        <w:t>fabrication pressure.  Thus, the importance of applying higher fabrication pressure is validated, particularly if the prepregs are stored in a highly humid environment.</w:t>
      </w:r>
    </w:p>
    <w:p w14:paraId="7BC49F9C" w14:textId="7948725A" w:rsidR="00F21542" w:rsidRDefault="00CD4606" w:rsidP="00CD4606">
      <w:pPr>
        <w:spacing w:line="240" w:lineRule="auto"/>
        <w:jc w:val="center"/>
      </w:pPr>
      <w:r>
        <w:rPr>
          <w:noProof/>
        </w:rPr>
        <w:drawing>
          <wp:inline distT="0" distB="0" distL="0" distR="0" wp14:anchorId="6B57DE21" wp14:editId="2170E91C">
            <wp:extent cx="5394960" cy="228600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412C0E72" w14:textId="43F1EEB0" w:rsidR="00A9607D" w:rsidRDefault="00CD4606" w:rsidP="00CD4606">
      <w:pPr>
        <w:spacing w:line="240" w:lineRule="auto"/>
        <w:jc w:val="center"/>
      </w:pPr>
      <w:r>
        <w:rPr>
          <w:noProof/>
        </w:rPr>
        <w:drawing>
          <wp:inline distT="0" distB="0" distL="0" distR="0" wp14:anchorId="335EA3DD" wp14:editId="699375B6">
            <wp:extent cx="5394960" cy="228600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5232FF1C" w14:textId="6427A34E" w:rsidR="00936D78" w:rsidRDefault="00CD4606" w:rsidP="00CD4606">
      <w:pPr>
        <w:keepNext/>
        <w:spacing w:after="120" w:line="240" w:lineRule="auto"/>
        <w:jc w:val="center"/>
      </w:pPr>
      <w:r>
        <w:rPr>
          <w:noProof/>
        </w:rPr>
        <w:drawing>
          <wp:inline distT="0" distB="0" distL="0" distR="0" wp14:anchorId="5FB0D062" wp14:editId="7F6BF049">
            <wp:extent cx="5394960" cy="228600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0971AAE5" w14:textId="5936E8A9" w:rsidR="00936D78" w:rsidRDefault="00936D78" w:rsidP="00936D78">
      <w:pPr>
        <w:pStyle w:val="Caption"/>
        <w:spacing w:line="240" w:lineRule="auto"/>
        <w:jc w:val="center"/>
        <w:rPr>
          <w:b w:val="0"/>
          <w:bCs w:val="0"/>
        </w:rPr>
      </w:pPr>
      <w:bookmarkStart w:id="147" w:name="_Ref461010763"/>
      <w:bookmarkStart w:id="148" w:name="_Toc346310430"/>
      <w:proofErr w:type="gramStart"/>
      <w:r w:rsidRPr="00936D78">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3</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proofErr w:type="gramStart"/>
      <w:r w:rsidR="008A1992">
        <w:rPr>
          <w:noProof/>
          <w:sz w:val="24"/>
        </w:rPr>
        <w:t>2</w:t>
      </w:r>
      <w:r w:rsidR="00C16D85">
        <w:rPr>
          <w:sz w:val="24"/>
        </w:rPr>
        <w:fldChar w:fldCharType="end"/>
      </w:r>
      <w:bookmarkEnd w:id="147"/>
      <w:r w:rsidR="00D2553C">
        <w:rPr>
          <w:sz w:val="24"/>
        </w:rPr>
        <w:t xml:space="preserve"> Average flexural</w:t>
      </w:r>
      <w:r w:rsidRPr="00936D78">
        <w:rPr>
          <w:sz w:val="24"/>
        </w:rPr>
        <w:t xml:space="preserve"> strength </w:t>
      </w:r>
      <w:r w:rsidR="00CD4606">
        <w:rPr>
          <w:sz w:val="24"/>
        </w:rPr>
        <w:t>for varying prepreg</w:t>
      </w:r>
      <w:r w:rsidR="00D2553C">
        <w:rPr>
          <w:sz w:val="24"/>
        </w:rPr>
        <w:t xml:space="preserve"> h</w:t>
      </w:r>
      <w:r>
        <w:rPr>
          <w:sz w:val="24"/>
        </w:rPr>
        <w:t>umidity conditioning</w:t>
      </w:r>
      <w:r w:rsidRPr="00FE685E">
        <w:rPr>
          <w:sz w:val="24"/>
        </w:rPr>
        <w:t xml:space="preserve"> and fab</w:t>
      </w:r>
      <w:r w:rsidR="00D2553C">
        <w:rPr>
          <w:sz w:val="24"/>
        </w:rPr>
        <w:t>rication pressure for (a) Quartz/BMI, (b) Quartz/Epoxy, and (c</w:t>
      </w:r>
      <w:r w:rsidRPr="00FE685E">
        <w:rPr>
          <w:sz w:val="24"/>
        </w:rPr>
        <w:t>) Carbon/Epoxy</w:t>
      </w:r>
      <w:r>
        <w:rPr>
          <w:sz w:val="24"/>
        </w:rPr>
        <w:t>.</w:t>
      </w:r>
      <w:proofErr w:type="gramEnd"/>
      <w:r>
        <w:rPr>
          <w:sz w:val="24"/>
        </w:rPr>
        <w:t xml:space="preserve">  Error bars are associated with 95% confidence</w:t>
      </w:r>
      <w:r w:rsidR="00AB4ABC">
        <w:rPr>
          <w:sz w:val="24"/>
        </w:rPr>
        <w:t xml:space="preserve"> for n=6 samples</w:t>
      </w:r>
      <w:bookmarkEnd w:id="148"/>
      <w:r>
        <w:br w:type="page"/>
      </w:r>
    </w:p>
    <w:p w14:paraId="1ACE05BC" w14:textId="24685DB5" w:rsidR="009F647B" w:rsidRDefault="009F647B" w:rsidP="009F647B">
      <w:pPr>
        <w:pStyle w:val="Heading3"/>
      </w:pPr>
      <w:bookmarkStart w:id="149" w:name="_Ref344127050"/>
      <w:bookmarkStart w:id="150" w:name="_Toc346310988"/>
      <w:r>
        <w:lastRenderedPageBreak/>
        <w:t>Effect of Prepreg Humidity Exposure on Laminate Flexural Stiffness</w:t>
      </w:r>
      <w:bookmarkEnd w:id="149"/>
      <w:bookmarkEnd w:id="150"/>
    </w:p>
    <w:p w14:paraId="52DF9E1A" w14:textId="0698BA64" w:rsidR="009F647B" w:rsidRDefault="00D80AD2" w:rsidP="009F647B">
      <w:pPr>
        <w:ind w:firstLine="360"/>
      </w:pPr>
      <w:r>
        <w:t>The effect of prepreg hum</w:t>
      </w:r>
      <w:r w:rsidR="000347C4">
        <w:t>idity conditioning on the</w:t>
      </w:r>
      <w:r>
        <w:t xml:space="preserve"> laminate flexural stiffness is shown in </w:t>
      </w:r>
      <w:r>
        <w:fldChar w:fldCharType="begin"/>
      </w:r>
      <w:r>
        <w:instrText xml:space="preserve"> REF _Ref343322919 \h </w:instrText>
      </w:r>
      <w:r>
        <w:fldChar w:fldCharType="separate"/>
      </w:r>
      <w:r w:rsidR="008A1992" w:rsidRPr="005A3F0A">
        <w:t xml:space="preserve">Figure </w:t>
      </w:r>
      <w:r w:rsidR="008A1992">
        <w:rPr>
          <w:noProof/>
        </w:rPr>
        <w:t>3</w:t>
      </w:r>
      <w:r w:rsidR="008A1992">
        <w:t>.</w:t>
      </w:r>
      <w:r w:rsidR="008A1992">
        <w:rPr>
          <w:noProof/>
        </w:rPr>
        <w:t>3</w:t>
      </w:r>
      <w:r>
        <w:fldChar w:fldCharType="end"/>
      </w:r>
      <w:r>
        <w:t xml:space="preserve">.  </w:t>
      </w:r>
      <w:r w:rsidR="00961779">
        <w:t xml:space="preserve">The linear trend line equations for each prepreg conditioning and fabrication pressure specimen are provided in </w:t>
      </w:r>
      <w:r w:rsidR="00961779">
        <w:fldChar w:fldCharType="begin"/>
      </w:r>
      <w:r w:rsidR="00961779">
        <w:instrText xml:space="preserve"> REF _Ref343840485 \h </w:instrText>
      </w:r>
      <w:r w:rsidR="00961779">
        <w:fldChar w:fldCharType="separate"/>
      </w:r>
      <w:r w:rsidR="008A1992" w:rsidRPr="00CB34C4">
        <w:t xml:space="preserve">Table </w:t>
      </w:r>
      <w:r w:rsidR="008A1992">
        <w:rPr>
          <w:noProof/>
        </w:rPr>
        <w:t>3</w:t>
      </w:r>
      <w:r w:rsidR="008A1992">
        <w:t>.</w:t>
      </w:r>
      <w:r w:rsidR="008A1992">
        <w:rPr>
          <w:noProof/>
        </w:rPr>
        <w:t>1</w:t>
      </w:r>
      <w:r w:rsidR="00961779">
        <w:fldChar w:fldCharType="end"/>
      </w:r>
      <w:r w:rsidR="00961779">
        <w:t xml:space="preserve">.  </w:t>
      </w:r>
      <w:r w:rsidR="00BD3280">
        <w:t xml:space="preserve">The experimental data clearly exhibited very limited effects of humidity exposure on the flexural stiffness.  Therefore, higher order trend line representations (i.e. polynomial) would not be an accurate representation of the flexural stiffness.  </w:t>
      </w:r>
      <w:r w:rsidR="00064283">
        <w:t>For each prepreg material, varying h</w:t>
      </w:r>
      <w:r>
        <w:t xml:space="preserve">umidity exposure did not </w:t>
      </w:r>
      <w:r w:rsidR="00064283">
        <w:t>significantly change the flexural stiffness, illustrated by each material having low increasing rates.  For example, the most extreme case was observed with carbon fiber reinforced epoxy laminates</w:t>
      </w:r>
      <w:r w:rsidR="00C63405">
        <w:t xml:space="preserve"> (</w:t>
      </w:r>
      <w:r w:rsidR="00C63405">
        <w:fldChar w:fldCharType="begin"/>
      </w:r>
      <w:r w:rsidR="00C63405">
        <w:instrText xml:space="preserve"> REF _Ref343322919 \h </w:instrText>
      </w:r>
      <w:r w:rsidR="00C63405">
        <w:fldChar w:fldCharType="separate"/>
      </w:r>
      <w:r w:rsidR="008A1992" w:rsidRPr="005A3F0A">
        <w:t xml:space="preserve">Figure </w:t>
      </w:r>
      <w:r w:rsidR="008A1992">
        <w:rPr>
          <w:noProof/>
        </w:rPr>
        <w:t>3</w:t>
      </w:r>
      <w:r w:rsidR="008A1992">
        <w:t>.</w:t>
      </w:r>
      <w:r w:rsidR="008A1992">
        <w:rPr>
          <w:noProof/>
        </w:rPr>
        <w:t>3</w:t>
      </w:r>
      <w:r w:rsidR="00C63405">
        <w:fldChar w:fldCharType="end"/>
      </w:r>
      <w:r w:rsidR="00C63405">
        <w:t>c) fabricated at 345 kPa, which</w:t>
      </w:r>
      <w:r w:rsidR="00064283">
        <w:t xml:space="preserve"> had a slope of 0.035 GPa / % relative humidity. </w:t>
      </w:r>
      <w:r w:rsidR="00C63405">
        <w:t xml:space="preserve"> Additionally, carbon fiber reinforcement has high baseline stiffness values of 43.6 GPa and greater.  Therefore, considering both the low increasing slope and high baseline stiffness</w:t>
      </w:r>
      <w:r w:rsidR="00CE011E">
        <w:t>,</w:t>
      </w:r>
      <w:r w:rsidR="00C63405">
        <w:t xml:space="preserve"> </w:t>
      </w:r>
      <w:r w:rsidR="00CE011E">
        <w:t>the laminate stiffness increased by less than 7.5% when humidity exposure was</w:t>
      </w:r>
      <w:r w:rsidR="00C63405">
        <w:t xml:space="preserve"> increased from zero to 100% relative humidity. </w:t>
      </w:r>
      <w:r w:rsidR="00CE011E">
        <w:t xml:space="preserve"> Quartz-reinforced laminates, shown in </w:t>
      </w:r>
      <w:r w:rsidR="00CE011E">
        <w:fldChar w:fldCharType="begin"/>
      </w:r>
      <w:r w:rsidR="00CE011E">
        <w:instrText xml:space="preserve"> REF _Ref343322919 \h </w:instrText>
      </w:r>
      <w:r w:rsidR="00CE011E">
        <w:fldChar w:fldCharType="separate"/>
      </w:r>
      <w:r w:rsidR="008A1992" w:rsidRPr="005A3F0A">
        <w:t xml:space="preserve">Figure </w:t>
      </w:r>
      <w:r w:rsidR="008A1992">
        <w:rPr>
          <w:noProof/>
        </w:rPr>
        <w:t>3</w:t>
      </w:r>
      <w:r w:rsidR="008A1992">
        <w:t>.</w:t>
      </w:r>
      <w:r w:rsidR="008A1992">
        <w:rPr>
          <w:noProof/>
        </w:rPr>
        <w:t>3</w:t>
      </w:r>
      <w:r w:rsidR="00CE011E">
        <w:fldChar w:fldCharType="end"/>
      </w:r>
      <w:proofErr w:type="gramStart"/>
      <w:r w:rsidR="00CE011E">
        <w:t>a and</w:t>
      </w:r>
      <w:proofErr w:type="gramEnd"/>
      <w:r w:rsidR="00CE011E">
        <w:t xml:space="preserve"> b, had even lower stiffness slopes due to humidity exposure, of no more than 0.015 GPa / % relative humidity for all fabrication levels.  Regardless of the matrix material (BMI and epoxy), b</w:t>
      </w:r>
      <w:r w:rsidR="002056B3">
        <w:t>oth quartz-reinforced laminates</w:t>
      </w:r>
      <w:r w:rsidR="00CE011E">
        <w:t xml:space="preserve"> </w:t>
      </w:r>
      <w:r w:rsidR="002056B3">
        <w:t xml:space="preserve">had similar stiffness offsets </w:t>
      </w:r>
      <w:r w:rsidR="00CE011E">
        <w:t>at the same fabrication pressure, which ranged from 22.7 to 29.2 GPa</w:t>
      </w:r>
      <w:r w:rsidR="002056B3">
        <w:t xml:space="preserve">. </w:t>
      </w:r>
      <w:r w:rsidR="00CE011E">
        <w:t xml:space="preserve"> Flexural stiffness increased as fabrication pressure increased for each prepreg material.  This was expected </w:t>
      </w:r>
      <w:r w:rsidR="002147CB">
        <w:t>because</w:t>
      </w:r>
      <w:r w:rsidR="00CE011E">
        <w:t xml:space="preserve"> stiffness is predominantly a fiber-dominated </w:t>
      </w:r>
      <w:r w:rsidR="002147CB">
        <w:t>phenomenon</w:t>
      </w:r>
      <w:r w:rsidR="00CE011E">
        <w:t>, and increasing pressure results in an increase in fiber volume fraction</w:t>
      </w:r>
      <w:r w:rsidR="002147CB">
        <w:t>.  The effect of fabrication pressure on flexural stiffness will be discussed in more detail in the next Section.</w:t>
      </w:r>
    </w:p>
    <w:p w14:paraId="756E5461" w14:textId="77777777" w:rsidR="00617FE7" w:rsidRDefault="00617FE7" w:rsidP="009F647B">
      <w:pPr>
        <w:ind w:firstLine="360"/>
      </w:pPr>
    </w:p>
    <w:p w14:paraId="66FD8A9D" w14:textId="34179200" w:rsidR="005A3F0A" w:rsidRDefault="00733F51" w:rsidP="005A3F0A">
      <w:pPr>
        <w:keepNext/>
        <w:jc w:val="center"/>
      </w:pPr>
      <w:r>
        <w:rPr>
          <w:noProof/>
        </w:rPr>
        <mc:AlternateContent>
          <mc:Choice Requires="wpg">
            <w:drawing>
              <wp:inline distT="0" distB="0" distL="0" distR="0" wp14:anchorId="0748C63F" wp14:editId="1A364CE0">
                <wp:extent cx="5394960" cy="4492854"/>
                <wp:effectExtent l="0" t="0" r="0" b="3175"/>
                <wp:docPr id="38" name="Group 7"/>
                <wp:cNvGraphicFramePr/>
                <a:graphic xmlns:a="http://schemas.openxmlformats.org/drawingml/2006/main">
                  <a:graphicData uri="http://schemas.microsoft.com/office/word/2010/wordprocessingGroup">
                    <wpg:wgp>
                      <wpg:cNvGrpSpPr/>
                      <wpg:grpSpPr>
                        <a:xfrm>
                          <a:off x="0" y="0"/>
                          <a:ext cx="5394960" cy="4492854"/>
                          <a:chOff x="0" y="0"/>
                          <a:chExt cx="5427165" cy="4519911"/>
                        </a:xfrm>
                      </wpg:grpSpPr>
                      <wpg:graphicFrame>
                        <wpg:cNvPr id="44" name="Chart 44"/>
                        <wpg:cNvFrPr/>
                        <wpg:xfrm>
                          <a:off x="2709827" y="0"/>
                          <a:ext cx="2717338" cy="2255618"/>
                        </wpg:xfrm>
                        <a:graphic>
                          <a:graphicData uri="http://schemas.openxmlformats.org/drawingml/2006/chart">
                            <c:chart xmlns:c="http://schemas.openxmlformats.org/drawingml/2006/chart" xmlns:r="http://schemas.openxmlformats.org/officeDocument/2006/relationships" r:id="rId70"/>
                          </a:graphicData>
                        </a:graphic>
                      </wpg:graphicFrame>
                      <wpg:graphicFrame>
                        <wpg:cNvPr id="45" name="Chart 45"/>
                        <wpg:cNvFrPr>
                          <a:graphicFrameLocks/>
                        </wpg:cNvFrPr>
                        <wpg:xfrm>
                          <a:off x="0" y="0"/>
                          <a:ext cx="2710633" cy="2255618"/>
                        </wpg:xfrm>
                        <a:graphic>
                          <a:graphicData uri="http://schemas.openxmlformats.org/drawingml/2006/chart">
                            <c:chart xmlns:c="http://schemas.openxmlformats.org/drawingml/2006/chart" xmlns:r="http://schemas.openxmlformats.org/officeDocument/2006/relationships" r:id="rId71"/>
                          </a:graphicData>
                        </a:graphic>
                      </wpg:graphicFrame>
                      <wpg:graphicFrame>
                        <wpg:cNvPr id="46" name="Chart 46"/>
                        <wpg:cNvFrPr>
                          <a:graphicFrameLocks/>
                        </wpg:cNvFrPr>
                        <wpg:xfrm>
                          <a:off x="1335590" y="2264293"/>
                          <a:ext cx="2710633" cy="2255618"/>
                        </wpg:xfrm>
                        <a:graphic>
                          <a:graphicData uri="http://schemas.openxmlformats.org/drawingml/2006/chart">
                            <c:chart xmlns:c="http://schemas.openxmlformats.org/drawingml/2006/chart" xmlns:r="http://schemas.openxmlformats.org/officeDocument/2006/relationships" r:id="rId72"/>
                          </a:graphicData>
                        </a:graphic>
                      </wpg:graphicFrame>
                    </wpg:wgp>
                  </a:graphicData>
                </a:graphic>
              </wp:inline>
            </w:drawing>
          </mc:Choice>
          <mc:Fallback xmlns:w15="http://schemas.microsoft.com/office/word/2012/wordml">
            <w:pict>
              <v:group w14:anchorId="2F11E10A" id="Group 7" o:spid="_x0000_s1026" style="width:424.8pt;height:353.75pt;mso-position-horizontal-relative:char;mso-position-vertical-relative:line" coordsize="54271,45199" o:gfxdata="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">
                <v:shape id="Chart 44" o:spid="_x0000_s1027" type="#_x0000_t75" style="position:absolute;left:27043;width:27228;height:22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">
                  <v:imagedata r:id="rId73" o:title=""/>
                  <o:lock v:ext="edit" aspectratio="f"/>
                </v:shape>
                <v:shape id="Chart 45" o:spid="_x0000_s1028" type="#_x0000_t75" style="position:absolute;width:27166;height:22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">
                  <v:imagedata r:id="rId74" o:title=""/>
                  <o:lock v:ext="edit" aspectratio="f"/>
                </v:shape>
                <v:shape id="Chart 46" o:spid="_x0000_s1029" type="#_x0000_t75" style="position:absolute;left:13307;top:22629;width:27166;height:2256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">
                  <v:imagedata r:id="rId75" o:title=""/>
                  <o:lock v:ext="edit" aspectratio="f"/>
                </v:shape>
                <w10:anchorlock/>
              </v:group>
            </w:pict>
          </mc:Fallback>
        </mc:AlternateContent>
      </w:r>
    </w:p>
    <w:p w14:paraId="22852626" w14:textId="7331B56C" w:rsidR="00C63405" w:rsidRDefault="005A3F0A" w:rsidP="005A3F0A">
      <w:pPr>
        <w:pStyle w:val="Caption"/>
        <w:spacing w:line="240" w:lineRule="auto"/>
        <w:jc w:val="center"/>
        <w:rPr>
          <w:sz w:val="24"/>
          <w:szCs w:val="24"/>
        </w:rPr>
      </w:pPr>
      <w:bookmarkStart w:id="151" w:name="_Ref343322919"/>
      <w:bookmarkStart w:id="152" w:name="_Toc346310431"/>
      <w:proofErr w:type="gramStart"/>
      <w:r w:rsidRPr="005A3F0A">
        <w:rPr>
          <w:sz w:val="24"/>
          <w:szCs w:val="24"/>
        </w:rPr>
        <w:t xml:space="preserve">Figure </w:t>
      </w:r>
      <w:r w:rsidR="00C16D85">
        <w:rPr>
          <w:sz w:val="24"/>
          <w:szCs w:val="24"/>
        </w:rPr>
        <w:fldChar w:fldCharType="begin"/>
      </w:r>
      <w:r w:rsidR="00C16D85">
        <w:rPr>
          <w:sz w:val="24"/>
          <w:szCs w:val="24"/>
        </w:rPr>
        <w:instrText xml:space="preserve"> STYLEREF 1 \s </w:instrText>
      </w:r>
      <w:r w:rsidR="00C16D85">
        <w:rPr>
          <w:sz w:val="24"/>
          <w:szCs w:val="24"/>
        </w:rPr>
        <w:fldChar w:fldCharType="separate"/>
      </w:r>
      <w:r w:rsidR="008A1992">
        <w:rPr>
          <w:noProof/>
          <w:sz w:val="24"/>
          <w:szCs w:val="24"/>
        </w:rPr>
        <w:t>3</w:t>
      </w:r>
      <w:r w:rsidR="00C16D85">
        <w:rPr>
          <w:sz w:val="24"/>
          <w:szCs w:val="24"/>
        </w:rPr>
        <w:fldChar w:fldCharType="end"/>
      </w:r>
      <w:r w:rsidR="00C16D85">
        <w:rPr>
          <w:sz w:val="24"/>
          <w:szCs w:val="24"/>
        </w:rPr>
        <w:t>.</w:t>
      </w:r>
      <w:proofErr w:type="gramEnd"/>
      <w:r w:rsidR="00C16D85">
        <w:rPr>
          <w:sz w:val="24"/>
          <w:szCs w:val="24"/>
        </w:rPr>
        <w:fldChar w:fldCharType="begin"/>
      </w:r>
      <w:r w:rsidR="00C16D85">
        <w:rPr>
          <w:sz w:val="24"/>
          <w:szCs w:val="24"/>
        </w:rPr>
        <w:instrText xml:space="preserve"> SEQ Figure \* ARABIC \s 1 </w:instrText>
      </w:r>
      <w:r w:rsidR="00C16D85">
        <w:rPr>
          <w:sz w:val="24"/>
          <w:szCs w:val="24"/>
        </w:rPr>
        <w:fldChar w:fldCharType="separate"/>
      </w:r>
      <w:r w:rsidR="008A1992">
        <w:rPr>
          <w:noProof/>
          <w:sz w:val="24"/>
          <w:szCs w:val="24"/>
        </w:rPr>
        <w:t>3</w:t>
      </w:r>
      <w:r w:rsidR="00C16D85">
        <w:rPr>
          <w:sz w:val="24"/>
          <w:szCs w:val="24"/>
        </w:rPr>
        <w:fldChar w:fldCharType="end"/>
      </w:r>
      <w:bookmarkEnd w:id="151"/>
      <w:r w:rsidRPr="005A3F0A">
        <w:rPr>
          <w:sz w:val="24"/>
          <w:szCs w:val="24"/>
        </w:rPr>
        <w:t xml:space="preserve"> Effect of prepreg humidity exposure on the flexural stiffness for (a) Quartz/</w:t>
      </w:r>
      <w:r w:rsidR="00695BAA">
        <w:rPr>
          <w:sz w:val="24"/>
          <w:szCs w:val="24"/>
        </w:rPr>
        <w:t>Epoxy</w:t>
      </w:r>
      <w:r w:rsidRPr="005A3F0A">
        <w:rPr>
          <w:sz w:val="24"/>
          <w:szCs w:val="24"/>
        </w:rPr>
        <w:t>, (b) Quartz/</w:t>
      </w:r>
      <w:r w:rsidR="00695BAA">
        <w:rPr>
          <w:sz w:val="24"/>
          <w:szCs w:val="24"/>
        </w:rPr>
        <w:t>BMI</w:t>
      </w:r>
      <w:r w:rsidRPr="005A3F0A">
        <w:rPr>
          <w:sz w:val="24"/>
          <w:szCs w:val="24"/>
        </w:rPr>
        <w:t>, and (c) Carbon/Epoxy</w:t>
      </w:r>
      <w:r w:rsidR="00617FE7">
        <w:rPr>
          <w:sz w:val="24"/>
          <w:szCs w:val="24"/>
        </w:rPr>
        <w:t xml:space="preserve"> laminates</w:t>
      </w:r>
      <w:bookmarkEnd w:id="152"/>
      <w:r w:rsidR="00C63405">
        <w:rPr>
          <w:sz w:val="24"/>
          <w:szCs w:val="24"/>
        </w:rPr>
        <w:br w:type="page"/>
      </w:r>
    </w:p>
    <w:p w14:paraId="44210497" w14:textId="7DF5CF8F" w:rsidR="00E67957" w:rsidRPr="00CB34C4" w:rsidRDefault="00E67957" w:rsidP="00E67957">
      <w:pPr>
        <w:pStyle w:val="Caption"/>
        <w:keepNext/>
        <w:spacing w:after="120" w:line="240" w:lineRule="auto"/>
        <w:jc w:val="center"/>
        <w:rPr>
          <w:sz w:val="24"/>
          <w:szCs w:val="24"/>
        </w:rPr>
      </w:pPr>
      <w:bookmarkStart w:id="153" w:name="_Ref343840485"/>
      <w:bookmarkStart w:id="154" w:name="_Toc346310852"/>
      <w:proofErr w:type="gramStart"/>
      <w:r w:rsidRPr="00CB34C4">
        <w:rPr>
          <w:sz w:val="24"/>
          <w:szCs w:val="24"/>
        </w:rPr>
        <w:lastRenderedPageBreak/>
        <w:t xml:space="preserve">Table </w:t>
      </w:r>
      <w:r w:rsidR="00707D23">
        <w:rPr>
          <w:sz w:val="24"/>
          <w:szCs w:val="24"/>
        </w:rPr>
        <w:fldChar w:fldCharType="begin"/>
      </w:r>
      <w:r w:rsidR="00707D23">
        <w:rPr>
          <w:sz w:val="24"/>
          <w:szCs w:val="24"/>
        </w:rPr>
        <w:instrText xml:space="preserve"> STYLEREF 1 \s </w:instrText>
      </w:r>
      <w:r w:rsidR="00707D23">
        <w:rPr>
          <w:sz w:val="24"/>
          <w:szCs w:val="24"/>
        </w:rPr>
        <w:fldChar w:fldCharType="separate"/>
      </w:r>
      <w:r w:rsidR="008A1992">
        <w:rPr>
          <w:noProof/>
          <w:sz w:val="24"/>
          <w:szCs w:val="24"/>
        </w:rPr>
        <w:t>3</w:t>
      </w:r>
      <w:r w:rsidR="00707D23">
        <w:rPr>
          <w:sz w:val="24"/>
          <w:szCs w:val="24"/>
        </w:rPr>
        <w:fldChar w:fldCharType="end"/>
      </w:r>
      <w:r w:rsidR="00707D23">
        <w:rPr>
          <w:sz w:val="24"/>
          <w:szCs w:val="24"/>
        </w:rPr>
        <w:t>.</w:t>
      </w:r>
      <w:proofErr w:type="gramEnd"/>
      <w:r w:rsidR="00707D23">
        <w:rPr>
          <w:sz w:val="24"/>
          <w:szCs w:val="24"/>
        </w:rPr>
        <w:fldChar w:fldCharType="begin"/>
      </w:r>
      <w:r w:rsidR="00707D23">
        <w:rPr>
          <w:sz w:val="24"/>
          <w:szCs w:val="24"/>
        </w:rPr>
        <w:instrText xml:space="preserve"> SEQ Table \* ARABIC \s 1 </w:instrText>
      </w:r>
      <w:r w:rsidR="00707D23">
        <w:rPr>
          <w:sz w:val="24"/>
          <w:szCs w:val="24"/>
        </w:rPr>
        <w:fldChar w:fldCharType="separate"/>
      </w:r>
      <w:r w:rsidR="008A1992">
        <w:rPr>
          <w:noProof/>
          <w:sz w:val="24"/>
          <w:szCs w:val="24"/>
        </w:rPr>
        <w:t>1</w:t>
      </w:r>
      <w:r w:rsidR="00707D23">
        <w:rPr>
          <w:sz w:val="24"/>
          <w:szCs w:val="24"/>
        </w:rPr>
        <w:fldChar w:fldCharType="end"/>
      </w:r>
      <w:bookmarkEnd w:id="153"/>
      <w:r w:rsidRPr="00CB34C4">
        <w:rPr>
          <w:sz w:val="24"/>
          <w:szCs w:val="24"/>
        </w:rPr>
        <w:t xml:space="preserve"> Trend</w:t>
      </w:r>
      <w:r>
        <w:rPr>
          <w:sz w:val="24"/>
          <w:szCs w:val="24"/>
        </w:rPr>
        <w:t xml:space="preserve"> </w:t>
      </w:r>
      <w:r w:rsidRPr="005901A5">
        <w:rPr>
          <w:sz w:val="24"/>
          <w:szCs w:val="24"/>
        </w:rPr>
        <w:t xml:space="preserve">line equations for prepreg humidity conditioning effect on </w:t>
      </w:r>
      <w:r>
        <w:rPr>
          <w:sz w:val="24"/>
          <w:szCs w:val="24"/>
        </w:rPr>
        <w:t>flexural stiffness</w:t>
      </w:r>
      <w:bookmarkEnd w:id="154"/>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2592"/>
        <w:gridCol w:w="1152"/>
      </w:tblGrid>
      <w:tr w:rsidR="00E67957" w14:paraId="4DF73366" w14:textId="77777777" w:rsidTr="00E67957">
        <w:trPr>
          <w:jc w:val="center"/>
        </w:trPr>
        <w:tc>
          <w:tcPr>
            <w:tcW w:w="2016" w:type="dxa"/>
            <w:tcBorders>
              <w:top w:val="single" w:sz="12" w:space="0" w:color="auto"/>
            </w:tcBorders>
            <w:vAlign w:val="center"/>
          </w:tcPr>
          <w:p w14:paraId="41B9DC56" w14:textId="6CA54729" w:rsidR="00E67957" w:rsidRPr="00006052" w:rsidRDefault="00961779" w:rsidP="00961779">
            <w:pPr>
              <w:spacing w:line="240" w:lineRule="auto"/>
              <w:jc w:val="center"/>
              <w:rPr>
                <w:b/>
              </w:rPr>
            </w:pPr>
            <w:r>
              <w:rPr>
                <w:b/>
              </w:rPr>
              <w:t>a</w:t>
            </w:r>
            <w:r w:rsidR="00E67957" w:rsidRPr="00006052">
              <w:rPr>
                <w:b/>
              </w:rPr>
              <w:t>) Quartz/</w:t>
            </w:r>
            <w:r>
              <w:rPr>
                <w:b/>
              </w:rPr>
              <w:t>Epoxy</w:t>
            </w:r>
          </w:p>
        </w:tc>
        <w:tc>
          <w:tcPr>
            <w:tcW w:w="2592" w:type="dxa"/>
            <w:tcBorders>
              <w:top w:val="single" w:sz="12" w:space="0" w:color="auto"/>
              <w:bottom w:val="single" w:sz="4" w:space="0" w:color="auto"/>
            </w:tcBorders>
            <w:vAlign w:val="center"/>
          </w:tcPr>
          <w:p w14:paraId="1246B406" w14:textId="77777777" w:rsidR="00E67957" w:rsidRPr="00006052" w:rsidRDefault="00E67957" w:rsidP="00E67957">
            <w:pPr>
              <w:spacing w:line="240" w:lineRule="auto"/>
              <w:jc w:val="center"/>
              <w:rPr>
                <w:b/>
              </w:rPr>
            </w:pPr>
            <w:r w:rsidRPr="00006052">
              <w:rPr>
                <w:b/>
              </w:rPr>
              <w:t>Trend Line Equation</w:t>
            </w:r>
          </w:p>
        </w:tc>
        <w:tc>
          <w:tcPr>
            <w:tcW w:w="1152" w:type="dxa"/>
            <w:tcBorders>
              <w:top w:val="single" w:sz="12" w:space="0" w:color="auto"/>
              <w:bottom w:val="single" w:sz="4" w:space="0" w:color="auto"/>
            </w:tcBorders>
            <w:vAlign w:val="center"/>
          </w:tcPr>
          <w:p w14:paraId="3D75096B" w14:textId="77777777" w:rsidR="00E67957" w:rsidRPr="00006052" w:rsidRDefault="00E67957" w:rsidP="00E67957">
            <w:pPr>
              <w:spacing w:line="240" w:lineRule="auto"/>
              <w:jc w:val="left"/>
              <w:rPr>
                <w:b/>
              </w:rPr>
            </w:pPr>
            <w:r w:rsidRPr="00006052">
              <w:rPr>
                <w:b/>
              </w:rPr>
              <w:t>R</w:t>
            </w:r>
            <w:r w:rsidRPr="00006052">
              <w:rPr>
                <w:b/>
                <w:vertAlign w:val="superscript"/>
              </w:rPr>
              <w:t>2</w:t>
            </w:r>
            <w:r w:rsidRPr="00006052">
              <w:rPr>
                <w:b/>
              </w:rPr>
              <w:t xml:space="preserve"> Value</w:t>
            </w:r>
          </w:p>
        </w:tc>
      </w:tr>
      <w:tr w:rsidR="00961779" w14:paraId="23D931D9" w14:textId="77777777" w:rsidTr="00E67957">
        <w:trPr>
          <w:jc w:val="center"/>
        </w:trPr>
        <w:tc>
          <w:tcPr>
            <w:tcW w:w="2016" w:type="dxa"/>
            <w:tcBorders>
              <w:right w:val="single" w:sz="4" w:space="0" w:color="auto"/>
            </w:tcBorders>
            <w:vAlign w:val="center"/>
          </w:tcPr>
          <w:p w14:paraId="1F7BAE9E" w14:textId="77777777" w:rsidR="00961779" w:rsidRDefault="00961779" w:rsidP="00E67957">
            <w:pPr>
              <w:spacing w:line="240" w:lineRule="auto"/>
              <w:jc w:val="center"/>
            </w:pPr>
            <w:r>
              <w:t>69 kPa</w:t>
            </w:r>
          </w:p>
        </w:tc>
        <w:tc>
          <w:tcPr>
            <w:tcW w:w="2592" w:type="dxa"/>
            <w:tcBorders>
              <w:top w:val="single" w:sz="4" w:space="0" w:color="auto"/>
              <w:left w:val="single" w:sz="4" w:space="0" w:color="auto"/>
            </w:tcBorders>
            <w:vAlign w:val="center"/>
          </w:tcPr>
          <w:p w14:paraId="66E69FB7" w14:textId="5509D2C4" w:rsidR="00961779" w:rsidRDefault="00961779" w:rsidP="0037544C">
            <w:pPr>
              <w:spacing w:line="240" w:lineRule="auto"/>
              <w:jc w:val="center"/>
            </w:pPr>
            <w:r>
              <w:t>-0.0146x + 22.74</w:t>
            </w:r>
          </w:p>
        </w:tc>
        <w:tc>
          <w:tcPr>
            <w:tcW w:w="1152" w:type="dxa"/>
            <w:tcBorders>
              <w:top w:val="single" w:sz="4" w:space="0" w:color="auto"/>
              <w:right w:val="single" w:sz="4" w:space="0" w:color="auto"/>
            </w:tcBorders>
            <w:vAlign w:val="center"/>
          </w:tcPr>
          <w:p w14:paraId="388A11CA" w14:textId="70C34CDB" w:rsidR="00961779" w:rsidRDefault="00961779" w:rsidP="00E67957">
            <w:pPr>
              <w:spacing w:line="240" w:lineRule="auto"/>
              <w:jc w:val="left"/>
            </w:pPr>
            <w:r>
              <w:t>0.9693</w:t>
            </w:r>
          </w:p>
        </w:tc>
      </w:tr>
      <w:tr w:rsidR="00961779" w14:paraId="30DE5659" w14:textId="77777777" w:rsidTr="00E67957">
        <w:trPr>
          <w:jc w:val="center"/>
        </w:trPr>
        <w:tc>
          <w:tcPr>
            <w:tcW w:w="2016" w:type="dxa"/>
            <w:tcBorders>
              <w:right w:val="single" w:sz="4" w:space="0" w:color="auto"/>
            </w:tcBorders>
            <w:vAlign w:val="center"/>
          </w:tcPr>
          <w:p w14:paraId="5E5A25E6" w14:textId="77777777" w:rsidR="00961779" w:rsidRDefault="00961779" w:rsidP="00E67957">
            <w:pPr>
              <w:spacing w:line="240" w:lineRule="auto"/>
              <w:jc w:val="center"/>
            </w:pPr>
            <w:r>
              <w:t>207 kPa</w:t>
            </w:r>
          </w:p>
        </w:tc>
        <w:tc>
          <w:tcPr>
            <w:tcW w:w="2592" w:type="dxa"/>
            <w:tcBorders>
              <w:left w:val="single" w:sz="4" w:space="0" w:color="auto"/>
            </w:tcBorders>
            <w:vAlign w:val="center"/>
          </w:tcPr>
          <w:p w14:paraId="436CE11D" w14:textId="3150C5BB" w:rsidR="00961779" w:rsidRDefault="00961779" w:rsidP="0037544C">
            <w:pPr>
              <w:spacing w:line="240" w:lineRule="auto"/>
              <w:jc w:val="center"/>
            </w:pPr>
            <w:r>
              <w:t>-0.0076x + 25.67</w:t>
            </w:r>
          </w:p>
        </w:tc>
        <w:tc>
          <w:tcPr>
            <w:tcW w:w="1152" w:type="dxa"/>
            <w:tcBorders>
              <w:right w:val="single" w:sz="4" w:space="0" w:color="auto"/>
            </w:tcBorders>
            <w:vAlign w:val="center"/>
          </w:tcPr>
          <w:p w14:paraId="4304F957" w14:textId="5C446CC5" w:rsidR="00961779" w:rsidRDefault="00961779" w:rsidP="00E67957">
            <w:pPr>
              <w:spacing w:line="240" w:lineRule="auto"/>
              <w:jc w:val="left"/>
            </w:pPr>
            <w:r>
              <w:t>0.1090</w:t>
            </w:r>
          </w:p>
        </w:tc>
      </w:tr>
      <w:tr w:rsidR="00961779" w14:paraId="3918D370" w14:textId="77777777" w:rsidTr="00E67957">
        <w:trPr>
          <w:jc w:val="center"/>
        </w:trPr>
        <w:tc>
          <w:tcPr>
            <w:tcW w:w="2016" w:type="dxa"/>
            <w:tcBorders>
              <w:right w:val="single" w:sz="4" w:space="0" w:color="auto"/>
            </w:tcBorders>
            <w:vAlign w:val="center"/>
          </w:tcPr>
          <w:p w14:paraId="5CA362B5" w14:textId="77777777" w:rsidR="00961779" w:rsidRDefault="00961779" w:rsidP="00E67957">
            <w:pPr>
              <w:spacing w:line="240" w:lineRule="auto"/>
              <w:jc w:val="center"/>
            </w:pPr>
            <w:r>
              <w:t>345 kPa</w:t>
            </w:r>
          </w:p>
        </w:tc>
        <w:tc>
          <w:tcPr>
            <w:tcW w:w="2592" w:type="dxa"/>
            <w:tcBorders>
              <w:left w:val="single" w:sz="4" w:space="0" w:color="auto"/>
            </w:tcBorders>
            <w:vAlign w:val="center"/>
          </w:tcPr>
          <w:p w14:paraId="030E9372" w14:textId="4C5AB59A" w:rsidR="00961779" w:rsidRDefault="00961779" w:rsidP="0037544C">
            <w:pPr>
              <w:spacing w:line="240" w:lineRule="auto"/>
              <w:jc w:val="center"/>
            </w:pPr>
            <w:r>
              <w:t>-0.0107x + 27.57</w:t>
            </w:r>
          </w:p>
        </w:tc>
        <w:tc>
          <w:tcPr>
            <w:tcW w:w="1152" w:type="dxa"/>
            <w:tcBorders>
              <w:right w:val="single" w:sz="4" w:space="0" w:color="auto"/>
            </w:tcBorders>
            <w:vAlign w:val="center"/>
          </w:tcPr>
          <w:p w14:paraId="613B4026" w14:textId="453BC44A" w:rsidR="00961779" w:rsidRDefault="00961779" w:rsidP="00E67957">
            <w:pPr>
              <w:spacing w:line="240" w:lineRule="auto"/>
              <w:jc w:val="left"/>
            </w:pPr>
            <w:r>
              <w:t>0.5996</w:t>
            </w:r>
          </w:p>
        </w:tc>
      </w:tr>
      <w:tr w:rsidR="00961779" w14:paraId="1C7DA01B" w14:textId="77777777" w:rsidTr="00E67957">
        <w:trPr>
          <w:jc w:val="center"/>
        </w:trPr>
        <w:tc>
          <w:tcPr>
            <w:tcW w:w="2016" w:type="dxa"/>
            <w:tcBorders>
              <w:right w:val="single" w:sz="4" w:space="0" w:color="auto"/>
            </w:tcBorders>
            <w:vAlign w:val="center"/>
          </w:tcPr>
          <w:p w14:paraId="0874542C" w14:textId="77777777" w:rsidR="00961779" w:rsidRDefault="00961779" w:rsidP="00E67957">
            <w:pPr>
              <w:spacing w:line="240" w:lineRule="auto"/>
              <w:jc w:val="center"/>
            </w:pPr>
            <w:r>
              <w:t>483 kPa</w:t>
            </w:r>
          </w:p>
        </w:tc>
        <w:tc>
          <w:tcPr>
            <w:tcW w:w="2592" w:type="dxa"/>
            <w:tcBorders>
              <w:left w:val="single" w:sz="4" w:space="0" w:color="auto"/>
              <w:bottom w:val="single" w:sz="4" w:space="0" w:color="auto"/>
            </w:tcBorders>
            <w:vAlign w:val="center"/>
          </w:tcPr>
          <w:p w14:paraId="71CDBF59" w14:textId="3A7D0376" w:rsidR="00961779" w:rsidRDefault="00961779" w:rsidP="0037544C">
            <w:pPr>
              <w:spacing w:line="240" w:lineRule="auto"/>
              <w:jc w:val="center"/>
            </w:pPr>
            <w:r>
              <w:t>-0.0133x + 29.22</w:t>
            </w:r>
          </w:p>
        </w:tc>
        <w:tc>
          <w:tcPr>
            <w:tcW w:w="1152" w:type="dxa"/>
            <w:tcBorders>
              <w:bottom w:val="single" w:sz="4" w:space="0" w:color="auto"/>
              <w:right w:val="single" w:sz="4" w:space="0" w:color="auto"/>
            </w:tcBorders>
            <w:vAlign w:val="center"/>
          </w:tcPr>
          <w:p w14:paraId="7D32AF57" w14:textId="7309E632" w:rsidR="00961779" w:rsidRDefault="00961779" w:rsidP="00E67957">
            <w:pPr>
              <w:spacing w:line="240" w:lineRule="auto"/>
              <w:jc w:val="left"/>
            </w:pPr>
            <w:r>
              <w:t>0.6197</w:t>
            </w:r>
          </w:p>
        </w:tc>
      </w:tr>
      <w:tr w:rsidR="00E67957" w14:paraId="7D49F134" w14:textId="77777777" w:rsidTr="00E67957">
        <w:trPr>
          <w:trHeight w:val="144"/>
          <w:jc w:val="center"/>
        </w:trPr>
        <w:tc>
          <w:tcPr>
            <w:tcW w:w="2016" w:type="dxa"/>
            <w:vAlign w:val="center"/>
          </w:tcPr>
          <w:p w14:paraId="1A73FD42" w14:textId="77777777" w:rsidR="00E67957" w:rsidRPr="00722E7F" w:rsidRDefault="00E67957" w:rsidP="00E67957">
            <w:pPr>
              <w:spacing w:line="240" w:lineRule="auto"/>
              <w:jc w:val="center"/>
              <w:rPr>
                <w:sz w:val="16"/>
              </w:rPr>
            </w:pPr>
          </w:p>
        </w:tc>
        <w:tc>
          <w:tcPr>
            <w:tcW w:w="2592" w:type="dxa"/>
            <w:tcBorders>
              <w:top w:val="single" w:sz="4" w:space="0" w:color="auto"/>
            </w:tcBorders>
            <w:vAlign w:val="center"/>
          </w:tcPr>
          <w:p w14:paraId="6EC79175" w14:textId="77777777" w:rsidR="00E67957" w:rsidRPr="00722E7F" w:rsidRDefault="00E67957" w:rsidP="00E67957">
            <w:pPr>
              <w:spacing w:line="240" w:lineRule="auto"/>
              <w:jc w:val="center"/>
              <w:rPr>
                <w:sz w:val="16"/>
              </w:rPr>
            </w:pPr>
          </w:p>
        </w:tc>
        <w:tc>
          <w:tcPr>
            <w:tcW w:w="1152" w:type="dxa"/>
            <w:tcBorders>
              <w:top w:val="single" w:sz="4" w:space="0" w:color="auto"/>
            </w:tcBorders>
            <w:vAlign w:val="center"/>
          </w:tcPr>
          <w:p w14:paraId="79243674" w14:textId="77777777" w:rsidR="00E67957" w:rsidRPr="00722E7F" w:rsidRDefault="00E67957" w:rsidP="00E67957">
            <w:pPr>
              <w:spacing w:line="240" w:lineRule="auto"/>
              <w:jc w:val="left"/>
              <w:rPr>
                <w:sz w:val="16"/>
              </w:rPr>
            </w:pPr>
          </w:p>
        </w:tc>
      </w:tr>
      <w:tr w:rsidR="00E67957" w14:paraId="5D8AC819" w14:textId="77777777" w:rsidTr="00E67957">
        <w:trPr>
          <w:jc w:val="center"/>
        </w:trPr>
        <w:tc>
          <w:tcPr>
            <w:tcW w:w="2016" w:type="dxa"/>
            <w:vAlign w:val="center"/>
          </w:tcPr>
          <w:p w14:paraId="18B75BD8" w14:textId="74099CCF" w:rsidR="00E67957" w:rsidRPr="00722E7F" w:rsidRDefault="00961779" w:rsidP="00E67957">
            <w:pPr>
              <w:spacing w:line="240" w:lineRule="auto"/>
              <w:jc w:val="center"/>
              <w:rPr>
                <w:b/>
              </w:rPr>
            </w:pPr>
            <w:r>
              <w:rPr>
                <w:b/>
              </w:rPr>
              <w:t>b) Quartz/BMI</w:t>
            </w:r>
          </w:p>
        </w:tc>
        <w:tc>
          <w:tcPr>
            <w:tcW w:w="2592" w:type="dxa"/>
            <w:tcBorders>
              <w:bottom w:val="single" w:sz="4" w:space="0" w:color="auto"/>
            </w:tcBorders>
            <w:vAlign w:val="center"/>
          </w:tcPr>
          <w:p w14:paraId="4D4B1C00" w14:textId="77777777" w:rsidR="00E67957" w:rsidRDefault="00E67957" w:rsidP="00E67957">
            <w:pPr>
              <w:spacing w:line="240" w:lineRule="auto"/>
              <w:jc w:val="center"/>
            </w:pPr>
          </w:p>
        </w:tc>
        <w:tc>
          <w:tcPr>
            <w:tcW w:w="1152" w:type="dxa"/>
            <w:tcBorders>
              <w:bottom w:val="single" w:sz="4" w:space="0" w:color="auto"/>
            </w:tcBorders>
            <w:vAlign w:val="center"/>
          </w:tcPr>
          <w:p w14:paraId="557DFE1F" w14:textId="77777777" w:rsidR="00E67957" w:rsidRDefault="00E67957" w:rsidP="00E67957">
            <w:pPr>
              <w:spacing w:line="240" w:lineRule="auto"/>
              <w:jc w:val="left"/>
            </w:pPr>
          </w:p>
        </w:tc>
      </w:tr>
      <w:tr w:rsidR="00961779" w14:paraId="7D4E55AE" w14:textId="77777777" w:rsidTr="00E67957">
        <w:trPr>
          <w:jc w:val="center"/>
        </w:trPr>
        <w:tc>
          <w:tcPr>
            <w:tcW w:w="2016" w:type="dxa"/>
            <w:tcBorders>
              <w:right w:val="single" w:sz="4" w:space="0" w:color="auto"/>
            </w:tcBorders>
            <w:vAlign w:val="center"/>
          </w:tcPr>
          <w:p w14:paraId="302B42F2" w14:textId="77777777" w:rsidR="00961779" w:rsidRDefault="00961779" w:rsidP="00E67957">
            <w:pPr>
              <w:spacing w:line="240" w:lineRule="auto"/>
              <w:jc w:val="center"/>
            </w:pPr>
            <w:r>
              <w:t>69 kPa</w:t>
            </w:r>
          </w:p>
        </w:tc>
        <w:tc>
          <w:tcPr>
            <w:tcW w:w="2592" w:type="dxa"/>
            <w:tcBorders>
              <w:top w:val="single" w:sz="4" w:space="0" w:color="auto"/>
              <w:left w:val="single" w:sz="4" w:space="0" w:color="auto"/>
            </w:tcBorders>
            <w:vAlign w:val="center"/>
          </w:tcPr>
          <w:p w14:paraId="06B40BEB" w14:textId="0F7F4763" w:rsidR="00961779" w:rsidRDefault="00961779" w:rsidP="005D172E">
            <w:pPr>
              <w:spacing w:line="240" w:lineRule="auto"/>
              <w:jc w:val="center"/>
            </w:pPr>
            <w:r>
              <w:t>-0.0084x + 23.16</w:t>
            </w:r>
          </w:p>
        </w:tc>
        <w:tc>
          <w:tcPr>
            <w:tcW w:w="1152" w:type="dxa"/>
            <w:tcBorders>
              <w:top w:val="single" w:sz="4" w:space="0" w:color="auto"/>
              <w:right w:val="single" w:sz="4" w:space="0" w:color="auto"/>
            </w:tcBorders>
            <w:vAlign w:val="center"/>
          </w:tcPr>
          <w:p w14:paraId="4439ED38" w14:textId="25C2C53E" w:rsidR="00961779" w:rsidRDefault="00961779" w:rsidP="00E67957">
            <w:pPr>
              <w:spacing w:line="240" w:lineRule="auto"/>
              <w:jc w:val="left"/>
            </w:pPr>
            <w:r>
              <w:t>0.3666</w:t>
            </w:r>
          </w:p>
        </w:tc>
      </w:tr>
      <w:tr w:rsidR="00961779" w14:paraId="2FB96579" w14:textId="77777777" w:rsidTr="00E67957">
        <w:trPr>
          <w:jc w:val="center"/>
        </w:trPr>
        <w:tc>
          <w:tcPr>
            <w:tcW w:w="2016" w:type="dxa"/>
            <w:tcBorders>
              <w:right w:val="single" w:sz="4" w:space="0" w:color="auto"/>
            </w:tcBorders>
            <w:vAlign w:val="center"/>
          </w:tcPr>
          <w:p w14:paraId="4139FA55" w14:textId="77777777" w:rsidR="00961779" w:rsidRDefault="00961779" w:rsidP="00E67957">
            <w:pPr>
              <w:spacing w:line="240" w:lineRule="auto"/>
              <w:jc w:val="center"/>
            </w:pPr>
            <w:r>
              <w:t>207 kPa</w:t>
            </w:r>
          </w:p>
        </w:tc>
        <w:tc>
          <w:tcPr>
            <w:tcW w:w="2592" w:type="dxa"/>
            <w:tcBorders>
              <w:left w:val="single" w:sz="4" w:space="0" w:color="auto"/>
            </w:tcBorders>
            <w:vAlign w:val="center"/>
          </w:tcPr>
          <w:p w14:paraId="68456E1C" w14:textId="2482E900" w:rsidR="00961779" w:rsidRDefault="00961779" w:rsidP="005D172E">
            <w:pPr>
              <w:spacing w:line="240" w:lineRule="auto"/>
              <w:jc w:val="center"/>
            </w:pPr>
            <w:r>
              <w:t>0.0119x + 24.96</w:t>
            </w:r>
          </w:p>
        </w:tc>
        <w:tc>
          <w:tcPr>
            <w:tcW w:w="1152" w:type="dxa"/>
            <w:tcBorders>
              <w:right w:val="single" w:sz="4" w:space="0" w:color="auto"/>
            </w:tcBorders>
            <w:vAlign w:val="center"/>
          </w:tcPr>
          <w:p w14:paraId="4A9E2334" w14:textId="791C11FD" w:rsidR="00961779" w:rsidRDefault="00961779" w:rsidP="00E67957">
            <w:pPr>
              <w:spacing w:line="240" w:lineRule="auto"/>
              <w:jc w:val="left"/>
            </w:pPr>
            <w:r>
              <w:t>0.3763</w:t>
            </w:r>
          </w:p>
        </w:tc>
      </w:tr>
      <w:tr w:rsidR="00961779" w14:paraId="6520AD34" w14:textId="77777777" w:rsidTr="00E67957">
        <w:trPr>
          <w:jc w:val="center"/>
        </w:trPr>
        <w:tc>
          <w:tcPr>
            <w:tcW w:w="2016" w:type="dxa"/>
            <w:tcBorders>
              <w:right w:val="single" w:sz="4" w:space="0" w:color="auto"/>
            </w:tcBorders>
            <w:vAlign w:val="center"/>
          </w:tcPr>
          <w:p w14:paraId="767695CA" w14:textId="77777777" w:rsidR="00961779" w:rsidRDefault="00961779" w:rsidP="00E67957">
            <w:pPr>
              <w:spacing w:line="240" w:lineRule="auto"/>
              <w:jc w:val="center"/>
            </w:pPr>
            <w:r>
              <w:t>345 kPa</w:t>
            </w:r>
          </w:p>
        </w:tc>
        <w:tc>
          <w:tcPr>
            <w:tcW w:w="2592" w:type="dxa"/>
            <w:tcBorders>
              <w:left w:val="single" w:sz="4" w:space="0" w:color="auto"/>
            </w:tcBorders>
            <w:vAlign w:val="center"/>
          </w:tcPr>
          <w:p w14:paraId="3E5D677C" w14:textId="09D14610" w:rsidR="00961779" w:rsidRDefault="00961779" w:rsidP="005D172E">
            <w:pPr>
              <w:spacing w:line="240" w:lineRule="auto"/>
              <w:jc w:val="center"/>
            </w:pPr>
            <w:r>
              <w:t>0.0095x + 27.16</w:t>
            </w:r>
          </w:p>
        </w:tc>
        <w:tc>
          <w:tcPr>
            <w:tcW w:w="1152" w:type="dxa"/>
            <w:tcBorders>
              <w:right w:val="single" w:sz="4" w:space="0" w:color="auto"/>
            </w:tcBorders>
            <w:vAlign w:val="center"/>
          </w:tcPr>
          <w:p w14:paraId="2057D8B0" w14:textId="1C36DFD8" w:rsidR="00961779" w:rsidRDefault="00961779" w:rsidP="00E67957">
            <w:pPr>
              <w:spacing w:line="240" w:lineRule="auto"/>
              <w:jc w:val="left"/>
            </w:pPr>
            <w:r>
              <w:t>0.3851</w:t>
            </w:r>
          </w:p>
        </w:tc>
      </w:tr>
      <w:tr w:rsidR="00961779" w14:paraId="079931A8" w14:textId="77777777" w:rsidTr="00E67957">
        <w:trPr>
          <w:jc w:val="center"/>
        </w:trPr>
        <w:tc>
          <w:tcPr>
            <w:tcW w:w="2016" w:type="dxa"/>
            <w:tcBorders>
              <w:right w:val="single" w:sz="4" w:space="0" w:color="auto"/>
            </w:tcBorders>
            <w:vAlign w:val="center"/>
          </w:tcPr>
          <w:p w14:paraId="31A198DB" w14:textId="77777777" w:rsidR="00961779" w:rsidRDefault="00961779" w:rsidP="00E67957">
            <w:pPr>
              <w:spacing w:line="240" w:lineRule="auto"/>
              <w:jc w:val="center"/>
            </w:pPr>
            <w:r>
              <w:t>483 kPa</w:t>
            </w:r>
          </w:p>
        </w:tc>
        <w:tc>
          <w:tcPr>
            <w:tcW w:w="2592" w:type="dxa"/>
            <w:tcBorders>
              <w:left w:val="single" w:sz="4" w:space="0" w:color="auto"/>
              <w:bottom w:val="single" w:sz="4" w:space="0" w:color="auto"/>
            </w:tcBorders>
            <w:vAlign w:val="center"/>
          </w:tcPr>
          <w:p w14:paraId="1F71D1CB" w14:textId="36EAECC9" w:rsidR="00961779" w:rsidRDefault="00961779" w:rsidP="005D172E">
            <w:pPr>
              <w:spacing w:line="240" w:lineRule="auto"/>
              <w:jc w:val="center"/>
            </w:pPr>
            <w:r>
              <w:t xml:space="preserve">0.0012x + 28.87 </w:t>
            </w:r>
          </w:p>
        </w:tc>
        <w:tc>
          <w:tcPr>
            <w:tcW w:w="1152" w:type="dxa"/>
            <w:tcBorders>
              <w:bottom w:val="single" w:sz="4" w:space="0" w:color="auto"/>
              <w:right w:val="single" w:sz="4" w:space="0" w:color="auto"/>
            </w:tcBorders>
            <w:vAlign w:val="center"/>
          </w:tcPr>
          <w:p w14:paraId="6C8A101E" w14:textId="7991C6C9" w:rsidR="00961779" w:rsidRDefault="00961779" w:rsidP="00E67957">
            <w:pPr>
              <w:spacing w:line="240" w:lineRule="auto"/>
              <w:jc w:val="left"/>
            </w:pPr>
            <w:r>
              <w:t>0.0218</w:t>
            </w:r>
          </w:p>
        </w:tc>
      </w:tr>
      <w:tr w:rsidR="00E67957" w14:paraId="3D3F5951" w14:textId="77777777" w:rsidTr="00E67957">
        <w:trPr>
          <w:jc w:val="center"/>
        </w:trPr>
        <w:tc>
          <w:tcPr>
            <w:tcW w:w="2016" w:type="dxa"/>
            <w:vAlign w:val="center"/>
          </w:tcPr>
          <w:p w14:paraId="1B12BD18" w14:textId="77777777" w:rsidR="00E67957" w:rsidRPr="00722E7F" w:rsidRDefault="00E67957" w:rsidP="00E67957">
            <w:pPr>
              <w:spacing w:line="240" w:lineRule="auto"/>
              <w:jc w:val="center"/>
              <w:rPr>
                <w:sz w:val="16"/>
              </w:rPr>
            </w:pPr>
          </w:p>
        </w:tc>
        <w:tc>
          <w:tcPr>
            <w:tcW w:w="2592" w:type="dxa"/>
            <w:tcBorders>
              <w:top w:val="single" w:sz="4" w:space="0" w:color="auto"/>
            </w:tcBorders>
            <w:vAlign w:val="center"/>
          </w:tcPr>
          <w:p w14:paraId="38ED0B00" w14:textId="77777777" w:rsidR="00E67957" w:rsidRPr="00722E7F" w:rsidRDefault="00E67957" w:rsidP="00E67957">
            <w:pPr>
              <w:spacing w:line="240" w:lineRule="auto"/>
              <w:jc w:val="center"/>
              <w:rPr>
                <w:sz w:val="16"/>
              </w:rPr>
            </w:pPr>
          </w:p>
        </w:tc>
        <w:tc>
          <w:tcPr>
            <w:tcW w:w="1152" w:type="dxa"/>
            <w:tcBorders>
              <w:top w:val="single" w:sz="4" w:space="0" w:color="auto"/>
            </w:tcBorders>
            <w:vAlign w:val="center"/>
          </w:tcPr>
          <w:p w14:paraId="78CBCB33" w14:textId="77777777" w:rsidR="00E67957" w:rsidRPr="00722E7F" w:rsidRDefault="00E67957" w:rsidP="00E67957">
            <w:pPr>
              <w:spacing w:line="240" w:lineRule="auto"/>
              <w:jc w:val="left"/>
              <w:rPr>
                <w:sz w:val="16"/>
              </w:rPr>
            </w:pPr>
          </w:p>
        </w:tc>
      </w:tr>
      <w:tr w:rsidR="00E67957" w14:paraId="65C00713" w14:textId="77777777" w:rsidTr="00E67957">
        <w:trPr>
          <w:jc w:val="center"/>
        </w:trPr>
        <w:tc>
          <w:tcPr>
            <w:tcW w:w="2016" w:type="dxa"/>
            <w:vAlign w:val="center"/>
          </w:tcPr>
          <w:p w14:paraId="42524095" w14:textId="77777777" w:rsidR="00E67957" w:rsidRDefault="00E67957" w:rsidP="00E67957">
            <w:pPr>
              <w:spacing w:line="240" w:lineRule="auto"/>
              <w:jc w:val="center"/>
            </w:pPr>
            <w:r>
              <w:rPr>
                <w:b/>
              </w:rPr>
              <w:t>c</w:t>
            </w:r>
            <w:r w:rsidRPr="00722E7F">
              <w:rPr>
                <w:b/>
              </w:rPr>
              <w:t xml:space="preserve">) </w:t>
            </w:r>
            <w:r>
              <w:rPr>
                <w:b/>
              </w:rPr>
              <w:t>Carbon</w:t>
            </w:r>
            <w:r w:rsidRPr="00722E7F">
              <w:rPr>
                <w:b/>
              </w:rPr>
              <w:t>/Epoxy</w:t>
            </w:r>
          </w:p>
        </w:tc>
        <w:tc>
          <w:tcPr>
            <w:tcW w:w="2592" w:type="dxa"/>
            <w:tcBorders>
              <w:bottom w:val="single" w:sz="4" w:space="0" w:color="auto"/>
            </w:tcBorders>
            <w:vAlign w:val="center"/>
          </w:tcPr>
          <w:p w14:paraId="68846AE5" w14:textId="77777777" w:rsidR="00E67957" w:rsidRDefault="00E67957" w:rsidP="00E67957">
            <w:pPr>
              <w:spacing w:line="240" w:lineRule="auto"/>
              <w:jc w:val="center"/>
            </w:pPr>
          </w:p>
        </w:tc>
        <w:tc>
          <w:tcPr>
            <w:tcW w:w="1152" w:type="dxa"/>
            <w:tcBorders>
              <w:bottom w:val="single" w:sz="4" w:space="0" w:color="auto"/>
            </w:tcBorders>
            <w:vAlign w:val="center"/>
          </w:tcPr>
          <w:p w14:paraId="3B05BA12" w14:textId="77777777" w:rsidR="00E67957" w:rsidRDefault="00E67957" w:rsidP="00E67957">
            <w:pPr>
              <w:spacing w:line="240" w:lineRule="auto"/>
              <w:jc w:val="left"/>
            </w:pPr>
          </w:p>
        </w:tc>
      </w:tr>
      <w:tr w:rsidR="00E67957" w14:paraId="05A07F23" w14:textId="77777777" w:rsidTr="00E67957">
        <w:trPr>
          <w:jc w:val="center"/>
        </w:trPr>
        <w:tc>
          <w:tcPr>
            <w:tcW w:w="2016" w:type="dxa"/>
            <w:tcBorders>
              <w:right w:val="single" w:sz="4" w:space="0" w:color="auto"/>
            </w:tcBorders>
            <w:vAlign w:val="center"/>
          </w:tcPr>
          <w:p w14:paraId="12DC4922" w14:textId="77777777" w:rsidR="00E67957" w:rsidRDefault="00E67957" w:rsidP="00E67957">
            <w:pPr>
              <w:spacing w:line="240" w:lineRule="auto"/>
              <w:jc w:val="center"/>
            </w:pPr>
            <w:r>
              <w:t>69 kPa</w:t>
            </w:r>
          </w:p>
        </w:tc>
        <w:tc>
          <w:tcPr>
            <w:tcW w:w="2592" w:type="dxa"/>
            <w:tcBorders>
              <w:top w:val="single" w:sz="4" w:space="0" w:color="auto"/>
              <w:left w:val="single" w:sz="4" w:space="0" w:color="auto"/>
            </w:tcBorders>
            <w:vAlign w:val="center"/>
          </w:tcPr>
          <w:p w14:paraId="27EE600A" w14:textId="5436867B" w:rsidR="00E67957" w:rsidRDefault="00B04BA9" w:rsidP="00B04BA9">
            <w:pPr>
              <w:spacing w:line="240" w:lineRule="auto"/>
              <w:jc w:val="center"/>
            </w:pPr>
            <w:r>
              <w:t>-0.0069</w:t>
            </w:r>
            <w:r w:rsidR="00E67957">
              <w:t xml:space="preserve">x + </w:t>
            </w:r>
            <w:r>
              <w:t>4</w:t>
            </w:r>
            <w:r w:rsidR="00E67957">
              <w:t>3.</w:t>
            </w:r>
            <w:r>
              <w:t>60</w:t>
            </w:r>
          </w:p>
        </w:tc>
        <w:tc>
          <w:tcPr>
            <w:tcW w:w="1152" w:type="dxa"/>
            <w:tcBorders>
              <w:top w:val="single" w:sz="4" w:space="0" w:color="auto"/>
              <w:right w:val="single" w:sz="4" w:space="0" w:color="auto"/>
            </w:tcBorders>
            <w:vAlign w:val="center"/>
          </w:tcPr>
          <w:p w14:paraId="7EE72C6E" w14:textId="72E88FFD" w:rsidR="00E67957" w:rsidRDefault="00B04BA9" w:rsidP="00E67957">
            <w:pPr>
              <w:spacing w:line="240" w:lineRule="auto"/>
              <w:jc w:val="left"/>
            </w:pPr>
            <w:r>
              <w:t>0.2056</w:t>
            </w:r>
          </w:p>
        </w:tc>
      </w:tr>
      <w:tr w:rsidR="00E67957" w14:paraId="3B634C0C" w14:textId="77777777" w:rsidTr="00E67957">
        <w:trPr>
          <w:jc w:val="center"/>
        </w:trPr>
        <w:tc>
          <w:tcPr>
            <w:tcW w:w="2016" w:type="dxa"/>
            <w:tcBorders>
              <w:right w:val="single" w:sz="4" w:space="0" w:color="auto"/>
            </w:tcBorders>
            <w:vAlign w:val="center"/>
          </w:tcPr>
          <w:p w14:paraId="793A08E6" w14:textId="77777777" w:rsidR="00E67957" w:rsidRDefault="00E67957" w:rsidP="00E67957">
            <w:pPr>
              <w:spacing w:line="240" w:lineRule="auto"/>
              <w:jc w:val="center"/>
            </w:pPr>
            <w:r>
              <w:t>207 kPa</w:t>
            </w:r>
          </w:p>
        </w:tc>
        <w:tc>
          <w:tcPr>
            <w:tcW w:w="2592" w:type="dxa"/>
            <w:tcBorders>
              <w:left w:val="single" w:sz="4" w:space="0" w:color="auto"/>
            </w:tcBorders>
            <w:vAlign w:val="center"/>
          </w:tcPr>
          <w:p w14:paraId="42745FAF" w14:textId="0CF5D38A" w:rsidR="00E67957" w:rsidRDefault="00B04BA9" w:rsidP="00B04BA9">
            <w:pPr>
              <w:spacing w:line="240" w:lineRule="auto"/>
              <w:jc w:val="center"/>
            </w:pPr>
            <w:r>
              <w:t>0.0203</w:t>
            </w:r>
            <w:r w:rsidR="00E67957">
              <w:t xml:space="preserve">x + </w:t>
            </w:r>
            <w:r>
              <w:t>47</w:t>
            </w:r>
            <w:r w:rsidR="00E67957">
              <w:t>.</w:t>
            </w:r>
            <w:r>
              <w:t>47</w:t>
            </w:r>
          </w:p>
        </w:tc>
        <w:tc>
          <w:tcPr>
            <w:tcW w:w="1152" w:type="dxa"/>
            <w:tcBorders>
              <w:right w:val="single" w:sz="4" w:space="0" w:color="auto"/>
            </w:tcBorders>
            <w:vAlign w:val="center"/>
          </w:tcPr>
          <w:p w14:paraId="0587876E" w14:textId="03E3DE49" w:rsidR="00E67957" w:rsidRDefault="00B04BA9" w:rsidP="00E67957">
            <w:pPr>
              <w:spacing w:line="240" w:lineRule="auto"/>
              <w:jc w:val="left"/>
            </w:pPr>
            <w:r>
              <w:t>0.2814</w:t>
            </w:r>
          </w:p>
        </w:tc>
      </w:tr>
      <w:tr w:rsidR="00E67957" w14:paraId="247FC7DA" w14:textId="77777777" w:rsidTr="00961779">
        <w:trPr>
          <w:jc w:val="center"/>
        </w:trPr>
        <w:tc>
          <w:tcPr>
            <w:tcW w:w="2016" w:type="dxa"/>
            <w:tcBorders>
              <w:right w:val="single" w:sz="4" w:space="0" w:color="auto"/>
            </w:tcBorders>
            <w:vAlign w:val="center"/>
          </w:tcPr>
          <w:p w14:paraId="6B692DF7" w14:textId="77777777" w:rsidR="00E67957" w:rsidRDefault="00E67957" w:rsidP="00E67957">
            <w:pPr>
              <w:spacing w:line="240" w:lineRule="auto"/>
              <w:jc w:val="center"/>
            </w:pPr>
            <w:r>
              <w:t>345 kPa</w:t>
            </w:r>
          </w:p>
        </w:tc>
        <w:tc>
          <w:tcPr>
            <w:tcW w:w="2592" w:type="dxa"/>
            <w:tcBorders>
              <w:left w:val="single" w:sz="4" w:space="0" w:color="auto"/>
            </w:tcBorders>
            <w:vAlign w:val="center"/>
          </w:tcPr>
          <w:p w14:paraId="3D15531E" w14:textId="538B592A" w:rsidR="00E67957" w:rsidRDefault="00B04BA9" w:rsidP="00B04BA9">
            <w:pPr>
              <w:spacing w:line="240" w:lineRule="auto"/>
              <w:jc w:val="center"/>
            </w:pPr>
            <w:r>
              <w:t>0.0347</w:t>
            </w:r>
            <w:r w:rsidR="00E67957">
              <w:t xml:space="preserve">x + </w:t>
            </w:r>
            <w:r>
              <w:t>47.45</w:t>
            </w:r>
          </w:p>
        </w:tc>
        <w:tc>
          <w:tcPr>
            <w:tcW w:w="1152" w:type="dxa"/>
            <w:tcBorders>
              <w:right w:val="single" w:sz="4" w:space="0" w:color="auto"/>
            </w:tcBorders>
            <w:vAlign w:val="center"/>
          </w:tcPr>
          <w:p w14:paraId="76227F6F" w14:textId="2B2A8587" w:rsidR="00E67957" w:rsidRDefault="00B04BA9" w:rsidP="00E67957">
            <w:pPr>
              <w:spacing w:line="240" w:lineRule="auto"/>
              <w:jc w:val="left"/>
            </w:pPr>
            <w:r>
              <w:t>0.8846</w:t>
            </w:r>
          </w:p>
        </w:tc>
      </w:tr>
      <w:tr w:rsidR="00E67957" w14:paraId="459097C2" w14:textId="77777777" w:rsidTr="00961779">
        <w:trPr>
          <w:jc w:val="center"/>
        </w:trPr>
        <w:tc>
          <w:tcPr>
            <w:tcW w:w="2016" w:type="dxa"/>
            <w:tcBorders>
              <w:right w:val="single" w:sz="4" w:space="0" w:color="auto"/>
            </w:tcBorders>
            <w:vAlign w:val="center"/>
          </w:tcPr>
          <w:p w14:paraId="5522B9DB" w14:textId="77777777" w:rsidR="00E67957" w:rsidRDefault="00E67957" w:rsidP="00E67957">
            <w:pPr>
              <w:spacing w:line="240" w:lineRule="auto"/>
              <w:jc w:val="center"/>
            </w:pPr>
            <w:r>
              <w:t>483 kPa</w:t>
            </w:r>
          </w:p>
        </w:tc>
        <w:tc>
          <w:tcPr>
            <w:tcW w:w="2592" w:type="dxa"/>
            <w:tcBorders>
              <w:left w:val="single" w:sz="4" w:space="0" w:color="auto"/>
              <w:bottom w:val="single" w:sz="4" w:space="0" w:color="auto"/>
            </w:tcBorders>
            <w:vAlign w:val="center"/>
          </w:tcPr>
          <w:p w14:paraId="3040E139" w14:textId="3C0FAD7B" w:rsidR="00E67957" w:rsidRDefault="00B04BA9" w:rsidP="00B04BA9">
            <w:pPr>
              <w:spacing w:line="240" w:lineRule="auto"/>
              <w:jc w:val="center"/>
            </w:pPr>
            <w:r>
              <w:t>0.0045</w:t>
            </w:r>
            <w:r w:rsidR="00E67957">
              <w:t xml:space="preserve">x + </w:t>
            </w:r>
            <w:r>
              <w:t>51.88</w:t>
            </w:r>
          </w:p>
        </w:tc>
        <w:tc>
          <w:tcPr>
            <w:tcW w:w="1152" w:type="dxa"/>
            <w:tcBorders>
              <w:bottom w:val="single" w:sz="4" w:space="0" w:color="auto"/>
              <w:right w:val="single" w:sz="4" w:space="0" w:color="auto"/>
            </w:tcBorders>
            <w:vAlign w:val="center"/>
          </w:tcPr>
          <w:p w14:paraId="440D194E" w14:textId="4F7C300F" w:rsidR="00E67957" w:rsidRDefault="00B04BA9" w:rsidP="00E67957">
            <w:pPr>
              <w:spacing w:line="240" w:lineRule="auto"/>
              <w:jc w:val="left"/>
            </w:pPr>
            <w:r>
              <w:t>0.0547</w:t>
            </w:r>
          </w:p>
        </w:tc>
      </w:tr>
    </w:tbl>
    <w:p w14:paraId="571ABFD2" w14:textId="77777777" w:rsidR="00E67957" w:rsidRPr="00FF5F91" w:rsidRDefault="00E67957" w:rsidP="00E67957">
      <w:pPr>
        <w:jc w:val="center"/>
      </w:pPr>
    </w:p>
    <w:p w14:paraId="0A34542A" w14:textId="34B60CD6" w:rsidR="009F647B" w:rsidRDefault="009F647B" w:rsidP="009F647B">
      <w:pPr>
        <w:pStyle w:val="Heading3"/>
      </w:pPr>
      <w:bookmarkStart w:id="155" w:name="_Ref344127054"/>
      <w:bookmarkStart w:id="156" w:name="_Toc346310989"/>
      <w:r>
        <w:t>Effect of Fabrication Pre</w:t>
      </w:r>
      <w:r w:rsidR="00EB5569">
        <w:t>s</w:t>
      </w:r>
      <w:r>
        <w:t>sure on Laminate Flexural Stiffness</w:t>
      </w:r>
      <w:bookmarkEnd w:id="155"/>
      <w:bookmarkEnd w:id="156"/>
    </w:p>
    <w:p w14:paraId="053BEB5C" w14:textId="2827D700" w:rsidR="003A3633" w:rsidRDefault="00A75D0F" w:rsidP="003A3633">
      <w:pPr>
        <w:ind w:firstLine="360"/>
      </w:pPr>
      <w:r>
        <w:t xml:space="preserve">The effect of applied cure pressure on the flexural stiffness for each laminate material is shown in </w:t>
      </w:r>
      <w:r>
        <w:fldChar w:fldCharType="begin"/>
      </w:r>
      <w:r>
        <w:instrText xml:space="preserve"> REF _Ref343325450 \h </w:instrText>
      </w:r>
      <w:r>
        <w:fldChar w:fldCharType="separate"/>
      </w:r>
      <w:r w:rsidR="008A1992" w:rsidRPr="000A6295">
        <w:t xml:space="preserve">Figure </w:t>
      </w:r>
      <w:r w:rsidR="008A1992">
        <w:rPr>
          <w:noProof/>
        </w:rPr>
        <w:t>3</w:t>
      </w:r>
      <w:r w:rsidR="008A1992">
        <w:t>.</w:t>
      </w:r>
      <w:r w:rsidR="008A1992">
        <w:rPr>
          <w:noProof/>
        </w:rPr>
        <w:t>4</w:t>
      </w:r>
      <w:r>
        <w:fldChar w:fldCharType="end"/>
      </w:r>
      <w:r w:rsidR="005952C2">
        <w:t xml:space="preserve">.  </w:t>
      </w:r>
      <w:r w:rsidR="002147CB">
        <w:t xml:space="preserve">The linear trend line equations for each prepreg conditioning and fabrication pressure specimen are provided in </w:t>
      </w:r>
      <w:r w:rsidR="002147CB">
        <w:fldChar w:fldCharType="begin"/>
      </w:r>
      <w:r w:rsidR="002147CB">
        <w:instrText xml:space="preserve"> REF _Ref343842985 \h </w:instrText>
      </w:r>
      <w:r w:rsidR="002147CB">
        <w:fldChar w:fldCharType="separate"/>
      </w:r>
      <w:r w:rsidR="008A1992" w:rsidRPr="00CB34C4">
        <w:t xml:space="preserve">Table </w:t>
      </w:r>
      <w:r w:rsidR="008A1992">
        <w:rPr>
          <w:noProof/>
        </w:rPr>
        <w:t>3</w:t>
      </w:r>
      <w:r w:rsidR="008A1992">
        <w:t>.</w:t>
      </w:r>
      <w:r w:rsidR="008A1992">
        <w:rPr>
          <w:noProof/>
        </w:rPr>
        <w:t>2</w:t>
      </w:r>
      <w:r w:rsidR="002147CB">
        <w:fldChar w:fldCharType="end"/>
      </w:r>
      <w:r w:rsidR="002147CB">
        <w:t xml:space="preserve">.  </w:t>
      </w:r>
      <w:r w:rsidR="00C364E0">
        <w:t>For most prepreg materials and humidity exposure, the R</w:t>
      </w:r>
      <w:r w:rsidR="00C364E0" w:rsidRPr="00B62B27">
        <w:rPr>
          <w:vertAlign w:val="superscript"/>
        </w:rPr>
        <w:t>2</w:t>
      </w:r>
      <w:r w:rsidR="00C364E0">
        <w:t>-values associated with the selected linear trend lines were greater than 0.90.  Conversely, the R</w:t>
      </w:r>
      <w:r w:rsidR="00C364E0" w:rsidRPr="00C364E0">
        <w:rPr>
          <w:vertAlign w:val="superscript"/>
        </w:rPr>
        <w:t>2</w:t>
      </w:r>
      <w:r w:rsidR="00C364E0">
        <w:t xml:space="preserve">-values associated for power function trend lines were also reasonable good representations of the flexural stiffness, although not to the same level as a linear trend line representation.  </w:t>
      </w:r>
      <w:r w:rsidR="005952C2">
        <w:t>As fabrication pressure increased, all materials demonstrated near linear</w:t>
      </w:r>
      <w:r w:rsidR="00AD0808">
        <w:t xml:space="preserve"> flexural stiffness</w:t>
      </w:r>
      <w:r w:rsidR="005952C2">
        <w:t xml:space="preserve"> increases.  </w:t>
      </w:r>
      <w:r w:rsidR="00AD0808">
        <w:t>Regardless of the humidity exposure, t</w:t>
      </w:r>
      <w:r w:rsidR="005952C2">
        <w:t>he rate of stiffness increase and offset was similar for quartz/</w:t>
      </w:r>
      <w:r w:rsidR="00AD0808">
        <w:t>epoxy</w:t>
      </w:r>
      <w:r w:rsidR="005952C2">
        <w:t xml:space="preserve"> and quartz/</w:t>
      </w:r>
      <w:r w:rsidR="00AD0808">
        <w:t>BMI</w:t>
      </w:r>
      <w:r w:rsidR="005952C2">
        <w:t xml:space="preserve"> laminates, as indicate</w:t>
      </w:r>
      <w:r w:rsidR="00AB4ABC">
        <w:t>d by the trend line equations for</w:t>
      </w:r>
      <w:r w:rsidR="005952C2">
        <w:t xml:space="preserve"> </w:t>
      </w:r>
      <w:r w:rsidR="005952C2">
        <w:fldChar w:fldCharType="begin"/>
      </w:r>
      <w:r w:rsidR="005952C2">
        <w:instrText xml:space="preserve"> REF _Ref343325450 \h </w:instrText>
      </w:r>
      <w:r w:rsidR="005952C2">
        <w:fldChar w:fldCharType="separate"/>
      </w:r>
      <w:r w:rsidR="008A1992" w:rsidRPr="000A6295">
        <w:t xml:space="preserve">Figure </w:t>
      </w:r>
      <w:r w:rsidR="008A1992">
        <w:rPr>
          <w:noProof/>
        </w:rPr>
        <w:t>3</w:t>
      </w:r>
      <w:r w:rsidR="008A1992">
        <w:t>.</w:t>
      </w:r>
      <w:r w:rsidR="008A1992">
        <w:rPr>
          <w:noProof/>
        </w:rPr>
        <w:t>4</w:t>
      </w:r>
      <w:r w:rsidR="005952C2">
        <w:fldChar w:fldCharType="end"/>
      </w:r>
      <w:r w:rsidR="005952C2">
        <w:t xml:space="preserve">a and b, respectively.  </w:t>
      </w:r>
      <w:r w:rsidR="00F23CB3">
        <w:t>T</w:t>
      </w:r>
      <w:r w:rsidR="00AD0808">
        <w:t>he rate of stiffness increase for quartz-</w:t>
      </w:r>
      <w:r w:rsidR="00AD0808">
        <w:lastRenderedPageBreak/>
        <w:t xml:space="preserve">reinforcement was within the range of </w:t>
      </w:r>
      <w:r w:rsidR="00F23CB3">
        <w:t xml:space="preserve">0.014-0.016 GPa/kPa.  The stiffness offset for quartz-reinforcement was between 20.9 and 22.6 GPa.  Comparing the two epoxy matrix materials in </w:t>
      </w:r>
      <w:r w:rsidR="00F23CB3">
        <w:fldChar w:fldCharType="begin"/>
      </w:r>
      <w:r w:rsidR="00F23CB3">
        <w:instrText xml:space="preserve"> REF _Ref343325450 \h </w:instrText>
      </w:r>
      <w:r w:rsidR="00F23CB3">
        <w:fldChar w:fldCharType="separate"/>
      </w:r>
      <w:r w:rsidR="008A1992" w:rsidRPr="000A6295">
        <w:t xml:space="preserve">Figure </w:t>
      </w:r>
      <w:r w:rsidR="008A1992">
        <w:rPr>
          <w:noProof/>
        </w:rPr>
        <w:t>3</w:t>
      </w:r>
      <w:r w:rsidR="008A1992">
        <w:t>.</w:t>
      </w:r>
      <w:r w:rsidR="008A1992">
        <w:rPr>
          <w:noProof/>
        </w:rPr>
        <w:t>4</w:t>
      </w:r>
      <w:r w:rsidR="00F23CB3">
        <w:fldChar w:fldCharType="end"/>
      </w:r>
      <w:r w:rsidR="00F23CB3">
        <w:t>a and c, it was observed that the flexural stiffness for carbon fiber reinforced laminates was slightly more sensitive to changes in pressure than laminates fabricated with quartz-reinforcement.  This is indicated by the larger increasing slopes of carbon fiber (0.016-0.023 GPa/kPa) as opposed to that of quartz fiber (0.015-0.016 GPa/kPa).  This may be due to</w:t>
      </w:r>
      <w:r w:rsidR="003A3633">
        <w:t xml:space="preserve"> differences in the fabric weave architecture, in that carbon fiber is assembled as a plain weave and quartz fiber is assembled as a satin weave.  </w:t>
      </w:r>
      <w:r w:rsidR="00C156EE">
        <w:t xml:space="preserve">Additionally, </w:t>
      </w:r>
      <w:r w:rsidR="003A3633">
        <w:fldChar w:fldCharType="begin"/>
      </w:r>
      <w:r w:rsidR="003A3633">
        <w:instrText xml:space="preserve"> REF _Ref343325450 \h </w:instrText>
      </w:r>
      <w:r w:rsidR="003A3633">
        <w:fldChar w:fldCharType="separate"/>
      </w:r>
      <w:r w:rsidR="008A1992" w:rsidRPr="000A6295">
        <w:t xml:space="preserve">Figure </w:t>
      </w:r>
      <w:r w:rsidR="008A1992">
        <w:rPr>
          <w:noProof/>
        </w:rPr>
        <w:t>3</w:t>
      </w:r>
      <w:r w:rsidR="008A1992">
        <w:t>.</w:t>
      </w:r>
      <w:r w:rsidR="008A1992">
        <w:rPr>
          <w:noProof/>
        </w:rPr>
        <w:t>4</w:t>
      </w:r>
      <w:r w:rsidR="003A3633">
        <w:fldChar w:fldCharType="end"/>
      </w:r>
      <w:r w:rsidR="003A3633">
        <w:t xml:space="preserve"> clearly indicates the limited effect that prepreg humidity exposure had on the flexural stiffness, in that all conditioning treatments are in close proximity for a given prepreg material.  Therefore, it can be concluded that flexural stiffness is predominantly dependent on fiber reinforcement type, which defines the initial stiffness value, and fabrication pressure</w:t>
      </w:r>
      <w:r w:rsidR="00C156EE">
        <w:t>.</w:t>
      </w:r>
    </w:p>
    <w:p w14:paraId="16AD015F" w14:textId="4A92DBBF" w:rsidR="000A6295" w:rsidRDefault="00733F51" w:rsidP="000A6295">
      <w:pPr>
        <w:keepNext/>
        <w:jc w:val="center"/>
      </w:pPr>
      <w:r>
        <w:rPr>
          <w:noProof/>
        </w:rPr>
        <w:lastRenderedPageBreak/>
        <mc:AlternateContent>
          <mc:Choice Requires="wpg">
            <w:drawing>
              <wp:inline distT="0" distB="0" distL="0" distR="0" wp14:anchorId="7F0510D7" wp14:editId="03DEB85E">
                <wp:extent cx="5394960" cy="4485484"/>
                <wp:effectExtent l="0" t="0" r="0" b="10795"/>
                <wp:docPr id="47" name="Group 11"/>
                <wp:cNvGraphicFramePr/>
                <a:graphic xmlns:a="http://schemas.openxmlformats.org/drawingml/2006/main">
                  <a:graphicData uri="http://schemas.microsoft.com/office/word/2010/wordprocessingGroup">
                    <wpg:wgp>
                      <wpg:cNvGrpSpPr/>
                      <wpg:grpSpPr>
                        <a:xfrm>
                          <a:off x="0" y="0"/>
                          <a:ext cx="5394960" cy="4485484"/>
                          <a:chOff x="0" y="0"/>
                          <a:chExt cx="5424574" cy="4510194"/>
                        </a:xfrm>
                      </wpg:grpSpPr>
                      <wpg:graphicFrame>
                        <wpg:cNvPr id="50" name="Chart 50"/>
                        <wpg:cNvFrPr/>
                        <wpg:xfrm>
                          <a:off x="2711851" y="0"/>
                          <a:ext cx="2712723" cy="2256768"/>
                        </wpg:xfrm>
                        <a:graphic>
                          <a:graphicData uri="http://schemas.openxmlformats.org/drawingml/2006/chart">
                            <c:chart xmlns:c="http://schemas.openxmlformats.org/drawingml/2006/chart" xmlns:r="http://schemas.openxmlformats.org/officeDocument/2006/relationships" r:id="rId76"/>
                          </a:graphicData>
                        </a:graphic>
                      </wpg:graphicFrame>
                      <wpg:graphicFrame>
                        <wpg:cNvPr id="51" name="Chart 51"/>
                        <wpg:cNvFrPr>
                          <a:graphicFrameLocks/>
                        </wpg:cNvFrPr>
                        <wpg:xfrm>
                          <a:off x="0" y="0"/>
                          <a:ext cx="2712723" cy="2256768"/>
                        </wpg:xfrm>
                        <a:graphic>
                          <a:graphicData uri="http://schemas.openxmlformats.org/drawingml/2006/chart">
                            <c:chart xmlns:c="http://schemas.openxmlformats.org/drawingml/2006/chart" xmlns:r="http://schemas.openxmlformats.org/officeDocument/2006/relationships" r:id="rId77"/>
                          </a:graphicData>
                        </a:graphic>
                      </wpg:graphicFrame>
                      <wpg:graphicFrame>
                        <wpg:cNvPr id="52" name="Chart 52"/>
                        <wpg:cNvFrPr>
                          <a:graphicFrameLocks/>
                        </wpg:cNvFrPr>
                        <wpg:xfrm>
                          <a:off x="1333500" y="2253426"/>
                          <a:ext cx="2712723" cy="2256768"/>
                        </wpg:xfrm>
                        <a:graphic>
                          <a:graphicData uri="http://schemas.openxmlformats.org/drawingml/2006/chart">
                            <c:chart xmlns:c="http://schemas.openxmlformats.org/drawingml/2006/chart" xmlns:r="http://schemas.openxmlformats.org/officeDocument/2006/relationships" r:id="rId78"/>
                          </a:graphicData>
                        </a:graphic>
                      </wpg:graphicFrame>
                    </wpg:wgp>
                  </a:graphicData>
                </a:graphic>
              </wp:inline>
            </w:drawing>
          </mc:Choice>
          <mc:Fallback xmlns:w15="http://schemas.microsoft.com/office/word/2012/wordml">
            <w:pict>
              <v:group w14:anchorId="1692DB22" id="Group 11" o:spid="_x0000_s1026" style="width:424.8pt;height:353.2pt;mso-position-horizontal-relative:char;mso-position-vertical-relative:line" coordsize="54245,45101" o:gfxdata="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">
                <v:shape id="Chart 50" o:spid="_x0000_s1027" type="#_x0000_t75" style="position:absolute;left:27092;width:27153;height:2261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">
                  <v:imagedata r:id="rId79" o:title=""/>
                  <o:lock v:ext="edit" aspectratio="f"/>
                </v:shape>
                <v:shape id="Chart 51" o:spid="_x0000_s1028" type="#_x0000_t75" style="position:absolute;width:27153;height:2261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">
                  <v:imagedata r:id="rId80" o:title=""/>
                  <o:lock v:ext="edit" aspectratio="f"/>
                </v:shape>
                <v:shape id="Chart 52" o:spid="_x0000_s1029" type="#_x0000_t75" style="position:absolute;left:13300;top:22495;width:27215;height:2261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">
                  <v:imagedata r:id="rId81" o:title=""/>
                  <o:lock v:ext="edit" aspectratio="f"/>
                </v:shape>
                <w10:anchorlock/>
              </v:group>
            </w:pict>
          </mc:Fallback>
        </mc:AlternateContent>
      </w:r>
    </w:p>
    <w:p w14:paraId="47EE782D" w14:textId="2CCC5EEC" w:rsidR="002147CB" w:rsidRDefault="000A6295" w:rsidP="000A6295">
      <w:pPr>
        <w:pStyle w:val="Caption"/>
        <w:spacing w:line="240" w:lineRule="auto"/>
        <w:jc w:val="center"/>
        <w:rPr>
          <w:sz w:val="24"/>
          <w:szCs w:val="24"/>
        </w:rPr>
      </w:pPr>
      <w:bookmarkStart w:id="157" w:name="_Ref343325450"/>
      <w:bookmarkStart w:id="158" w:name="_Toc346310432"/>
      <w:proofErr w:type="gramStart"/>
      <w:r w:rsidRPr="000A6295">
        <w:rPr>
          <w:sz w:val="24"/>
          <w:szCs w:val="24"/>
        </w:rPr>
        <w:t xml:space="preserve">Figure </w:t>
      </w:r>
      <w:r w:rsidR="00C16D85">
        <w:rPr>
          <w:sz w:val="24"/>
          <w:szCs w:val="24"/>
        </w:rPr>
        <w:fldChar w:fldCharType="begin"/>
      </w:r>
      <w:r w:rsidR="00C16D85">
        <w:rPr>
          <w:sz w:val="24"/>
          <w:szCs w:val="24"/>
        </w:rPr>
        <w:instrText xml:space="preserve"> STYLEREF 1 \s </w:instrText>
      </w:r>
      <w:r w:rsidR="00C16D85">
        <w:rPr>
          <w:sz w:val="24"/>
          <w:szCs w:val="24"/>
        </w:rPr>
        <w:fldChar w:fldCharType="separate"/>
      </w:r>
      <w:r w:rsidR="008A1992">
        <w:rPr>
          <w:noProof/>
          <w:sz w:val="24"/>
          <w:szCs w:val="24"/>
        </w:rPr>
        <w:t>3</w:t>
      </w:r>
      <w:r w:rsidR="00C16D85">
        <w:rPr>
          <w:sz w:val="24"/>
          <w:szCs w:val="24"/>
        </w:rPr>
        <w:fldChar w:fldCharType="end"/>
      </w:r>
      <w:r w:rsidR="00C16D85">
        <w:rPr>
          <w:sz w:val="24"/>
          <w:szCs w:val="24"/>
        </w:rPr>
        <w:t>.</w:t>
      </w:r>
      <w:proofErr w:type="gramEnd"/>
      <w:r w:rsidR="00C16D85">
        <w:rPr>
          <w:sz w:val="24"/>
          <w:szCs w:val="24"/>
        </w:rPr>
        <w:fldChar w:fldCharType="begin"/>
      </w:r>
      <w:r w:rsidR="00C16D85">
        <w:rPr>
          <w:sz w:val="24"/>
          <w:szCs w:val="24"/>
        </w:rPr>
        <w:instrText xml:space="preserve"> SEQ Figure \* ARABIC \s 1 </w:instrText>
      </w:r>
      <w:r w:rsidR="00C16D85">
        <w:rPr>
          <w:sz w:val="24"/>
          <w:szCs w:val="24"/>
        </w:rPr>
        <w:fldChar w:fldCharType="separate"/>
      </w:r>
      <w:r w:rsidR="008A1992">
        <w:rPr>
          <w:noProof/>
          <w:sz w:val="24"/>
          <w:szCs w:val="24"/>
        </w:rPr>
        <w:t>4</w:t>
      </w:r>
      <w:r w:rsidR="00C16D85">
        <w:rPr>
          <w:sz w:val="24"/>
          <w:szCs w:val="24"/>
        </w:rPr>
        <w:fldChar w:fldCharType="end"/>
      </w:r>
      <w:bookmarkEnd w:id="157"/>
      <w:r w:rsidRPr="000A6295">
        <w:rPr>
          <w:sz w:val="24"/>
          <w:szCs w:val="24"/>
        </w:rPr>
        <w:t xml:space="preserve"> Effect of fabrication pressure on the flexural stiffness for (a) Quartz/</w:t>
      </w:r>
      <w:r w:rsidR="00695BAA">
        <w:rPr>
          <w:sz w:val="24"/>
          <w:szCs w:val="24"/>
        </w:rPr>
        <w:t>Epoxy</w:t>
      </w:r>
      <w:r w:rsidRPr="000A6295">
        <w:rPr>
          <w:sz w:val="24"/>
          <w:szCs w:val="24"/>
        </w:rPr>
        <w:t>, (b) Quartz/</w:t>
      </w:r>
      <w:r w:rsidR="00695BAA">
        <w:rPr>
          <w:sz w:val="24"/>
          <w:szCs w:val="24"/>
        </w:rPr>
        <w:t>BMI</w:t>
      </w:r>
      <w:r w:rsidRPr="000A6295">
        <w:rPr>
          <w:sz w:val="24"/>
          <w:szCs w:val="24"/>
        </w:rPr>
        <w:t>, and (c) Carbon/Epoxy</w:t>
      </w:r>
      <w:bookmarkEnd w:id="158"/>
      <w:r w:rsidR="002147CB">
        <w:rPr>
          <w:sz w:val="24"/>
          <w:szCs w:val="24"/>
        </w:rPr>
        <w:br w:type="page"/>
      </w:r>
    </w:p>
    <w:p w14:paraId="3AFF9B85" w14:textId="1E5C7321" w:rsidR="00B04BA9" w:rsidRPr="00CB34C4" w:rsidRDefault="00B04BA9" w:rsidP="00B04BA9">
      <w:pPr>
        <w:pStyle w:val="Caption"/>
        <w:keepNext/>
        <w:spacing w:after="120" w:line="240" w:lineRule="auto"/>
        <w:jc w:val="center"/>
        <w:rPr>
          <w:sz w:val="24"/>
          <w:szCs w:val="24"/>
        </w:rPr>
      </w:pPr>
      <w:bookmarkStart w:id="159" w:name="_Ref343842985"/>
      <w:bookmarkStart w:id="160" w:name="_Toc346310853"/>
      <w:proofErr w:type="gramStart"/>
      <w:r w:rsidRPr="00CB34C4">
        <w:rPr>
          <w:sz w:val="24"/>
          <w:szCs w:val="24"/>
        </w:rPr>
        <w:lastRenderedPageBreak/>
        <w:t xml:space="preserve">Table </w:t>
      </w:r>
      <w:r w:rsidR="00707D23">
        <w:rPr>
          <w:sz w:val="24"/>
          <w:szCs w:val="24"/>
        </w:rPr>
        <w:fldChar w:fldCharType="begin"/>
      </w:r>
      <w:r w:rsidR="00707D23">
        <w:rPr>
          <w:sz w:val="24"/>
          <w:szCs w:val="24"/>
        </w:rPr>
        <w:instrText xml:space="preserve"> STYLEREF 1 \s </w:instrText>
      </w:r>
      <w:r w:rsidR="00707D23">
        <w:rPr>
          <w:sz w:val="24"/>
          <w:szCs w:val="24"/>
        </w:rPr>
        <w:fldChar w:fldCharType="separate"/>
      </w:r>
      <w:r w:rsidR="008A1992">
        <w:rPr>
          <w:noProof/>
          <w:sz w:val="24"/>
          <w:szCs w:val="24"/>
        </w:rPr>
        <w:t>3</w:t>
      </w:r>
      <w:r w:rsidR="00707D23">
        <w:rPr>
          <w:sz w:val="24"/>
          <w:szCs w:val="24"/>
        </w:rPr>
        <w:fldChar w:fldCharType="end"/>
      </w:r>
      <w:r w:rsidR="00707D23">
        <w:rPr>
          <w:sz w:val="24"/>
          <w:szCs w:val="24"/>
        </w:rPr>
        <w:t>.</w:t>
      </w:r>
      <w:proofErr w:type="gramEnd"/>
      <w:r w:rsidR="00707D23">
        <w:rPr>
          <w:sz w:val="24"/>
          <w:szCs w:val="24"/>
        </w:rPr>
        <w:fldChar w:fldCharType="begin"/>
      </w:r>
      <w:r w:rsidR="00707D23">
        <w:rPr>
          <w:sz w:val="24"/>
          <w:szCs w:val="24"/>
        </w:rPr>
        <w:instrText xml:space="preserve"> SEQ Table \* ARABIC \s 1 </w:instrText>
      </w:r>
      <w:r w:rsidR="00707D23">
        <w:rPr>
          <w:sz w:val="24"/>
          <w:szCs w:val="24"/>
        </w:rPr>
        <w:fldChar w:fldCharType="separate"/>
      </w:r>
      <w:r w:rsidR="008A1992">
        <w:rPr>
          <w:noProof/>
          <w:sz w:val="24"/>
          <w:szCs w:val="24"/>
        </w:rPr>
        <w:t>2</w:t>
      </w:r>
      <w:r w:rsidR="00707D23">
        <w:rPr>
          <w:sz w:val="24"/>
          <w:szCs w:val="24"/>
        </w:rPr>
        <w:fldChar w:fldCharType="end"/>
      </w:r>
      <w:bookmarkEnd w:id="159"/>
      <w:r w:rsidRPr="00CB34C4">
        <w:rPr>
          <w:sz w:val="24"/>
          <w:szCs w:val="24"/>
        </w:rPr>
        <w:t xml:space="preserve"> Trend</w:t>
      </w:r>
      <w:r>
        <w:rPr>
          <w:sz w:val="24"/>
          <w:szCs w:val="24"/>
        </w:rPr>
        <w:t xml:space="preserve"> </w:t>
      </w:r>
      <w:r w:rsidRPr="005901A5">
        <w:rPr>
          <w:sz w:val="24"/>
          <w:szCs w:val="24"/>
        </w:rPr>
        <w:t xml:space="preserve">line equations for </w:t>
      </w:r>
      <w:r w:rsidR="00695BAA">
        <w:rPr>
          <w:sz w:val="24"/>
          <w:szCs w:val="24"/>
        </w:rPr>
        <w:t>fabrication pressure</w:t>
      </w:r>
      <w:r w:rsidRPr="005901A5">
        <w:rPr>
          <w:sz w:val="24"/>
          <w:szCs w:val="24"/>
        </w:rPr>
        <w:t xml:space="preserve"> effect on </w:t>
      </w:r>
      <w:r>
        <w:rPr>
          <w:sz w:val="24"/>
          <w:szCs w:val="24"/>
        </w:rPr>
        <w:t>flexural stiffness</w:t>
      </w:r>
      <w:bookmarkEnd w:id="160"/>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2592"/>
        <w:gridCol w:w="1152"/>
      </w:tblGrid>
      <w:tr w:rsidR="00B04BA9" w14:paraId="79632C6E" w14:textId="77777777" w:rsidTr="00B04BA9">
        <w:trPr>
          <w:jc w:val="center"/>
        </w:trPr>
        <w:tc>
          <w:tcPr>
            <w:tcW w:w="2016" w:type="dxa"/>
            <w:tcBorders>
              <w:top w:val="single" w:sz="12" w:space="0" w:color="auto"/>
            </w:tcBorders>
            <w:vAlign w:val="center"/>
          </w:tcPr>
          <w:p w14:paraId="7AFE0458" w14:textId="1D70B550" w:rsidR="00B04BA9" w:rsidRPr="00006052" w:rsidRDefault="00961779" w:rsidP="00961779">
            <w:pPr>
              <w:spacing w:line="240" w:lineRule="auto"/>
              <w:jc w:val="center"/>
              <w:rPr>
                <w:b/>
              </w:rPr>
            </w:pPr>
            <w:r>
              <w:rPr>
                <w:b/>
              </w:rPr>
              <w:t>a</w:t>
            </w:r>
            <w:r w:rsidR="00B04BA9" w:rsidRPr="00006052">
              <w:rPr>
                <w:b/>
              </w:rPr>
              <w:t>) Quartz/</w:t>
            </w:r>
            <w:r>
              <w:rPr>
                <w:b/>
              </w:rPr>
              <w:t>Epoxy</w:t>
            </w:r>
          </w:p>
        </w:tc>
        <w:tc>
          <w:tcPr>
            <w:tcW w:w="2592" w:type="dxa"/>
            <w:tcBorders>
              <w:top w:val="single" w:sz="12" w:space="0" w:color="auto"/>
              <w:bottom w:val="single" w:sz="4" w:space="0" w:color="auto"/>
            </w:tcBorders>
            <w:vAlign w:val="center"/>
          </w:tcPr>
          <w:p w14:paraId="7DF9ABA9" w14:textId="77777777" w:rsidR="00B04BA9" w:rsidRPr="00006052" w:rsidRDefault="00B04BA9" w:rsidP="00B04BA9">
            <w:pPr>
              <w:spacing w:line="240" w:lineRule="auto"/>
              <w:jc w:val="center"/>
              <w:rPr>
                <w:b/>
              </w:rPr>
            </w:pPr>
            <w:r w:rsidRPr="00006052">
              <w:rPr>
                <w:b/>
              </w:rPr>
              <w:t>Trend Line Equation</w:t>
            </w:r>
          </w:p>
        </w:tc>
        <w:tc>
          <w:tcPr>
            <w:tcW w:w="1152" w:type="dxa"/>
            <w:tcBorders>
              <w:top w:val="single" w:sz="12" w:space="0" w:color="auto"/>
              <w:bottom w:val="single" w:sz="4" w:space="0" w:color="auto"/>
            </w:tcBorders>
            <w:vAlign w:val="center"/>
          </w:tcPr>
          <w:p w14:paraId="6E3B70CC" w14:textId="77777777" w:rsidR="00B04BA9" w:rsidRPr="00006052" w:rsidRDefault="00B04BA9" w:rsidP="00B04BA9">
            <w:pPr>
              <w:spacing w:line="240" w:lineRule="auto"/>
              <w:jc w:val="left"/>
              <w:rPr>
                <w:b/>
              </w:rPr>
            </w:pPr>
            <w:r w:rsidRPr="00006052">
              <w:rPr>
                <w:b/>
              </w:rPr>
              <w:t>R</w:t>
            </w:r>
            <w:r w:rsidRPr="00006052">
              <w:rPr>
                <w:b/>
                <w:vertAlign w:val="superscript"/>
              </w:rPr>
              <w:t>2</w:t>
            </w:r>
            <w:r w:rsidRPr="00006052">
              <w:rPr>
                <w:b/>
              </w:rPr>
              <w:t xml:space="preserve"> Value</w:t>
            </w:r>
          </w:p>
        </w:tc>
      </w:tr>
      <w:tr w:rsidR="00961779" w14:paraId="7E2B9439" w14:textId="77777777" w:rsidTr="00B04BA9">
        <w:trPr>
          <w:jc w:val="center"/>
        </w:trPr>
        <w:tc>
          <w:tcPr>
            <w:tcW w:w="2016" w:type="dxa"/>
            <w:tcBorders>
              <w:right w:val="single" w:sz="4" w:space="0" w:color="auto"/>
            </w:tcBorders>
            <w:vAlign w:val="center"/>
          </w:tcPr>
          <w:p w14:paraId="6CAC6E92" w14:textId="13AE3E83" w:rsidR="00961779" w:rsidRDefault="00961779" w:rsidP="00B04BA9">
            <w:pPr>
              <w:spacing w:line="240" w:lineRule="auto"/>
              <w:jc w:val="center"/>
            </w:pPr>
            <w:r>
              <w:t>2% RH</w:t>
            </w:r>
          </w:p>
        </w:tc>
        <w:tc>
          <w:tcPr>
            <w:tcW w:w="2592" w:type="dxa"/>
            <w:tcBorders>
              <w:top w:val="single" w:sz="4" w:space="0" w:color="auto"/>
              <w:left w:val="single" w:sz="4" w:space="0" w:color="auto"/>
            </w:tcBorders>
            <w:vAlign w:val="center"/>
          </w:tcPr>
          <w:p w14:paraId="2E1AC58F" w14:textId="6C3494E3" w:rsidR="00961779" w:rsidRDefault="00961779" w:rsidP="009E4749">
            <w:pPr>
              <w:spacing w:line="240" w:lineRule="auto"/>
              <w:jc w:val="center"/>
            </w:pPr>
            <w:r>
              <w:t>0.0151x + 21.78</w:t>
            </w:r>
          </w:p>
        </w:tc>
        <w:tc>
          <w:tcPr>
            <w:tcW w:w="1152" w:type="dxa"/>
            <w:tcBorders>
              <w:top w:val="single" w:sz="4" w:space="0" w:color="auto"/>
              <w:right w:val="single" w:sz="4" w:space="0" w:color="auto"/>
            </w:tcBorders>
            <w:vAlign w:val="center"/>
          </w:tcPr>
          <w:p w14:paraId="5419D5CA" w14:textId="2839BBA0" w:rsidR="00961779" w:rsidRDefault="00961779" w:rsidP="00B04BA9">
            <w:pPr>
              <w:spacing w:line="240" w:lineRule="auto"/>
              <w:jc w:val="left"/>
            </w:pPr>
            <w:r>
              <w:t>0.9917</w:t>
            </w:r>
          </w:p>
        </w:tc>
      </w:tr>
      <w:tr w:rsidR="00961779" w14:paraId="7615F5A4" w14:textId="77777777" w:rsidTr="00B04BA9">
        <w:trPr>
          <w:jc w:val="center"/>
        </w:trPr>
        <w:tc>
          <w:tcPr>
            <w:tcW w:w="2016" w:type="dxa"/>
            <w:tcBorders>
              <w:right w:val="single" w:sz="4" w:space="0" w:color="auto"/>
            </w:tcBorders>
            <w:vAlign w:val="center"/>
          </w:tcPr>
          <w:p w14:paraId="68E259D9" w14:textId="1E960F1B" w:rsidR="00961779" w:rsidRDefault="00961779" w:rsidP="00B04BA9">
            <w:pPr>
              <w:spacing w:line="240" w:lineRule="auto"/>
              <w:jc w:val="center"/>
            </w:pPr>
            <w:r>
              <w:t>40% RH</w:t>
            </w:r>
          </w:p>
        </w:tc>
        <w:tc>
          <w:tcPr>
            <w:tcW w:w="2592" w:type="dxa"/>
            <w:tcBorders>
              <w:left w:val="single" w:sz="4" w:space="0" w:color="auto"/>
            </w:tcBorders>
            <w:vAlign w:val="center"/>
          </w:tcPr>
          <w:p w14:paraId="4E9DBF82" w14:textId="26D48016" w:rsidR="00961779" w:rsidRDefault="00961779" w:rsidP="009E4749">
            <w:pPr>
              <w:spacing w:line="240" w:lineRule="auto"/>
              <w:jc w:val="center"/>
            </w:pPr>
            <w:r>
              <w:t>0.0159x + 22.10</w:t>
            </w:r>
          </w:p>
        </w:tc>
        <w:tc>
          <w:tcPr>
            <w:tcW w:w="1152" w:type="dxa"/>
            <w:tcBorders>
              <w:right w:val="single" w:sz="4" w:space="0" w:color="auto"/>
            </w:tcBorders>
            <w:vAlign w:val="center"/>
          </w:tcPr>
          <w:p w14:paraId="14C8CABA" w14:textId="33FD9845" w:rsidR="00961779" w:rsidRDefault="00961779" w:rsidP="00B04BA9">
            <w:pPr>
              <w:spacing w:line="240" w:lineRule="auto"/>
              <w:jc w:val="left"/>
            </w:pPr>
            <w:r>
              <w:t>0.8986</w:t>
            </w:r>
          </w:p>
        </w:tc>
      </w:tr>
      <w:tr w:rsidR="00961779" w14:paraId="36ECC03B" w14:textId="77777777" w:rsidTr="00B04BA9">
        <w:trPr>
          <w:jc w:val="center"/>
        </w:trPr>
        <w:tc>
          <w:tcPr>
            <w:tcW w:w="2016" w:type="dxa"/>
            <w:tcBorders>
              <w:right w:val="single" w:sz="4" w:space="0" w:color="auto"/>
            </w:tcBorders>
            <w:vAlign w:val="center"/>
          </w:tcPr>
          <w:p w14:paraId="437D9DFF" w14:textId="6C09D991" w:rsidR="00961779" w:rsidRDefault="00961779" w:rsidP="00B04BA9">
            <w:pPr>
              <w:spacing w:line="240" w:lineRule="auto"/>
              <w:jc w:val="center"/>
            </w:pPr>
            <w:r>
              <w:t>70% RH</w:t>
            </w:r>
          </w:p>
        </w:tc>
        <w:tc>
          <w:tcPr>
            <w:tcW w:w="2592" w:type="dxa"/>
            <w:tcBorders>
              <w:left w:val="single" w:sz="4" w:space="0" w:color="auto"/>
            </w:tcBorders>
            <w:vAlign w:val="center"/>
          </w:tcPr>
          <w:p w14:paraId="45231E92" w14:textId="540B20BE" w:rsidR="00961779" w:rsidRDefault="00961779" w:rsidP="009E4749">
            <w:pPr>
              <w:spacing w:line="240" w:lineRule="auto"/>
              <w:jc w:val="center"/>
            </w:pPr>
            <w:r>
              <w:t>0.0161x + 20.89</w:t>
            </w:r>
          </w:p>
        </w:tc>
        <w:tc>
          <w:tcPr>
            <w:tcW w:w="1152" w:type="dxa"/>
            <w:tcBorders>
              <w:right w:val="single" w:sz="4" w:space="0" w:color="auto"/>
            </w:tcBorders>
            <w:vAlign w:val="center"/>
          </w:tcPr>
          <w:p w14:paraId="6F58A632" w14:textId="2E0F4197" w:rsidR="00961779" w:rsidRDefault="00961779" w:rsidP="00B04BA9">
            <w:pPr>
              <w:spacing w:line="240" w:lineRule="auto"/>
              <w:jc w:val="left"/>
            </w:pPr>
            <w:r>
              <w:t>0.9805</w:t>
            </w:r>
          </w:p>
        </w:tc>
      </w:tr>
      <w:tr w:rsidR="00961779" w14:paraId="1A24FFDE" w14:textId="77777777" w:rsidTr="00B04BA9">
        <w:trPr>
          <w:jc w:val="center"/>
        </w:trPr>
        <w:tc>
          <w:tcPr>
            <w:tcW w:w="2016" w:type="dxa"/>
            <w:tcBorders>
              <w:right w:val="single" w:sz="4" w:space="0" w:color="auto"/>
            </w:tcBorders>
            <w:vAlign w:val="center"/>
          </w:tcPr>
          <w:p w14:paraId="339758D9" w14:textId="1B9B1C0B" w:rsidR="00961779" w:rsidRDefault="00961779" w:rsidP="00B04BA9">
            <w:pPr>
              <w:spacing w:line="240" w:lineRule="auto"/>
              <w:jc w:val="center"/>
            </w:pPr>
            <w:r>
              <w:t>99% RH</w:t>
            </w:r>
          </w:p>
        </w:tc>
        <w:tc>
          <w:tcPr>
            <w:tcW w:w="2592" w:type="dxa"/>
            <w:tcBorders>
              <w:left w:val="single" w:sz="4" w:space="0" w:color="auto"/>
              <w:bottom w:val="single" w:sz="4" w:space="0" w:color="auto"/>
            </w:tcBorders>
            <w:vAlign w:val="center"/>
          </w:tcPr>
          <w:p w14:paraId="50384643" w14:textId="233E25F5" w:rsidR="00961779" w:rsidRDefault="00961779" w:rsidP="009E4749">
            <w:pPr>
              <w:spacing w:line="240" w:lineRule="auto"/>
              <w:jc w:val="center"/>
            </w:pPr>
            <w:r>
              <w:t>0.0150x + 20.89</w:t>
            </w:r>
          </w:p>
        </w:tc>
        <w:tc>
          <w:tcPr>
            <w:tcW w:w="1152" w:type="dxa"/>
            <w:tcBorders>
              <w:bottom w:val="single" w:sz="4" w:space="0" w:color="auto"/>
              <w:right w:val="single" w:sz="4" w:space="0" w:color="auto"/>
            </w:tcBorders>
            <w:vAlign w:val="center"/>
          </w:tcPr>
          <w:p w14:paraId="19EC527B" w14:textId="7A32AC1E" w:rsidR="00961779" w:rsidRDefault="00961779" w:rsidP="00B04BA9">
            <w:pPr>
              <w:spacing w:line="240" w:lineRule="auto"/>
              <w:jc w:val="left"/>
            </w:pPr>
            <w:r>
              <w:t>0.9427</w:t>
            </w:r>
          </w:p>
        </w:tc>
      </w:tr>
      <w:tr w:rsidR="00B04BA9" w14:paraId="145ADD38" w14:textId="77777777" w:rsidTr="00B04BA9">
        <w:trPr>
          <w:trHeight w:val="144"/>
          <w:jc w:val="center"/>
        </w:trPr>
        <w:tc>
          <w:tcPr>
            <w:tcW w:w="2016" w:type="dxa"/>
            <w:vAlign w:val="center"/>
          </w:tcPr>
          <w:p w14:paraId="1878B08E" w14:textId="77777777" w:rsidR="00B04BA9" w:rsidRPr="00722E7F" w:rsidRDefault="00B04BA9" w:rsidP="00B04BA9">
            <w:pPr>
              <w:spacing w:line="240" w:lineRule="auto"/>
              <w:jc w:val="center"/>
              <w:rPr>
                <w:sz w:val="16"/>
              </w:rPr>
            </w:pPr>
          </w:p>
        </w:tc>
        <w:tc>
          <w:tcPr>
            <w:tcW w:w="2592" w:type="dxa"/>
            <w:tcBorders>
              <w:top w:val="single" w:sz="4" w:space="0" w:color="auto"/>
            </w:tcBorders>
            <w:vAlign w:val="center"/>
          </w:tcPr>
          <w:p w14:paraId="691A074F" w14:textId="77777777" w:rsidR="00B04BA9" w:rsidRPr="00722E7F" w:rsidRDefault="00B04BA9" w:rsidP="00B04BA9">
            <w:pPr>
              <w:spacing w:line="240" w:lineRule="auto"/>
              <w:jc w:val="center"/>
              <w:rPr>
                <w:sz w:val="16"/>
              </w:rPr>
            </w:pPr>
          </w:p>
        </w:tc>
        <w:tc>
          <w:tcPr>
            <w:tcW w:w="1152" w:type="dxa"/>
            <w:tcBorders>
              <w:top w:val="single" w:sz="4" w:space="0" w:color="auto"/>
            </w:tcBorders>
            <w:vAlign w:val="center"/>
          </w:tcPr>
          <w:p w14:paraId="269745BB" w14:textId="77777777" w:rsidR="00B04BA9" w:rsidRPr="00722E7F" w:rsidRDefault="00B04BA9" w:rsidP="00B04BA9">
            <w:pPr>
              <w:spacing w:line="240" w:lineRule="auto"/>
              <w:jc w:val="left"/>
              <w:rPr>
                <w:sz w:val="16"/>
              </w:rPr>
            </w:pPr>
          </w:p>
        </w:tc>
      </w:tr>
      <w:tr w:rsidR="00B04BA9" w14:paraId="1F36F70A" w14:textId="77777777" w:rsidTr="00B04BA9">
        <w:trPr>
          <w:jc w:val="center"/>
        </w:trPr>
        <w:tc>
          <w:tcPr>
            <w:tcW w:w="2016" w:type="dxa"/>
            <w:vAlign w:val="center"/>
          </w:tcPr>
          <w:p w14:paraId="7CE56F5A" w14:textId="03AF2AB9" w:rsidR="00B04BA9" w:rsidRPr="00722E7F" w:rsidRDefault="00961779" w:rsidP="00B04BA9">
            <w:pPr>
              <w:spacing w:line="240" w:lineRule="auto"/>
              <w:jc w:val="center"/>
              <w:rPr>
                <w:b/>
              </w:rPr>
            </w:pPr>
            <w:r>
              <w:rPr>
                <w:b/>
              </w:rPr>
              <w:t>b) Quartz/BMI</w:t>
            </w:r>
          </w:p>
        </w:tc>
        <w:tc>
          <w:tcPr>
            <w:tcW w:w="2592" w:type="dxa"/>
            <w:tcBorders>
              <w:bottom w:val="single" w:sz="4" w:space="0" w:color="auto"/>
            </w:tcBorders>
            <w:vAlign w:val="center"/>
          </w:tcPr>
          <w:p w14:paraId="08EDD0E0" w14:textId="77777777" w:rsidR="00B04BA9" w:rsidRDefault="00B04BA9" w:rsidP="00B04BA9">
            <w:pPr>
              <w:spacing w:line="240" w:lineRule="auto"/>
              <w:jc w:val="center"/>
            </w:pPr>
          </w:p>
        </w:tc>
        <w:tc>
          <w:tcPr>
            <w:tcW w:w="1152" w:type="dxa"/>
            <w:tcBorders>
              <w:bottom w:val="single" w:sz="4" w:space="0" w:color="auto"/>
            </w:tcBorders>
            <w:vAlign w:val="center"/>
          </w:tcPr>
          <w:p w14:paraId="2672DA8C" w14:textId="77777777" w:rsidR="00B04BA9" w:rsidRDefault="00B04BA9" w:rsidP="00B04BA9">
            <w:pPr>
              <w:spacing w:line="240" w:lineRule="auto"/>
              <w:jc w:val="left"/>
            </w:pPr>
          </w:p>
        </w:tc>
      </w:tr>
      <w:tr w:rsidR="00961779" w14:paraId="4E82F7CA" w14:textId="77777777" w:rsidTr="00B04BA9">
        <w:trPr>
          <w:jc w:val="center"/>
        </w:trPr>
        <w:tc>
          <w:tcPr>
            <w:tcW w:w="2016" w:type="dxa"/>
            <w:tcBorders>
              <w:right w:val="single" w:sz="4" w:space="0" w:color="auto"/>
            </w:tcBorders>
            <w:vAlign w:val="center"/>
          </w:tcPr>
          <w:p w14:paraId="1AB00DBB" w14:textId="6E44DFC9" w:rsidR="00961779" w:rsidRDefault="00961779" w:rsidP="00B04BA9">
            <w:pPr>
              <w:spacing w:line="240" w:lineRule="auto"/>
              <w:jc w:val="center"/>
            </w:pPr>
            <w:r>
              <w:t>2% RH</w:t>
            </w:r>
          </w:p>
        </w:tc>
        <w:tc>
          <w:tcPr>
            <w:tcW w:w="2592" w:type="dxa"/>
            <w:tcBorders>
              <w:top w:val="single" w:sz="4" w:space="0" w:color="auto"/>
              <w:left w:val="single" w:sz="4" w:space="0" w:color="auto"/>
            </w:tcBorders>
            <w:vAlign w:val="center"/>
          </w:tcPr>
          <w:p w14:paraId="6F0B8344" w14:textId="39B93BE0" w:rsidR="00961779" w:rsidRDefault="00961779" w:rsidP="007608AF">
            <w:pPr>
              <w:spacing w:line="240" w:lineRule="auto"/>
              <w:jc w:val="center"/>
            </w:pPr>
            <w:r>
              <w:t>0.0139x + 22.57</w:t>
            </w:r>
          </w:p>
        </w:tc>
        <w:tc>
          <w:tcPr>
            <w:tcW w:w="1152" w:type="dxa"/>
            <w:tcBorders>
              <w:top w:val="single" w:sz="4" w:space="0" w:color="auto"/>
              <w:right w:val="single" w:sz="4" w:space="0" w:color="auto"/>
            </w:tcBorders>
            <w:vAlign w:val="center"/>
          </w:tcPr>
          <w:p w14:paraId="27B7BAB8" w14:textId="769E83FA" w:rsidR="00961779" w:rsidRDefault="00961779" w:rsidP="00B04BA9">
            <w:pPr>
              <w:spacing w:line="240" w:lineRule="auto"/>
              <w:jc w:val="left"/>
            </w:pPr>
            <w:r>
              <w:t>0.9963</w:t>
            </w:r>
          </w:p>
        </w:tc>
      </w:tr>
      <w:tr w:rsidR="00961779" w14:paraId="21513EA0" w14:textId="77777777" w:rsidTr="00B04BA9">
        <w:trPr>
          <w:jc w:val="center"/>
        </w:trPr>
        <w:tc>
          <w:tcPr>
            <w:tcW w:w="2016" w:type="dxa"/>
            <w:tcBorders>
              <w:right w:val="single" w:sz="4" w:space="0" w:color="auto"/>
            </w:tcBorders>
            <w:vAlign w:val="center"/>
          </w:tcPr>
          <w:p w14:paraId="1168DD26" w14:textId="2AA5DDC5" w:rsidR="00961779" w:rsidRDefault="00961779" w:rsidP="00B04BA9">
            <w:pPr>
              <w:spacing w:line="240" w:lineRule="auto"/>
              <w:jc w:val="center"/>
            </w:pPr>
            <w:r>
              <w:t>40% RH</w:t>
            </w:r>
          </w:p>
        </w:tc>
        <w:tc>
          <w:tcPr>
            <w:tcW w:w="2592" w:type="dxa"/>
            <w:tcBorders>
              <w:left w:val="single" w:sz="4" w:space="0" w:color="auto"/>
            </w:tcBorders>
            <w:vAlign w:val="center"/>
          </w:tcPr>
          <w:p w14:paraId="7EF8A955" w14:textId="5FC5D319" w:rsidR="00961779" w:rsidRDefault="00961779" w:rsidP="007608AF">
            <w:pPr>
              <w:spacing w:line="240" w:lineRule="auto"/>
              <w:jc w:val="center"/>
            </w:pPr>
            <w:r>
              <w:t>0.0148x + 21.72</w:t>
            </w:r>
          </w:p>
        </w:tc>
        <w:tc>
          <w:tcPr>
            <w:tcW w:w="1152" w:type="dxa"/>
            <w:tcBorders>
              <w:right w:val="single" w:sz="4" w:space="0" w:color="auto"/>
            </w:tcBorders>
            <w:vAlign w:val="center"/>
          </w:tcPr>
          <w:p w14:paraId="24851A5E" w14:textId="15901380" w:rsidR="00961779" w:rsidRDefault="00961779" w:rsidP="00B04BA9">
            <w:pPr>
              <w:spacing w:line="240" w:lineRule="auto"/>
              <w:jc w:val="left"/>
            </w:pPr>
            <w:r>
              <w:t>0.9896</w:t>
            </w:r>
          </w:p>
        </w:tc>
      </w:tr>
      <w:tr w:rsidR="00961779" w14:paraId="4FC50315" w14:textId="77777777" w:rsidTr="00B04BA9">
        <w:trPr>
          <w:jc w:val="center"/>
        </w:trPr>
        <w:tc>
          <w:tcPr>
            <w:tcW w:w="2016" w:type="dxa"/>
            <w:tcBorders>
              <w:right w:val="single" w:sz="4" w:space="0" w:color="auto"/>
            </w:tcBorders>
            <w:vAlign w:val="center"/>
          </w:tcPr>
          <w:p w14:paraId="44DC35A0" w14:textId="15FE9AF7" w:rsidR="00961779" w:rsidRDefault="00961779" w:rsidP="00B04BA9">
            <w:pPr>
              <w:spacing w:line="240" w:lineRule="auto"/>
              <w:jc w:val="center"/>
            </w:pPr>
            <w:r>
              <w:t>70% RH</w:t>
            </w:r>
          </w:p>
        </w:tc>
        <w:tc>
          <w:tcPr>
            <w:tcW w:w="2592" w:type="dxa"/>
            <w:tcBorders>
              <w:left w:val="single" w:sz="4" w:space="0" w:color="auto"/>
            </w:tcBorders>
            <w:vAlign w:val="center"/>
          </w:tcPr>
          <w:p w14:paraId="4F020920" w14:textId="2C21BBAC" w:rsidR="00961779" w:rsidRDefault="00961779" w:rsidP="007608AF">
            <w:pPr>
              <w:spacing w:line="240" w:lineRule="auto"/>
              <w:jc w:val="center"/>
            </w:pPr>
            <w:r>
              <w:t>0.0159x + 21.49</w:t>
            </w:r>
          </w:p>
        </w:tc>
        <w:tc>
          <w:tcPr>
            <w:tcW w:w="1152" w:type="dxa"/>
            <w:tcBorders>
              <w:right w:val="single" w:sz="4" w:space="0" w:color="auto"/>
            </w:tcBorders>
            <w:vAlign w:val="center"/>
          </w:tcPr>
          <w:p w14:paraId="1C24EDD7" w14:textId="44A8E921" w:rsidR="00961779" w:rsidRDefault="00961779" w:rsidP="00B04BA9">
            <w:pPr>
              <w:spacing w:line="240" w:lineRule="auto"/>
              <w:jc w:val="left"/>
            </w:pPr>
            <w:r>
              <w:t>0.9550</w:t>
            </w:r>
          </w:p>
        </w:tc>
      </w:tr>
      <w:tr w:rsidR="00961779" w14:paraId="55942BF6" w14:textId="77777777" w:rsidTr="00B04BA9">
        <w:trPr>
          <w:jc w:val="center"/>
        </w:trPr>
        <w:tc>
          <w:tcPr>
            <w:tcW w:w="2016" w:type="dxa"/>
            <w:tcBorders>
              <w:right w:val="single" w:sz="4" w:space="0" w:color="auto"/>
            </w:tcBorders>
            <w:vAlign w:val="center"/>
          </w:tcPr>
          <w:p w14:paraId="54141C63" w14:textId="030EE397" w:rsidR="00961779" w:rsidRDefault="00961779" w:rsidP="00B04BA9">
            <w:pPr>
              <w:spacing w:line="240" w:lineRule="auto"/>
              <w:jc w:val="center"/>
            </w:pPr>
            <w:r>
              <w:t>99% RH</w:t>
            </w:r>
          </w:p>
        </w:tc>
        <w:tc>
          <w:tcPr>
            <w:tcW w:w="2592" w:type="dxa"/>
            <w:tcBorders>
              <w:left w:val="single" w:sz="4" w:space="0" w:color="auto"/>
              <w:bottom w:val="single" w:sz="4" w:space="0" w:color="auto"/>
            </w:tcBorders>
            <w:vAlign w:val="center"/>
          </w:tcPr>
          <w:p w14:paraId="2291E10D" w14:textId="0791B064" w:rsidR="00961779" w:rsidRDefault="00961779" w:rsidP="007608AF">
            <w:pPr>
              <w:spacing w:line="240" w:lineRule="auto"/>
              <w:jc w:val="center"/>
            </w:pPr>
            <w:r>
              <w:t xml:space="preserve">0.0155x + 22.55 </w:t>
            </w:r>
          </w:p>
        </w:tc>
        <w:tc>
          <w:tcPr>
            <w:tcW w:w="1152" w:type="dxa"/>
            <w:tcBorders>
              <w:bottom w:val="single" w:sz="4" w:space="0" w:color="auto"/>
              <w:right w:val="single" w:sz="4" w:space="0" w:color="auto"/>
            </w:tcBorders>
            <w:vAlign w:val="center"/>
          </w:tcPr>
          <w:p w14:paraId="51737674" w14:textId="60C99088" w:rsidR="00961779" w:rsidRDefault="00961779" w:rsidP="00B04BA9">
            <w:pPr>
              <w:spacing w:line="240" w:lineRule="auto"/>
              <w:jc w:val="left"/>
            </w:pPr>
            <w:r>
              <w:t>0.9007</w:t>
            </w:r>
          </w:p>
        </w:tc>
      </w:tr>
      <w:tr w:rsidR="00B04BA9" w14:paraId="105B6A2E" w14:textId="77777777" w:rsidTr="00B04BA9">
        <w:trPr>
          <w:jc w:val="center"/>
        </w:trPr>
        <w:tc>
          <w:tcPr>
            <w:tcW w:w="2016" w:type="dxa"/>
            <w:vAlign w:val="center"/>
          </w:tcPr>
          <w:p w14:paraId="306764D2" w14:textId="77777777" w:rsidR="00B04BA9" w:rsidRPr="00722E7F" w:rsidRDefault="00B04BA9" w:rsidP="00B04BA9">
            <w:pPr>
              <w:spacing w:line="240" w:lineRule="auto"/>
              <w:jc w:val="center"/>
              <w:rPr>
                <w:sz w:val="16"/>
              </w:rPr>
            </w:pPr>
          </w:p>
        </w:tc>
        <w:tc>
          <w:tcPr>
            <w:tcW w:w="2592" w:type="dxa"/>
            <w:tcBorders>
              <w:top w:val="single" w:sz="4" w:space="0" w:color="auto"/>
            </w:tcBorders>
            <w:vAlign w:val="center"/>
          </w:tcPr>
          <w:p w14:paraId="099387B6" w14:textId="77777777" w:rsidR="00B04BA9" w:rsidRPr="00722E7F" w:rsidRDefault="00B04BA9" w:rsidP="00B04BA9">
            <w:pPr>
              <w:spacing w:line="240" w:lineRule="auto"/>
              <w:jc w:val="center"/>
              <w:rPr>
                <w:sz w:val="16"/>
              </w:rPr>
            </w:pPr>
          </w:p>
        </w:tc>
        <w:tc>
          <w:tcPr>
            <w:tcW w:w="1152" w:type="dxa"/>
            <w:tcBorders>
              <w:top w:val="single" w:sz="4" w:space="0" w:color="auto"/>
            </w:tcBorders>
            <w:vAlign w:val="center"/>
          </w:tcPr>
          <w:p w14:paraId="7BCA062A" w14:textId="77777777" w:rsidR="00B04BA9" w:rsidRPr="00722E7F" w:rsidRDefault="00B04BA9" w:rsidP="00B04BA9">
            <w:pPr>
              <w:spacing w:line="240" w:lineRule="auto"/>
              <w:jc w:val="left"/>
              <w:rPr>
                <w:sz w:val="16"/>
              </w:rPr>
            </w:pPr>
          </w:p>
        </w:tc>
      </w:tr>
      <w:tr w:rsidR="00B04BA9" w14:paraId="7DC1A2F5" w14:textId="77777777" w:rsidTr="00B04BA9">
        <w:trPr>
          <w:jc w:val="center"/>
        </w:trPr>
        <w:tc>
          <w:tcPr>
            <w:tcW w:w="2016" w:type="dxa"/>
            <w:vAlign w:val="center"/>
          </w:tcPr>
          <w:p w14:paraId="1E051000" w14:textId="77777777" w:rsidR="00B04BA9" w:rsidRDefault="00B04BA9" w:rsidP="00B04BA9">
            <w:pPr>
              <w:spacing w:line="240" w:lineRule="auto"/>
              <w:jc w:val="center"/>
            </w:pPr>
            <w:r>
              <w:rPr>
                <w:b/>
              </w:rPr>
              <w:t>c</w:t>
            </w:r>
            <w:r w:rsidRPr="00722E7F">
              <w:rPr>
                <w:b/>
              </w:rPr>
              <w:t xml:space="preserve">) </w:t>
            </w:r>
            <w:r>
              <w:rPr>
                <w:b/>
              </w:rPr>
              <w:t>Carbon</w:t>
            </w:r>
            <w:r w:rsidRPr="00722E7F">
              <w:rPr>
                <w:b/>
              </w:rPr>
              <w:t>/Epoxy</w:t>
            </w:r>
          </w:p>
        </w:tc>
        <w:tc>
          <w:tcPr>
            <w:tcW w:w="2592" w:type="dxa"/>
            <w:tcBorders>
              <w:bottom w:val="single" w:sz="4" w:space="0" w:color="auto"/>
            </w:tcBorders>
            <w:vAlign w:val="center"/>
          </w:tcPr>
          <w:p w14:paraId="434386B3" w14:textId="77777777" w:rsidR="00B04BA9" w:rsidRDefault="00B04BA9" w:rsidP="00B04BA9">
            <w:pPr>
              <w:spacing w:line="240" w:lineRule="auto"/>
              <w:jc w:val="center"/>
            </w:pPr>
          </w:p>
        </w:tc>
        <w:tc>
          <w:tcPr>
            <w:tcW w:w="1152" w:type="dxa"/>
            <w:tcBorders>
              <w:bottom w:val="single" w:sz="4" w:space="0" w:color="auto"/>
            </w:tcBorders>
            <w:vAlign w:val="center"/>
          </w:tcPr>
          <w:p w14:paraId="10934B6F" w14:textId="77777777" w:rsidR="00B04BA9" w:rsidRDefault="00B04BA9" w:rsidP="00B04BA9">
            <w:pPr>
              <w:spacing w:line="240" w:lineRule="auto"/>
              <w:jc w:val="left"/>
            </w:pPr>
          </w:p>
        </w:tc>
      </w:tr>
      <w:tr w:rsidR="00B04BA9" w14:paraId="3962AFD8" w14:textId="77777777" w:rsidTr="00B04BA9">
        <w:trPr>
          <w:jc w:val="center"/>
        </w:trPr>
        <w:tc>
          <w:tcPr>
            <w:tcW w:w="2016" w:type="dxa"/>
            <w:tcBorders>
              <w:right w:val="single" w:sz="4" w:space="0" w:color="auto"/>
            </w:tcBorders>
            <w:vAlign w:val="center"/>
          </w:tcPr>
          <w:p w14:paraId="089595B5" w14:textId="7C1BD148" w:rsidR="00B04BA9" w:rsidRDefault="00B04BA9" w:rsidP="00B04BA9">
            <w:pPr>
              <w:spacing w:line="240" w:lineRule="auto"/>
              <w:jc w:val="center"/>
            </w:pPr>
            <w:r>
              <w:t>2% RH</w:t>
            </w:r>
          </w:p>
        </w:tc>
        <w:tc>
          <w:tcPr>
            <w:tcW w:w="2592" w:type="dxa"/>
            <w:tcBorders>
              <w:top w:val="single" w:sz="4" w:space="0" w:color="auto"/>
              <w:left w:val="single" w:sz="4" w:space="0" w:color="auto"/>
            </w:tcBorders>
            <w:vAlign w:val="center"/>
          </w:tcPr>
          <w:p w14:paraId="6D9CE83D" w14:textId="211053EE" w:rsidR="00B04BA9" w:rsidRDefault="00B04BA9" w:rsidP="009E4749">
            <w:pPr>
              <w:spacing w:line="240" w:lineRule="auto"/>
              <w:jc w:val="center"/>
            </w:pPr>
            <w:r>
              <w:t>0.0</w:t>
            </w:r>
            <w:r w:rsidR="009E4749">
              <w:t>1</w:t>
            </w:r>
            <w:r>
              <w:t>6</w:t>
            </w:r>
            <w:r w:rsidR="009E4749">
              <w:t>3</w:t>
            </w:r>
            <w:r>
              <w:t>x + 43.</w:t>
            </w:r>
            <w:r w:rsidR="009E4749">
              <w:t>38</w:t>
            </w:r>
          </w:p>
        </w:tc>
        <w:tc>
          <w:tcPr>
            <w:tcW w:w="1152" w:type="dxa"/>
            <w:tcBorders>
              <w:top w:val="single" w:sz="4" w:space="0" w:color="auto"/>
              <w:right w:val="single" w:sz="4" w:space="0" w:color="auto"/>
            </w:tcBorders>
            <w:vAlign w:val="center"/>
          </w:tcPr>
          <w:p w14:paraId="378661CC" w14:textId="538B989A" w:rsidR="00B04BA9" w:rsidRDefault="009E4749" w:rsidP="00B04BA9">
            <w:pPr>
              <w:spacing w:line="240" w:lineRule="auto"/>
              <w:jc w:val="left"/>
            </w:pPr>
            <w:r>
              <w:t>0.7633</w:t>
            </w:r>
          </w:p>
        </w:tc>
      </w:tr>
      <w:tr w:rsidR="00B04BA9" w14:paraId="6D876808" w14:textId="77777777" w:rsidTr="00B04BA9">
        <w:trPr>
          <w:jc w:val="center"/>
        </w:trPr>
        <w:tc>
          <w:tcPr>
            <w:tcW w:w="2016" w:type="dxa"/>
            <w:tcBorders>
              <w:right w:val="single" w:sz="4" w:space="0" w:color="auto"/>
            </w:tcBorders>
            <w:vAlign w:val="center"/>
          </w:tcPr>
          <w:p w14:paraId="1A00B80E" w14:textId="6554F0CA" w:rsidR="00B04BA9" w:rsidRDefault="00B04BA9" w:rsidP="00B04BA9">
            <w:pPr>
              <w:spacing w:line="240" w:lineRule="auto"/>
              <w:jc w:val="center"/>
            </w:pPr>
            <w:r>
              <w:t>40% RH</w:t>
            </w:r>
          </w:p>
        </w:tc>
        <w:tc>
          <w:tcPr>
            <w:tcW w:w="2592" w:type="dxa"/>
            <w:tcBorders>
              <w:left w:val="single" w:sz="4" w:space="0" w:color="auto"/>
            </w:tcBorders>
            <w:vAlign w:val="center"/>
          </w:tcPr>
          <w:p w14:paraId="28A1A89C" w14:textId="0CCE34AA" w:rsidR="00B04BA9" w:rsidRDefault="00695BAA" w:rsidP="00695BAA">
            <w:pPr>
              <w:spacing w:line="240" w:lineRule="auto"/>
              <w:jc w:val="center"/>
            </w:pPr>
            <w:r>
              <w:t>0.0214</w:t>
            </w:r>
            <w:r w:rsidR="00B04BA9">
              <w:t>x + 4</w:t>
            </w:r>
            <w:r>
              <w:t>1</w:t>
            </w:r>
            <w:r w:rsidR="00B04BA9">
              <w:t>.7</w:t>
            </w:r>
            <w:r>
              <w:t>6</w:t>
            </w:r>
          </w:p>
        </w:tc>
        <w:tc>
          <w:tcPr>
            <w:tcW w:w="1152" w:type="dxa"/>
            <w:tcBorders>
              <w:right w:val="single" w:sz="4" w:space="0" w:color="auto"/>
            </w:tcBorders>
            <w:vAlign w:val="center"/>
          </w:tcPr>
          <w:p w14:paraId="5CCE3300" w14:textId="3BB2FC87" w:rsidR="00B04BA9" w:rsidRDefault="00695BAA" w:rsidP="00B04BA9">
            <w:pPr>
              <w:spacing w:line="240" w:lineRule="auto"/>
              <w:jc w:val="left"/>
            </w:pPr>
            <w:r>
              <w:t>0.9665</w:t>
            </w:r>
          </w:p>
        </w:tc>
      </w:tr>
      <w:tr w:rsidR="00B04BA9" w14:paraId="0B11564E" w14:textId="77777777" w:rsidTr="00961779">
        <w:trPr>
          <w:jc w:val="center"/>
        </w:trPr>
        <w:tc>
          <w:tcPr>
            <w:tcW w:w="2016" w:type="dxa"/>
            <w:tcBorders>
              <w:right w:val="single" w:sz="4" w:space="0" w:color="auto"/>
            </w:tcBorders>
            <w:vAlign w:val="center"/>
          </w:tcPr>
          <w:p w14:paraId="7EAEDD5C" w14:textId="389588B6" w:rsidR="00B04BA9" w:rsidRDefault="00B04BA9" w:rsidP="00B04BA9">
            <w:pPr>
              <w:spacing w:line="240" w:lineRule="auto"/>
              <w:jc w:val="center"/>
            </w:pPr>
            <w:r>
              <w:t>70% RH</w:t>
            </w:r>
          </w:p>
        </w:tc>
        <w:tc>
          <w:tcPr>
            <w:tcW w:w="2592" w:type="dxa"/>
            <w:tcBorders>
              <w:left w:val="single" w:sz="4" w:space="0" w:color="auto"/>
            </w:tcBorders>
            <w:vAlign w:val="center"/>
          </w:tcPr>
          <w:p w14:paraId="156F0657" w14:textId="3AD030F7" w:rsidR="00B04BA9" w:rsidRDefault="00695BAA" w:rsidP="00695BAA">
            <w:pPr>
              <w:spacing w:line="240" w:lineRule="auto"/>
              <w:jc w:val="center"/>
            </w:pPr>
            <w:r>
              <w:t>0.0223</w:t>
            </w:r>
            <w:r w:rsidR="00B04BA9">
              <w:t>x + 4</w:t>
            </w:r>
            <w:r>
              <w:t>2</w:t>
            </w:r>
            <w:r w:rsidR="00B04BA9">
              <w:t>.4</w:t>
            </w:r>
            <w:r>
              <w:t>9</w:t>
            </w:r>
          </w:p>
        </w:tc>
        <w:tc>
          <w:tcPr>
            <w:tcW w:w="1152" w:type="dxa"/>
            <w:tcBorders>
              <w:right w:val="single" w:sz="4" w:space="0" w:color="auto"/>
            </w:tcBorders>
            <w:vAlign w:val="center"/>
          </w:tcPr>
          <w:p w14:paraId="5F52EB14" w14:textId="1113CCD2" w:rsidR="00B04BA9" w:rsidRDefault="00695BAA" w:rsidP="00B04BA9">
            <w:pPr>
              <w:spacing w:line="240" w:lineRule="auto"/>
              <w:jc w:val="left"/>
            </w:pPr>
            <w:r>
              <w:t>0.9795</w:t>
            </w:r>
          </w:p>
        </w:tc>
      </w:tr>
      <w:tr w:rsidR="00B04BA9" w14:paraId="1F090373" w14:textId="77777777" w:rsidTr="00961779">
        <w:trPr>
          <w:jc w:val="center"/>
        </w:trPr>
        <w:tc>
          <w:tcPr>
            <w:tcW w:w="2016" w:type="dxa"/>
            <w:tcBorders>
              <w:right w:val="single" w:sz="4" w:space="0" w:color="auto"/>
            </w:tcBorders>
            <w:vAlign w:val="center"/>
          </w:tcPr>
          <w:p w14:paraId="3328A15D" w14:textId="376DFC57" w:rsidR="00B04BA9" w:rsidRDefault="00B04BA9" w:rsidP="00B04BA9">
            <w:pPr>
              <w:spacing w:line="240" w:lineRule="auto"/>
              <w:jc w:val="center"/>
            </w:pPr>
            <w:r>
              <w:t>99% RH</w:t>
            </w:r>
          </w:p>
        </w:tc>
        <w:tc>
          <w:tcPr>
            <w:tcW w:w="2592" w:type="dxa"/>
            <w:tcBorders>
              <w:left w:val="single" w:sz="4" w:space="0" w:color="auto"/>
              <w:bottom w:val="single" w:sz="4" w:space="0" w:color="auto"/>
            </w:tcBorders>
            <w:vAlign w:val="center"/>
          </w:tcPr>
          <w:p w14:paraId="38C33B03" w14:textId="26F36B43" w:rsidR="00B04BA9" w:rsidRDefault="00695BAA" w:rsidP="00695BAA">
            <w:pPr>
              <w:spacing w:line="240" w:lineRule="auto"/>
              <w:jc w:val="center"/>
            </w:pPr>
            <w:r>
              <w:t>0.0194</w:t>
            </w:r>
            <w:r w:rsidR="00B04BA9">
              <w:t xml:space="preserve">x + </w:t>
            </w:r>
            <w:r>
              <w:t>43.65</w:t>
            </w:r>
          </w:p>
        </w:tc>
        <w:tc>
          <w:tcPr>
            <w:tcW w:w="1152" w:type="dxa"/>
            <w:tcBorders>
              <w:bottom w:val="single" w:sz="4" w:space="0" w:color="auto"/>
              <w:right w:val="single" w:sz="4" w:space="0" w:color="auto"/>
            </w:tcBorders>
            <w:vAlign w:val="center"/>
          </w:tcPr>
          <w:p w14:paraId="34BBADD8" w14:textId="75806E3B" w:rsidR="00B04BA9" w:rsidRDefault="00695BAA" w:rsidP="00B04BA9">
            <w:pPr>
              <w:spacing w:line="240" w:lineRule="auto"/>
              <w:jc w:val="left"/>
            </w:pPr>
            <w:r>
              <w:t>0.6987</w:t>
            </w:r>
          </w:p>
        </w:tc>
      </w:tr>
    </w:tbl>
    <w:p w14:paraId="37D60D4C" w14:textId="77777777" w:rsidR="00B04BA9" w:rsidRPr="00FF5F91" w:rsidRDefault="00B04BA9" w:rsidP="00B04BA9">
      <w:pPr>
        <w:jc w:val="center"/>
      </w:pPr>
    </w:p>
    <w:p w14:paraId="24A51DE8" w14:textId="41332468" w:rsidR="009F647B" w:rsidRDefault="009F647B" w:rsidP="009F647B">
      <w:pPr>
        <w:pStyle w:val="Heading3"/>
      </w:pPr>
      <w:bookmarkStart w:id="161" w:name="_Ref344129830"/>
      <w:bookmarkStart w:id="162" w:name="_Toc346310990"/>
      <w:r>
        <w:t>Effect of Prepreg Humidity Exposure on Laminate Flexural Strength</w:t>
      </w:r>
      <w:bookmarkEnd w:id="161"/>
      <w:bookmarkEnd w:id="162"/>
    </w:p>
    <w:p w14:paraId="6D79095F" w14:textId="0D4B1B93" w:rsidR="009F647B" w:rsidRDefault="00E56D55" w:rsidP="009F647B">
      <w:pPr>
        <w:ind w:firstLine="360"/>
      </w:pPr>
      <w:r>
        <w:t xml:space="preserve">The effect of prepreg conditioning on the laminate flexural strength for each material is shown in </w:t>
      </w:r>
      <w:r>
        <w:fldChar w:fldCharType="begin"/>
      </w:r>
      <w:r>
        <w:instrText xml:space="preserve"> REF _Ref343327588 \h </w:instrText>
      </w:r>
      <w:r>
        <w:fldChar w:fldCharType="separate"/>
      </w:r>
      <w:r w:rsidR="008A1992" w:rsidRPr="000A6295">
        <w:t xml:space="preserve">Figure </w:t>
      </w:r>
      <w:r w:rsidR="008A1992">
        <w:rPr>
          <w:noProof/>
        </w:rPr>
        <w:t>3</w:t>
      </w:r>
      <w:r w:rsidR="008A1992">
        <w:t>.</w:t>
      </w:r>
      <w:r w:rsidR="008A1992">
        <w:rPr>
          <w:noProof/>
        </w:rPr>
        <w:t>5</w:t>
      </w:r>
      <w:r>
        <w:fldChar w:fldCharType="end"/>
      </w:r>
      <w:r>
        <w:t xml:space="preserve">.  </w:t>
      </w:r>
      <w:r w:rsidR="009933A6">
        <w:t xml:space="preserve">The </w:t>
      </w:r>
      <w:r w:rsidR="00C364E0">
        <w:t xml:space="preserve">polynomial </w:t>
      </w:r>
      <w:r w:rsidR="009933A6">
        <w:t xml:space="preserve">trend line equations for each prepreg conditioning and fabrication pressure specimen are provided in </w:t>
      </w:r>
      <w:r w:rsidR="009933A6">
        <w:fldChar w:fldCharType="begin"/>
      </w:r>
      <w:r w:rsidR="009933A6">
        <w:instrText xml:space="preserve"> REF _Ref343848297 \h </w:instrText>
      </w:r>
      <w:r w:rsidR="009933A6">
        <w:fldChar w:fldCharType="separate"/>
      </w:r>
      <w:r w:rsidR="008A1992" w:rsidRPr="00CB34C4">
        <w:t xml:space="preserve">Table </w:t>
      </w:r>
      <w:r w:rsidR="008A1992">
        <w:rPr>
          <w:noProof/>
        </w:rPr>
        <w:t>3</w:t>
      </w:r>
      <w:r w:rsidR="008A1992">
        <w:t>.</w:t>
      </w:r>
      <w:r w:rsidR="008A1992">
        <w:rPr>
          <w:noProof/>
        </w:rPr>
        <w:t>3</w:t>
      </w:r>
      <w:r w:rsidR="009933A6">
        <w:fldChar w:fldCharType="end"/>
      </w:r>
      <w:r w:rsidR="009933A6">
        <w:t xml:space="preserve">.  </w:t>
      </w:r>
      <w:r>
        <w:t xml:space="preserve">Each material demonstrated complex, polynomial-like behavior </w:t>
      </w:r>
      <w:r w:rsidR="009933A6">
        <w:t xml:space="preserve">on flexural strength </w:t>
      </w:r>
      <w:r>
        <w:t xml:space="preserve">when considering humidity exposure.  </w:t>
      </w:r>
      <w:r w:rsidR="0021156D">
        <w:t>Therefore, 1</w:t>
      </w:r>
      <w:r w:rsidR="0021156D" w:rsidRPr="0021156D">
        <w:rPr>
          <w:vertAlign w:val="superscript"/>
        </w:rPr>
        <w:t>st</w:t>
      </w:r>
      <w:r w:rsidR="0021156D">
        <w:t xml:space="preserve">-order trend line representations (i.e. linear or power-function) of the flexural strength due to varying humidity exposure would not be as accurate an representation of flexural strength when compared to a polynomial function.  </w:t>
      </w:r>
      <w:r w:rsidR="009933A6">
        <w:t xml:space="preserve">Strength was lower when </w:t>
      </w:r>
      <w:r>
        <w:t xml:space="preserve">BMI resin </w:t>
      </w:r>
      <w:r w:rsidR="009933A6">
        <w:t>(</w:t>
      </w:r>
      <w:r w:rsidR="009933A6">
        <w:fldChar w:fldCharType="begin"/>
      </w:r>
      <w:r w:rsidR="009933A6">
        <w:instrText xml:space="preserve"> REF _Ref343327588 \h </w:instrText>
      </w:r>
      <w:r w:rsidR="009933A6">
        <w:fldChar w:fldCharType="separate"/>
      </w:r>
      <w:r w:rsidR="008A1992" w:rsidRPr="000A6295">
        <w:t xml:space="preserve">Figure </w:t>
      </w:r>
      <w:r w:rsidR="008A1992">
        <w:rPr>
          <w:noProof/>
        </w:rPr>
        <w:t>3</w:t>
      </w:r>
      <w:r w:rsidR="008A1992">
        <w:t>.</w:t>
      </w:r>
      <w:r w:rsidR="008A1992">
        <w:rPr>
          <w:noProof/>
        </w:rPr>
        <w:t>5</w:t>
      </w:r>
      <w:r w:rsidR="009933A6">
        <w:fldChar w:fldCharType="end"/>
      </w:r>
      <w:r w:rsidR="009933A6">
        <w:t>b) was used inst</w:t>
      </w:r>
      <w:r>
        <w:t>ead of epoxy</w:t>
      </w:r>
      <w:r w:rsidR="009933A6">
        <w:t xml:space="preserve"> resin (</w:t>
      </w:r>
      <w:r w:rsidR="009933A6">
        <w:fldChar w:fldCharType="begin"/>
      </w:r>
      <w:r w:rsidR="009933A6">
        <w:instrText xml:space="preserve"> REF _Ref343327588 \h </w:instrText>
      </w:r>
      <w:r w:rsidR="009933A6">
        <w:fldChar w:fldCharType="separate"/>
      </w:r>
      <w:r w:rsidR="008A1992" w:rsidRPr="000A6295">
        <w:t xml:space="preserve">Figure </w:t>
      </w:r>
      <w:r w:rsidR="008A1992">
        <w:rPr>
          <w:noProof/>
        </w:rPr>
        <w:t>3</w:t>
      </w:r>
      <w:r w:rsidR="008A1992">
        <w:t>.</w:t>
      </w:r>
      <w:r w:rsidR="008A1992">
        <w:rPr>
          <w:noProof/>
        </w:rPr>
        <w:t>5</w:t>
      </w:r>
      <w:r w:rsidR="009933A6">
        <w:fldChar w:fldCharType="end"/>
      </w:r>
      <w:r w:rsidR="009933A6">
        <w:t>a).</w:t>
      </w:r>
      <w:r>
        <w:t xml:space="preserve">  </w:t>
      </w:r>
      <w:r w:rsidR="009933A6">
        <w:t>However, strength for BMI was</w:t>
      </w:r>
      <w:r w:rsidR="00BB4A7A">
        <w:t xml:space="preserve"> not influenced to the same degree by </w:t>
      </w:r>
      <w:r w:rsidR="009933A6">
        <w:t xml:space="preserve">changes in humidity. </w:t>
      </w:r>
      <w:r w:rsidR="00BB4A7A">
        <w:t xml:space="preserve"> </w:t>
      </w:r>
      <w:r w:rsidR="009933A6">
        <w:t>This</w:t>
      </w:r>
      <w:r w:rsidR="00BB4A7A">
        <w:t xml:space="preserve"> is indicated by the tighter data groupings in </w:t>
      </w:r>
      <w:r w:rsidR="00BB4A7A">
        <w:fldChar w:fldCharType="begin"/>
      </w:r>
      <w:r w:rsidR="00BB4A7A">
        <w:instrText xml:space="preserve"> REF _Ref343327588 \h </w:instrText>
      </w:r>
      <w:r w:rsidR="00BB4A7A">
        <w:fldChar w:fldCharType="separate"/>
      </w:r>
      <w:r w:rsidR="008A1992" w:rsidRPr="000A6295">
        <w:t xml:space="preserve">Figure </w:t>
      </w:r>
      <w:r w:rsidR="008A1992">
        <w:rPr>
          <w:noProof/>
        </w:rPr>
        <w:t>3</w:t>
      </w:r>
      <w:r w:rsidR="008A1992">
        <w:t>.</w:t>
      </w:r>
      <w:r w:rsidR="008A1992">
        <w:rPr>
          <w:noProof/>
        </w:rPr>
        <w:t>5</w:t>
      </w:r>
      <w:r w:rsidR="00BB4A7A">
        <w:fldChar w:fldCharType="end"/>
      </w:r>
      <w:r w:rsidR="0044170A">
        <w:t>b, which</w:t>
      </w:r>
      <w:r w:rsidR="009933A6">
        <w:t xml:space="preserve"> represent an overall flexure strength delta of </w:t>
      </w:r>
      <w:r w:rsidR="0044170A">
        <w:t>178 MPa</w:t>
      </w:r>
      <w:r w:rsidR="00BB4A7A">
        <w:t xml:space="preserve">.  </w:t>
      </w:r>
      <w:r w:rsidR="0044170A">
        <w:t xml:space="preserve">Compared to the flexural strength delta of 405 MPa for epoxy resin.  Additionally, utilizing BMI </w:t>
      </w:r>
      <w:r w:rsidR="0044170A">
        <w:lastRenderedPageBreak/>
        <w:t xml:space="preserve">for the resin material resulted in a </w:t>
      </w:r>
      <w:r w:rsidR="00BB4A7A">
        <w:t>local minimum for</w:t>
      </w:r>
      <w:r w:rsidR="0044170A">
        <w:t xml:space="preserve"> flexural strength </w:t>
      </w:r>
      <w:r w:rsidR="00BB4A7A">
        <w:t>near 70% relative humidity</w:t>
      </w:r>
      <w:r w:rsidR="0044170A">
        <w:t>.  Epoxy resin on the other hand gene</w:t>
      </w:r>
      <w:r w:rsidR="00495653">
        <w:t>rally had a local maximum near 5</w:t>
      </w:r>
      <w:r w:rsidR="0044170A">
        <w:t>0% relative humidity or an overall decline when fabrication pressure was low (i.e. 69 kPa).</w:t>
      </w:r>
      <w:r w:rsidR="00BB4A7A">
        <w:t xml:space="preserve">  </w:t>
      </w:r>
      <w:r w:rsidR="00FB502D">
        <w:t xml:space="preserve">Both epoxy resin systems </w:t>
      </w:r>
      <w:r w:rsidR="00495653">
        <w:t>(</w:t>
      </w:r>
      <w:r w:rsidR="00495653">
        <w:fldChar w:fldCharType="begin"/>
      </w:r>
      <w:r w:rsidR="00495653">
        <w:instrText xml:space="preserve"> REF _Ref343327588 \h </w:instrText>
      </w:r>
      <w:r w:rsidR="00495653">
        <w:fldChar w:fldCharType="separate"/>
      </w:r>
      <w:r w:rsidR="008A1992" w:rsidRPr="000A6295">
        <w:t xml:space="preserve">Figure </w:t>
      </w:r>
      <w:r w:rsidR="008A1992">
        <w:rPr>
          <w:noProof/>
        </w:rPr>
        <w:t>3</w:t>
      </w:r>
      <w:r w:rsidR="008A1992">
        <w:t>.</w:t>
      </w:r>
      <w:r w:rsidR="008A1992">
        <w:rPr>
          <w:noProof/>
        </w:rPr>
        <w:t>5</w:t>
      </w:r>
      <w:r w:rsidR="00495653">
        <w:fldChar w:fldCharType="end"/>
      </w:r>
      <w:r w:rsidR="00495653">
        <w:t xml:space="preserve">a and c) </w:t>
      </w:r>
      <w:r w:rsidR="00FB502D">
        <w:t>had in</w:t>
      </w:r>
      <w:r w:rsidR="00495653">
        <w:t>itial strength values between 700-84</w:t>
      </w:r>
      <w:r w:rsidR="00FB502D">
        <w:t>0 MPa</w:t>
      </w:r>
      <w:r w:rsidR="00495653">
        <w:t xml:space="preserve"> that were in close proximity to each other at a specific fabrication pressure.  However,</w:t>
      </w:r>
      <w:r w:rsidR="00FB502D">
        <w:t xml:space="preserve"> the effect of humidity exposure was distinctly different for each fiber reinforcement type.  Quartz reinforcement, shown in </w:t>
      </w:r>
      <w:r w:rsidR="00FB502D">
        <w:fldChar w:fldCharType="begin"/>
      </w:r>
      <w:r w:rsidR="00FB502D">
        <w:instrText xml:space="preserve"> REF _Ref343327588 \h </w:instrText>
      </w:r>
      <w:r w:rsidR="00FB502D">
        <w:fldChar w:fldCharType="separate"/>
      </w:r>
      <w:r w:rsidR="008A1992" w:rsidRPr="000A6295">
        <w:t xml:space="preserve">Figure </w:t>
      </w:r>
      <w:r w:rsidR="008A1992">
        <w:rPr>
          <w:noProof/>
        </w:rPr>
        <w:t>3</w:t>
      </w:r>
      <w:r w:rsidR="008A1992">
        <w:t>.</w:t>
      </w:r>
      <w:r w:rsidR="008A1992">
        <w:rPr>
          <w:noProof/>
        </w:rPr>
        <w:t>5</w:t>
      </w:r>
      <w:r w:rsidR="00FB502D">
        <w:fldChar w:fldCharType="end"/>
      </w:r>
      <w:r w:rsidR="00495653">
        <w:t>a</w:t>
      </w:r>
      <w:r w:rsidR="00FB502D">
        <w:t xml:space="preserve">, </w:t>
      </w:r>
      <w:r w:rsidR="00495653">
        <w:t>was</w:t>
      </w:r>
      <w:r w:rsidR="00FB502D">
        <w:t xml:space="preserve"> </w:t>
      </w:r>
      <w:r w:rsidR="00495653">
        <w:t>influenced by humidity to a larger degree.  Meanwhile the flexural strength for</w:t>
      </w:r>
      <w:r w:rsidR="00FB502D">
        <w:t xml:space="preserve"> carbon fiber reinforcement, shown in </w:t>
      </w:r>
      <w:r w:rsidR="00FB502D">
        <w:fldChar w:fldCharType="begin"/>
      </w:r>
      <w:r w:rsidR="00FB502D">
        <w:instrText xml:space="preserve"> REF _Ref343327588 \h </w:instrText>
      </w:r>
      <w:r w:rsidR="00FB502D">
        <w:fldChar w:fldCharType="separate"/>
      </w:r>
      <w:r w:rsidR="008A1992" w:rsidRPr="000A6295">
        <w:t xml:space="preserve">Figure </w:t>
      </w:r>
      <w:r w:rsidR="008A1992">
        <w:rPr>
          <w:noProof/>
        </w:rPr>
        <w:t>3</w:t>
      </w:r>
      <w:r w:rsidR="008A1992">
        <w:t>.</w:t>
      </w:r>
      <w:r w:rsidR="008A1992">
        <w:rPr>
          <w:noProof/>
        </w:rPr>
        <w:t>5</w:t>
      </w:r>
      <w:r w:rsidR="00FB502D">
        <w:fldChar w:fldCharType="end"/>
      </w:r>
      <w:r w:rsidR="00FB502D">
        <w:t xml:space="preserve">c, </w:t>
      </w:r>
      <w:r w:rsidR="00495653">
        <w:t>declined slightly as humidity increased with a local minimum near 50%.  There were instances for carbon fiber that was more sporadic</w:t>
      </w:r>
      <w:r w:rsidR="006C6CE6">
        <w:t xml:space="preserve"> and random in nature</w:t>
      </w:r>
      <w:r w:rsidR="00495653">
        <w:t xml:space="preserve">.  For example, samples fabricated at </w:t>
      </w:r>
      <w:r w:rsidR="006C6CE6">
        <w:t>483</w:t>
      </w:r>
      <w:r w:rsidR="00495653">
        <w:t xml:space="preserve"> kPa demonstrated a </w:t>
      </w:r>
      <w:r w:rsidR="006C6CE6">
        <w:t>large</w:t>
      </w:r>
      <w:r w:rsidR="00495653">
        <w:t xml:space="preserve"> local </w:t>
      </w:r>
      <w:r w:rsidR="006C6CE6">
        <w:t>minimum</w:t>
      </w:r>
      <w:r w:rsidR="00495653">
        <w:t xml:space="preserve"> near </w:t>
      </w:r>
      <w:r w:rsidR="006C6CE6">
        <w:t>40% relative humidity, which was caused by the unusually low flexural strength for the specimens conditioned at 40% relative humidity.  The overall trend of a slight decline as humidity increased from zero to 100% relative humidity remained true, therefore it is believed that this behavior was more likely due to uncertainties with experimental data.</w:t>
      </w:r>
    </w:p>
    <w:p w14:paraId="5DFA3886" w14:textId="43832C75" w:rsidR="000A6295" w:rsidRDefault="00733F51" w:rsidP="000A6295">
      <w:pPr>
        <w:keepNext/>
        <w:jc w:val="center"/>
      </w:pPr>
      <w:r>
        <w:rPr>
          <w:noProof/>
        </w:rPr>
        <w:lastRenderedPageBreak/>
        <mc:AlternateContent>
          <mc:Choice Requires="wpg">
            <w:drawing>
              <wp:inline distT="0" distB="0" distL="0" distR="0" wp14:anchorId="1A4D5415" wp14:editId="4FF96279">
                <wp:extent cx="5394960" cy="4486116"/>
                <wp:effectExtent l="0" t="0" r="0" b="10160"/>
                <wp:docPr id="53" name="Group 15"/>
                <wp:cNvGraphicFramePr/>
                <a:graphic xmlns:a="http://schemas.openxmlformats.org/drawingml/2006/main">
                  <a:graphicData uri="http://schemas.microsoft.com/office/word/2010/wordprocessingGroup">
                    <wpg:wgp>
                      <wpg:cNvGrpSpPr/>
                      <wpg:grpSpPr>
                        <a:xfrm>
                          <a:off x="0" y="0"/>
                          <a:ext cx="5394960" cy="4486116"/>
                          <a:chOff x="0" y="0"/>
                          <a:chExt cx="5424625" cy="4511022"/>
                        </a:xfrm>
                      </wpg:grpSpPr>
                      <wpg:graphicFrame>
                        <wpg:cNvPr id="54" name="Chart 54"/>
                        <wpg:cNvFrPr/>
                        <wpg:xfrm>
                          <a:off x="2711903" y="0"/>
                          <a:ext cx="2712722" cy="2255520"/>
                        </wpg:xfrm>
                        <a:graphic>
                          <a:graphicData uri="http://schemas.openxmlformats.org/drawingml/2006/chart">
                            <c:chart xmlns:c="http://schemas.openxmlformats.org/drawingml/2006/chart" xmlns:r="http://schemas.openxmlformats.org/officeDocument/2006/relationships" r:id="rId82"/>
                          </a:graphicData>
                        </a:graphic>
                      </wpg:graphicFrame>
                      <wpg:graphicFrame>
                        <wpg:cNvPr id="55" name="Chart 55"/>
                        <wpg:cNvFrPr>
                          <a:graphicFrameLocks/>
                        </wpg:cNvFrPr>
                        <wpg:xfrm>
                          <a:off x="0" y="0"/>
                          <a:ext cx="2712722" cy="2255520"/>
                        </wpg:xfrm>
                        <a:graphic>
                          <a:graphicData uri="http://schemas.openxmlformats.org/drawingml/2006/chart">
                            <c:chart xmlns:c="http://schemas.openxmlformats.org/drawingml/2006/chart" xmlns:r="http://schemas.openxmlformats.org/officeDocument/2006/relationships" r:id="rId83"/>
                          </a:graphicData>
                        </a:graphic>
                      </wpg:graphicFrame>
                      <wpg:graphicFrame>
                        <wpg:cNvPr id="56" name="Chart 56"/>
                        <wpg:cNvFrPr>
                          <a:graphicFrameLocks/>
                        </wpg:cNvFrPr>
                        <wpg:xfrm>
                          <a:off x="1346200" y="2255502"/>
                          <a:ext cx="2712722" cy="2255520"/>
                        </wpg:xfrm>
                        <a:graphic>
                          <a:graphicData uri="http://schemas.openxmlformats.org/drawingml/2006/chart">
                            <c:chart xmlns:c="http://schemas.openxmlformats.org/drawingml/2006/chart" xmlns:r="http://schemas.openxmlformats.org/officeDocument/2006/relationships" r:id="rId84"/>
                          </a:graphicData>
                        </a:graphic>
                      </wpg:graphicFrame>
                    </wpg:wgp>
                  </a:graphicData>
                </a:graphic>
              </wp:inline>
            </w:drawing>
          </mc:Choice>
          <mc:Fallback xmlns:w15="http://schemas.microsoft.com/office/word/2012/wordml">
            <w:pict>
              <v:group w14:anchorId="406822B1" id="Group 15" o:spid="_x0000_s1026" style="width:424.8pt;height:353.25pt;mso-position-horizontal-relative:char;mso-position-vertical-relative:line" coordsize="54246,45110" o:gfxdata="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">
                <v:shape id="Chart 54" o:spid="_x0000_s1027" type="#_x0000_t75" style="position:absolute;left:27092;width:27154;height:2255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">
                  <v:imagedata r:id="rId85" o:title=""/>
                  <o:lock v:ext="edit" aspectratio="f"/>
                </v:shape>
                <v:shape id="Chart 55" o:spid="_x0000_s1028" type="#_x0000_t75" style="position:absolute;width:27153;height:2255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">
                  <v:imagedata r:id="rId86" o:title=""/>
                  <o:lock v:ext="edit" aspectratio="f"/>
                </v:shape>
                <v:shape id="Chart 56" o:spid="_x0000_s1029" type="#_x0000_t75" style="position:absolute;left:13423;top:22496;width:27215;height:2261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">
                  <v:imagedata r:id="rId87" o:title=""/>
                  <o:lock v:ext="edit" aspectratio="f"/>
                </v:shape>
                <w10:anchorlock/>
              </v:group>
            </w:pict>
          </mc:Fallback>
        </mc:AlternateContent>
      </w:r>
    </w:p>
    <w:p w14:paraId="52094024" w14:textId="3B70B8AB" w:rsidR="003A3633" w:rsidRDefault="000A6295" w:rsidP="000A6295">
      <w:pPr>
        <w:pStyle w:val="Caption"/>
        <w:spacing w:line="240" w:lineRule="auto"/>
        <w:jc w:val="center"/>
        <w:rPr>
          <w:sz w:val="24"/>
          <w:szCs w:val="24"/>
        </w:rPr>
      </w:pPr>
      <w:bookmarkStart w:id="163" w:name="_Ref343327588"/>
      <w:bookmarkStart w:id="164" w:name="_Toc346310433"/>
      <w:proofErr w:type="gramStart"/>
      <w:r w:rsidRPr="000A6295">
        <w:rPr>
          <w:sz w:val="24"/>
          <w:szCs w:val="24"/>
        </w:rPr>
        <w:t xml:space="preserve">Figure </w:t>
      </w:r>
      <w:r w:rsidR="00C16D85">
        <w:rPr>
          <w:sz w:val="24"/>
          <w:szCs w:val="24"/>
        </w:rPr>
        <w:fldChar w:fldCharType="begin"/>
      </w:r>
      <w:r w:rsidR="00C16D85">
        <w:rPr>
          <w:sz w:val="24"/>
          <w:szCs w:val="24"/>
        </w:rPr>
        <w:instrText xml:space="preserve"> STYLEREF 1 \s </w:instrText>
      </w:r>
      <w:r w:rsidR="00C16D85">
        <w:rPr>
          <w:sz w:val="24"/>
          <w:szCs w:val="24"/>
        </w:rPr>
        <w:fldChar w:fldCharType="separate"/>
      </w:r>
      <w:r w:rsidR="008A1992">
        <w:rPr>
          <w:noProof/>
          <w:sz w:val="24"/>
          <w:szCs w:val="24"/>
        </w:rPr>
        <w:t>3</w:t>
      </w:r>
      <w:r w:rsidR="00C16D85">
        <w:rPr>
          <w:sz w:val="24"/>
          <w:szCs w:val="24"/>
        </w:rPr>
        <w:fldChar w:fldCharType="end"/>
      </w:r>
      <w:r w:rsidR="00C16D85">
        <w:rPr>
          <w:sz w:val="24"/>
          <w:szCs w:val="24"/>
        </w:rPr>
        <w:t>.</w:t>
      </w:r>
      <w:proofErr w:type="gramEnd"/>
      <w:r w:rsidR="00C16D85">
        <w:rPr>
          <w:sz w:val="24"/>
          <w:szCs w:val="24"/>
        </w:rPr>
        <w:fldChar w:fldCharType="begin"/>
      </w:r>
      <w:r w:rsidR="00C16D85">
        <w:rPr>
          <w:sz w:val="24"/>
          <w:szCs w:val="24"/>
        </w:rPr>
        <w:instrText xml:space="preserve"> SEQ Figure \* ARABIC \s 1 </w:instrText>
      </w:r>
      <w:r w:rsidR="00C16D85">
        <w:rPr>
          <w:sz w:val="24"/>
          <w:szCs w:val="24"/>
        </w:rPr>
        <w:fldChar w:fldCharType="separate"/>
      </w:r>
      <w:r w:rsidR="008A1992">
        <w:rPr>
          <w:noProof/>
          <w:sz w:val="24"/>
          <w:szCs w:val="24"/>
        </w:rPr>
        <w:t>5</w:t>
      </w:r>
      <w:r w:rsidR="00C16D85">
        <w:rPr>
          <w:sz w:val="24"/>
          <w:szCs w:val="24"/>
        </w:rPr>
        <w:fldChar w:fldCharType="end"/>
      </w:r>
      <w:bookmarkEnd w:id="163"/>
      <w:r w:rsidRPr="000A6295">
        <w:rPr>
          <w:sz w:val="24"/>
          <w:szCs w:val="24"/>
        </w:rPr>
        <w:t xml:space="preserve"> Effect of prepreg humidity exposure on</w:t>
      </w:r>
      <w:r>
        <w:rPr>
          <w:sz w:val="24"/>
          <w:szCs w:val="24"/>
        </w:rPr>
        <w:t xml:space="preserve"> the</w:t>
      </w:r>
      <w:r w:rsidRPr="000A6295">
        <w:rPr>
          <w:sz w:val="24"/>
          <w:szCs w:val="24"/>
        </w:rPr>
        <w:t xml:space="preserve"> flexural strength for (a) Quartz/</w:t>
      </w:r>
      <w:r w:rsidR="00695BAA">
        <w:rPr>
          <w:sz w:val="24"/>
          <w:szCs w:val="24"/>
        </w:rPr>
        <w:t>Epoxy</w:t>
      </w:r>
      <w:r w:rsidRPr="000A6295">
        <w:rPr>
          <w:sz w:val="24"/>
          <w:szCs w:val="24"/>
        </w:rPr>
        <w:t>, (b) Quartz/</w:t>
      </w:r>
      <w:r w:rsidR="00695BAA">
        <w:rPr>
          <w:sz w:val="24"/>
          <w:szCs w:val="24"/>
        </w:rPr>
        <w:t>BMI</w:t>
      </w:r>
      <w:r w:rsidRPr="000A6295">
        <w:rPr>
          <w:sz w:val="24"/>
          <w:szCs w:val="24"/>
        </w:rPr>
        <w:t>, and (c) Carbon/Epoxy</w:t>
      </w:r>
      <w:bookmarkEnd w:id="164"/>
      <w:r w:rsidR="003A3633">
        <w:rPr>
          <w:sz w:val="24"/>
          <w:szCs w:val="24"/>
        </w:rPr>
        <w:br w:type="page"/>
      </w:r>
    </w:p>
    <w:p w14:paraId="30A6E4B5" w14:textId="2816E543" w:rsidR="00695BAA" w:rsidRPr="00CB34C4" w:rsidRDefault="00695BAA" w:rsidP="00695BAA">
      <w:pPr>
        <w:pStyle w:val="Caption"/>
        <w:keepNext/>
        <w:spacing w:after="120" w:line="240" w:lineRule="auto"/>
        <w:jc w:val="center"/>
        <w:rPr>
          <w:sz w:val="24"/>
          <w:szCs w:val="24"/>
        </w:rPr>
      </w:pPr>
      <w:bookmarkStart w:id="165" w:name="_Ref343848297"/>
      <w:bookmarkStart w:id="166" w:name="_Toc346310854"/>
      <w:proofErr w:type="gramStart"/>
      <w:r w:rsidRPr="00CB34C4">
        <w:rPr>
          <w:sz w:val="24"/>
          <w:szCs w:val="24"/>
        </w:rPr>
        <w:lastRenderedPageBreak/>
        <w:t xml:space="preserve">Table </w:t>
      </w:r>
      <w:r w:rsidR="00707D23">
        <w:rPr>
          <w:sz w:val="24"/>
          <w:szCs w:val="24"/>
        </w:rPr>
        <w:fldChar w:fldCharType="begin"/>
      </w:r>
      <w:r w:rsidR="00707D23">
        <w:rPr>
          <w:sz w:val="24"/>
          <w:szCs w:val="24"/>
        </w:rPr>
        <w:instrText xml:space="preserve"> STYLEREF 1 \s </w:instrText>
      </w:r>
      <w:r w:rsidR="00707D23">
        <w:rPr>
          <w:sz w:val="24"/>
          <w:szCs w:val="24"/>
        </w:rPr>
        <w:fldChar w:fldCharType="separate"/>
      </w:r>
      <w:r w:rsidR="008A1992">
        <w:rPr>
          <w:noProof/>
          <w:sz w:val="24"/>
          <w:szCs w:val="24"/>
        </w:rPr>
        <w:t>3</w:t>
      </w:r>
      <w:r w:rsidR="00707D23">
        <w:rPr>
          <w:sz w:val="24"/>
          <w:szCs w:val="24"/>
        </w:rPr>
        <w:fldChar w:fldCharType="end"/>
      </w:r>
      <w:r w:rsidR="00707D23">
        <w:rPr>
          <w:sz w:val="24"/>
          <w:szCs w:val="24"/>
        </w:rPr>
        <w:t>.</w:t>
      </w:r>
      <w:proofErr w:type="gramEnd"/>
      <w:r w:rsidR="00707D23">
        <w:rPr>
          <w:sz w:val="24"/>
          <w:szCs w:val="24"/>
        </w:rPr>
        <w:fldChar w:fldCharType="begin"/>
      </w:r>
      <w:r w:rsidR="00707D23">
        <w:rPr>
          <w:sz w:val="24"/>
          <w:szCs w:val="24"/>
        </w:rPr>
        <w:instrText xml:space="preserve"> SEQ Table \* ARABIC \s 1 </w:instrText>
      </w:r>
      <w:r w:rsidR="00707D23">
        <w:rPr>
          <w:sz w:val="24"/>
          <w:szCs w:val="24"/>
        </w:rPr>
        <w:fldChar w:fldCharType="separate"/>
      </w:r>
      <w:r w:rsidR="008A1992">
        <w:rPr>
          <w:noProof/>
          <w:sz w:val="24"/>
          <w:szCs w:val="24"/>
        </w:rPr>
        <w:t>3</w:t>
      </w:r>
      <w:r w:rsidR="00707D23">
        <w:rPr>
          <w:sz w:val="24"/>
          <w:szCs w:val="24"/>
        </w:rPr>
        <w:fldChar w:fldCharType="end"/>
      </w:r>
      <w:bookmarkEnd w:id="165"/>
      <w:r w:rsidRPr="00CB34C4">
        <w:rPr>
          <w:sz w:val="24"/>
          <w:szCs w:val="24"/>
        </w:rPr>
        <w:t xml:space="preserve"> Trend</w:t>
      </w:r>
      <w:r>
        <w:rPr>
          <w:sz w:val="24"/>
          <w:szCs w:val="24"/>
        </w:rPr>
        <w:t xml:space="preserve"> </w:t>
      </w:r>
      <w:r w:rsidRPr="005901A5">
        <w:rPr>
          <w:sz w:val="24"/>
          <w:szCs w:val="24"/>
        </w:rPr>
        <w:t xml:space="preserve">line equations for prepreg humidity conditioning effect on </w:t>
      </w:r>
      <w:r>
        <w:rPr>
          <w:sz w:val="24"/>
          <w:szCs w:val="24"/>
        </w:rPr>
        <w:t>flexural strength</w:t>
      </w:r>
      <w:bookmarkEnd w:id="166"/>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3312"/>
        <w:gridCol w:w="1152"/>
      </w:tblGrid>
      <w:tr w:rsidR="00695BAA" w14:paraId="5C694074" w14:textId="77777777" w:rsidTr="005D68FB">
        <w:trPr>
          <w:jc w:val="center"/>
        </w:trPr>
        <w:tc>
          <w:tcPr>
            <w:tcW w:w="2016" w:type="dxa"/>
            <w:tcBorders>
              <w:top w:val="single" w:sz="12" w:space="0" w:color="auto"/>
            </w:tcBorders>
            <w:vAlign w:val="center"/>
          </w:tcPr>
          <w:p w14:paraId="0DA0CDE5" w14:textId="028A9772" w:rsidR="00695BAA" w:rsidRPr="00006052" w:rsidRDefault="00961779" w:rsidP="00961779">
            <w:pPr>
              <w:spacing w:line="240" w:lineRule="auto"/>
              <w:jc w:val="center"/>
              <w:rPr>
                <w:b/>
              </w:rPr>
            </w:pPr>
            <w:r>
              <w:rPr>
                <w:b/>
              </w:rPr>
              <w:t>a</w:t>
            </w:r>
            <w:r w:rsidR="00695BAA" w:rsidRPr="00006052">
              <w:rPr>
                <w:b/>
              </w:rPr>
              <w:t>) Quartz/</w:t>
            </w:r>
            <w:r>
              <w:rPr>
                <w:b/>
              </w:rPr>
              <w:t>Epoxy</w:t>
            </w:r>
          </w:p>
        </w:tc>
        <w:tc>
          <w:tcPr>
            <w:tcW w:w="3312" w:type="dxa"/>
            <w:tcBorders>
              <w:top w:val="single" w:sz="12" w:space="0" w:color="auto"/>
              <w:bottom w:val="single" w:sz="4" w:space="0" w:color="auto"/>
            </w:tcBorders>
            <w:vAlign w:val="center"/>
          </w:tcPr>
          <w:p w14:paraId="6D07915F" w14:textId="77777777" w:rsidR="00695BAA" w:rsidRPr="00006052" w:rsidRDefault="00695BAA" w:rsidP="00695BAA">
            <w:pPr>
              <w:spacing w:line="240" w:lineRule="auto"/>
              <w:jc w:val="center"/>
              <w:rPr>
                <w:b/>
              </w:rPr>
            </w:pPr>
            <w:r w:rsidRPr="00006052">
              <w:rPr>
                <w:b/>
              </w:rPr>
              <w:t>Trend Line Equation</w:t>
            </w:r>
          </w:p>
        </w:tc>
        <w:tc>
          <w:tcPr>
            <w:tcW w:w="1152" w:type="dxa"/>
            <w:tcBorders>
              <w:top w:val="single" w:sz="12" w:space="0" w:color="auto"/>
              <w:bottom w:val="single" w:sz="4" w:space="0" w:color="auto"/>
            </w:tcBorders>
            <w:vAlign w:val="center"/>
          </w:tcPr>
          <w:p w14:paraId="5660D8C7" w14:textId="77777777" w:rsidR="00695BAA" w:rsidRPr="00006052" w:rsidRDefault="00695BAA" w:rsidP="00695BAA">
            <w:pPr>
              <w:spacing w:line="240" w:lineRule="auto"/>
              <w:jc w:val="left"/>
              <w:rPr>
                <w:b/>
              </w:rPr>
            </w:pPr>
            <w:r w:rsidRPr="00006052">
              <w:rPr>
                <w:b/>
              </w:rPr>
              <w:t>R</w:t>
            </w:r>
            <w:r w:rsidRPr="00006052">
              <w:rPr>
                <w:b/>
                <w:vertAlign w:val="superscript"/>
              </w:rPr>
              <w:t>2</w:t>
            </w:r>
            <w:r w:rsidRPr="00006052">
              <w:rPr>
                <w:b/>
              </w:rPr>
              <w:t xml:space="preserve"> Value</w:t>
            </w:r>
          </w:p>
        </w:tc>
      </w:tr>
      <w:tr w:rsidR="00961779" w14:paraId="6E727E15" w14:textId="77777777" w:rsidTr="005D68FB">
        <w:trPr>
          <w:jc w:val="center"/>
        </w:trPr>
        <w:tc>
          <w:tcPr>
            <w:tcW w:w="2016" w:type="dxa"/>
            <w:tcBorders>
              <w:right w:val="single" w:sz="4" w:space="0" w:color="auto"/>
            </w:tcBorders>
            <w:vAlign w:val="center"/>
          </w:tcPr>
          <w:p w14:paraId="4CDA8D23" w14:textId="77777777" w:rsidR="00961779" w:rsidRDefault="00961779" w:rsidP="00695BAA">
            <w:pPr>
              <w:spacing w:line="240" w:lineRule="auto"/>
              <w:jc w:val="center"/>
            </w:pPr>
            <w:r>
              <w:t>69 kPa</w:t>
            </w:r>
          </w:p>
        </w:tc>
        <w:tc>
          <w:tcPr>
            <w:tcW w:w="3312" w:type="dxa"/>
            <w:tcBorders>
              <w:top w:val="single" w:sz="4" w:space="0" w:color="auto"/>
              <w:left w:val="single" w:sz="4" w:space="0" w:color="auto"/>
            </w:tcBorders>
            <w:vAlign w:val="center"/>
          </w:tcPr>
          <w:p w14:paraId="7765603D" w14:textId="2FBCDC34" w:rsidR="00961779" w:rsidRDefault="00961779" w:rsidP="005D68FB">
            <w:pPr>
              <w:spacing w:line="240" w:lineRule="auto"/>
              <w:jc w:val="center"/>
            </w:pPr>
            <w:r>
              <w:t>-0.0049x</w:t>
            </w:r>
            <w:r w:rsidRPr="005D68FB">
              <w:rPr>
                <w:vertAlign w:val="superscript"/>
              </w:rPr>
              <w:t>2</w:t>
            </w:r>
            <w:r>
              <w:t xml:space="preserve"> - 1.1531x + 724.37</w:t>
            </w:r>
          </w:p>
        </w:tc>
        <w:tc>
          <w:tcPr>
            <w:tcW w:w="1152" w:type="dxa"/>
            <w:tcBorders>
              <w:top w:val="single" w:sz="4" w:space="0" w:color="auto"/>
              <w:right w:val="single" w:sz="4" w:space="0" w:color="auto"/>
            </w:tcBorders>
            <w:vAlign w:val="center"/>
          </w:tcPr>
          <w:p w14:paraId="0729ECEA" w14:textId="0EFA5004" w:rsidR="00961779" w:rsidRDefault="00961779" w:rsidP="00695BAA">
            <w:pPr>
              <w:spacing w:line="240" w:lineRule="auto"/>
              <w:jc w:val="left"/>
            </w:pPr>
            <w:r>
              <w:t>0.9999</w:t>
            </w:r>
          </w:p>
        </w:tc>
      </w:tr>
      <w:tr w:rsidR="00961779" w14:paraId="5372FFE8" w14:textId="77777777" w:rsidTr="005D68FB">
        <w:trPr>
          <w:jc w:val="center"/>
        </w:trPr>
        <w:tc>
          <w:tcPr>
            <w:tcW w:w="2016" w:type="dxa"/>
            <w:tcBorders>
              <w:right w:val="single" w:sz="4" w:space="0" w:color="auto"/>
            </w:tcBorders>
            <w:vAlign w:val="center"/>
          </w:tcPr>
          <w:p w14:paraId="395BEADC" w14:textId="77777777" w:rsidR="00961779" w:rsidRDefault="00961779" w:rsidP="00695BAA">
            <w:pPr>
              <w:spacing w:line="240" w:lineRule="auto"/>
              <w:jc w:val="center"/>
            </w:pPr>
            <w:r>
              <w:t>207 kPa</w:t>
            </w:r>
          </w:p>
        </w:tc>
        <w:tc>
          <w:tcPr>
            <w:tcW w:w="3312" w:type="dxa"/>
            <w:tcBorders>
              <w:left w:val="single" w:sz="4" w:space="0" w:color="auto"/>
            </w:tcBorders>
            <w:vAlign w:val="center"/>
          </w:tcPr>
          <w:p w14:paraId="164DBDE2" w14:textId="27BDA9F2" w:rsidR="00961779" w:rsidRDefault="00961779" w:rsidP="00CB2810">
            <w:pPr>
              <w:spacing w:line="240" w:lineRule="auto"/>
              <w:jc w:val="center"/>
            </w:pPr>
            <w:r>
              <w:t>-0.0499x</w:t>
            </w:r>
            <w:r>
              <w:rPr>
                <w:vertAlign w:val="superscript"/>
              </w:rPr>
              <w:t>2</w:t>
            </w:r>
            <w:r>
              <w:t xml:space="preserve"> + 4.0562x + 761.68</w:t>
            </w:r>
          </w:p>
        </w:tc>
        <w:tc>
          <w:tcPr>
            <w:tcW w:w="1152" w:type="dxa"/>
            <w:tcBorders>
              <w:right w:val="single" w:sz="4" w:space="0" w:color="auto"/>
            </w:tcBorders>
            <w:vAlign w:val="center"/>
          </w:tcPr>
          <w:p w14:paraId="3F7A5746" w14:textId="1412996A" w:rsidR="00961779" w:rsidRDefault="00961779" w:rsidP="00695BAA">
            <w:pPr>
              <w:spacing w:line="240" w:lineRule="auto"/>
              <w:jc w:val="left"/>
            </w:pPr>
            <w:r>
              <w:t>0.9148</w:t>
            </w:r>
          </w:p>
        </w:tc>
      </w:tr>
      <w:tr w:rsidR="00961779" w14:paraId="1A21D90F" w14:textId="77777777" w:rsidTr="005D68FB">
        <w:trPr>
          <w:jc w:val="center"/>
        </w:trPr>
        <w:tc>
          <w:tcPr>
            <w:tcW w:w="2016" w:type="dxa"/>
            <w:tcBorders>
              <w:right w:val="single" w:sz="4" w:space="0" w:color="auto"/>
            </w:tcBorders>
            <w:vAlign w:val="center"/>
          </w:tcPr>
          <w:p w14:paraId="7DD03B33" w14:textId="77777777" w:rsidR="00961779" w:rsidRDefault="00961779" w:rsidP="00695BAA">
            <w:pPr>
              <w:spacing w:line="240" w:lineRule="auto"/>
              <w:jc w:val="center"/>
            </w:pPr>
            <w:r>
              <w:t>345 kPa</w:t>
            </w:r>
          </w:p>
        </w:tc>
        <w:tc>
          <w:tcPr>
            <w:tcW w:w="3312" w:type="dxa"/>
            <w:tcBorders>
              <w:left w:val="single" w:sz="4" w:space="0" w:color="auto"/>
            </w:tcBorders>
            <w:vAlign w:val="center"/>
          </w:tcPr>
          <w:p w14:paraId="387BFE27" w14:textId="56C91CA6" w:rsidR="00961779" w:rsidRDefault="00961779" w:rsidP="00CB2810">
            <w:pPr>
              <w:spacing w:line="240" w:lineRule="auto"/>
              <w:jc w:val="center"/>
            </w:pPr>
            <w:r>
              <w:t>-0.0201x</w:t>
            </w:r>
            <w:r>
              <w:rPr>
                <w:vertAlign w:val="superscript"/>
              </w:rPr>
              <w:t>2</w:t>
            </w:r>
            <w:r>
              <w:t xml:space="preserve"> + 1.7347x + 783.48</w:t>
            </w:r>
          </w:p>
        </w:tc>
        <w:tc>
          <w:tcPr>
            <w:tcW w:w="1152" w:type="dxa"/>
            <w:tcBorders>
              <w:right w:val="single" w:sz="4" w:space="0" w:color="auto"/>
            </w:tcBorders>
            <w:vAlign w:val="center"/>
          </w:tcPr>
          <w:p w14:paraId="07D1E3EE" w14:textId="15D5CA02" w:rsidR="00961779" w:rsidRDefault="00961779" w:rsidP="00695BAA">
            <w:pPr>
              <w:spacing w:line="240" w:lineRule="auto"/>
              <w:jc w:val="left"/>
            </w:pPr>
            <w:r>
              <w:t>0.3410</w:t>
            </w:r>
          </w:p>
        </w:tc>
      </w:tr>
      <w:tr w:rsidR="00961779" w14:paraId="152DFBEF" w14:textId="77777777" w:rsidTr="005D68FB">
        <w:trPr>
          <w:jc w:val="center"/>
        </w:trPr>
        <w:tc>
          <w:tcPr>
            <w:tcW w:w="2016" w:type="dxa"/>
            <w:tcBorders>
              <w:right w:val="single" w:sz="4" w:space="0" w:color="auto"/>
            </w:tcBorders>
            <w:vAlign w:val="center"/>
          </w:tcPr>
          <w:p w14:paraId="1F90E5C0" w14:textId="77777777" w:rsidR="00961779" w:rsidRDefault="00961779" w:rsidP="00695BAA">
            <w:pPr>
              <w:spacing w:line="240" w:lineRule="auto"/>
              <w:jc w:val="center"/>
            </w:pPr>
            <w:r>
              <w:t>483 kPa</w:t>
            </w:r>
          </w:p>
        </w:tc>
        <w:tc>
          <w:tcPr>
            <w:tcW w:w="3312" w:type="dxa"/>
            <w:tcBorders>
              <w:left w:val="single" w:sz="4" w:space="0" w:color="auto"/>
              <w:bottom w:val="single" w:sz="4" w:space="0" w:color="auto"/>
            </w:tcBorders>
            <w:vAlign w:val="center"/>
          </w:tcPr>
          <w:p w14:paraId="14CAAD4D" w14:textId="109F95FA" w:rsidR="00961779" w:rsidRDefault="00961779" w:rsidP="00CB2810">
            <w:pPr>
              <w:spacing w:line="240" w:lineRule="auto"/>
              <w:jc w:val="center"/>
            </w:pPr>
            <w:r>
              <w:t>-0.</w:t>
            </w:r>
            <w:r w:rsidRPr="005D68FB">
              <w:t>0624x</w:t>
            </w:r>
            <w:r>
              <w:rPr>
                <w:vertAlign w:val="superscript"/>
              </w:rPr>
              <w:t>2</w:t>
            </w:r>
            <w:r>
              <w:t xml:space="preserve"> + 5.6440x + 814.28</w:t>
            </w:r>
          </w:p>
        </w:tc>
        <w:tc>
          <w:tcPr>
            <w:tcW w:w="1152" w:type="dxa"/>
            <w:tcBorders>
              <w:bottom w:val="single" w:sz="4" w:space="0" w:color="auto"/>
              <w:right w:val="single" w:sz="4" w:space="0" w:color="auto"/>
            </w:tcBorders>
            <w:vAlign w:val="center"/>
          </w:tcPr>
          <w:p w14:paraId="3E671F71" w14:textId="7761B9B6" w:rsidR="00961779" w:rsidRDefault="00961779" w:rsidP="00695BAA">
            <w:pPr>
              <w:spacing w:line="240" w:lineRule="auto"/>
              <w:jc w:val="left"/>
            </w:pPr>
            <w:r>
              <w:t>0.9119</w:t>
            </w:r>
          </w:p>
        </w:tc>
      </w:tr>
      <w:tr w:rsidR="00695BAA" w14:paraId="3C618E3E" w14:textId="77777777" w:rsidTr="005D68FB">
        <w:trPr>
          <w:trHeight w:val="144"/>
          <w:jc w:val="center"/>
        </w:trPr>
        <w:tc>
          <w:tcPr>
            <w:tcW w:w="2016" w:type="dxa"/>
            <w:vAlign w:val="center"/>
          </w:tcPr>
          <w:p w14:paraId="2026B70C" w14:textId="77777777" w:rsidR="00695BAA" w:rsidRPr="00722E7F" w:rsidRDefault="00695BAA" w:rsidP="00695BAA">
            <w:pPr>
              <w:spacing w:line="240" w:lineRule="auto"/>
              <w:jc w:val="center"/>
              <w:rPr>
                <w:sz w:val="16"/>
              </w:rPr>
            </w:pPr>
          </w:p>
        </w:tc>
        <w:tc>
          <w:tcPr>
            <w:tcW w:w="3312" w:type="dxa"/>
            <w:tcBorders>
              <w:top w:val="single" w:sz="4" w:space="0" w:color="auto"/>
            </w:tcBorders>
            <w:vAlign w:val="center"/>
          </w:tcPr>
          <w:p w14:paraId="08491C2F" w14:textId="77777777" w:rsidR="00695BAA" w:rsidRPr="00722E7F" w:rsidRDefault="00695BAA" w:rsidP="00695BAA">
            <w:pPr>
              <w:spacing w:line="240" w:lineRule="auto"/>
              <w:jc w:val="center"/>
              <w:rPr>
                <w:sz w:val="16"/>
              </w:rPr>
            </w:pPr>
          </w:p>
        </w:tc>
        <w:tc>
          <w:tcPr>
            <w:tcW w:w="1152" w:type="dxa"/>
            <w:tcBorders>
              <w:top w:val="single" w:sz="4" w:space="0" w:color="auto"/>
            </w:tcBorders>
            <w:vAlign w:val="center"/>
          </w:tcPr>
          <w:p w14:paraId="77CADBDC" w14:textId="77777777" w:rsidR="00695BAA" w:rsidRPr="00722E7F" w:rsidRDefault="00695BAA" w:rsidP="00695BAA">
            <w:pPr>
              <w:spacing w:line="240" w:lineRule="auto"/>
              <w:jc w:val="left"/>
              <w:rPr>
                <w:sz w:val="16"/>
              </w:rPr>
            </w:pPr>
          </w:p>
        </w:tc>
      </w:tr>
      <w:tr w:rsidR="00695BAA" w14:paraId="199A0C49" w14:textId="77777777" w:rsidTr="005D68FB">
        <w:trPr>
          <w:jc w:val="center"/>
        </w:trPr>
        <w:tc>
          <w:tcPr>
            <w:tcW w:w="2016" w:type="dxa"/>
            <w:vAlign w:val="center"/>
          </w:tcPr>
          <w:p w14:paraId="059ABC2A" w14:textId="26D6F52B" w:rsidR="00695BAA" w:rsidRPr="00722E7F" w:rsidRDefault="00961779" w:rsidP="00961779">
            <w:pPr>
              <w:spacing w:line="240" w:lineRule="auto"/>
              <w:jc w:val="center"/>
              <w:rPr>
                <w:b/>
              </w:rPr>
            </w:pPr>
            <w:r>
              <w:rPr>
                <w:b/>
              </w:rPr>
              <w:t>b</w:t>
            </w:r>
            <w:r w:rsidR="00695BAA" w:rsidRPr="00722E7F">
              <w:rPr>
                <w:b/>
              </w:rPr>
              <w:t>) Quartz/</w:t>
            </w:r>
            <w:r>
              <w:rPr>
                <w:b/>
              </w:rPr>
              <w:t>BMI</w:t>
            </w:r>
          </w:p>
        </w:tc>
        <w:tc>
          <w:tcPr>
            <w:tcW w:w="3312" w:type="dxa"/>
            <w:tcBorders>
              <w:bottom w:val="single" w:sz="4" w:space="0" w:color="auto"/>
            </w:tcBorders>
            <w:vAlign w:val="center"/>
          </w:tcPr>
          <w:p w14:paraId="1C31505B" w14:textId="77777777" w:rsidR="00695BAA" w:rsidRDefault="00695BAA" w:rsidP="00695BAA">
            <w:pPr>
              <w:spacing w:line="240" w:lineRule="auto"/>
              <w:jc w:val="center"/>
            </w:pPr>
          </w:p>
        </w:tc>
        <w:tc>
          <w:tcPr>
            <w:tcW w:w="1152" w:type="dxa"/>
            <w:tcBorders>
              <w:bottom w:val="single" w:sz="4" w:space="0" w:color="auto"/>
            </w:tcBorders>
            <w:vAlign w:val="center"/>
          </w:tcPr>
          <w:p w14:paraId="2AE47645" w14:textId="77777777" w:rsidR="00695BAA" w:rsidRDefault="00695BAA" w:rsidP="00695BAA">
            <w:pPr>
              <w:spacing w:line="240" w:lineRule="auto"/>
              <w:jc w:val="left"/>
            </w:pPr>
          </w:p>
        </w:tc>
      </w:tr>
      <w:tr w:rsidR="00961779" w14:paraId="2C1C6031" w14:textId="77777777" w:rsidTr="005D68FB">
        <w:trPr>
          <w:jc w:val="center"/>
        </w:trPr>
        <w:tc>
          <w:tcPr>
            <w:tcW w:w="2016" w:type="dxa"/>
            <w:tcBorders>
              <w:right w:val="single" w:sz="4" w:space="0" w:color="auto"/>
            </w:tcBorders>
            <w:vAlign w:val="center"/>
          </w:tcPr>
          <w:p w14:paraId="45D6107B" w14:textId="77777777" w:rsidR="00961779" w:rsidRDefault="00961779" w:rsidP="00695BAA">
            <w:pPr>
              <w:spacing w:line="240" w:lineRule="auto"/>
              <w:jc w:val="center"/>
            </w:pPr>
            <w:r>
              <w:t>69 kPa</w:t>
            </w:r>
          </w:p>
        </w:tc>
        <w:tc>
          <w:tcPr>
            <w:tcW w:w="3312" w:type="dxa"/>
            <w:tcBorders>
              <w:top w:val="single" w:sz="4" w:space="0" w:color="auto"/>
              <w:left w:val="single" w:sz="4" w:space="0" w:color="auto"/>
            </w:tcBorders>
            <w:vAlign w:val="center"/>
          </w:tcPr>
          <w:p w14:paraId="40430EDB" w14:textId="0926E5B7" w:rsidR="00961779" w:rsidRDefault="00961779" w:rsidP="00695BAA">
            <w:pPr>
              <w:spacing w:line="240" w:lineRule="auto"/>
              <w:jc w:val="center"/>
            </w:pPr>
            <w:r>
              <w:t>0.0089x</w:t>
            </w:r>
            <w:r>
              <w:rPr>
                <w:vertAlign w:val="superscript"/>
              </w:rPr>
              <w:t>2</w:t>
            </w:r>
            <w:r>
              <w:t xml:space="preserve"> - 1.3163x + 488.46</w:t>
            </w:r>
          </w:p>
        </w:tc>
        <w:tc>
          <w:tcPr>
            <w:tcW w:w="1152" w:type="dxa"/>
            <w:tcBorders>
              <w:top w:val="single" w:sz="4" w:space="0" w:color="auto"/>
              <w:right w:val="single" w:sz="4" w:space="0" w:color="auto"/>
            </w:tcBorders>
            <w:vAlign w:val="center"/>
          </w:tcPr>
          <w:p w14:paraId="679DCF08" w14:textId="31F91626" w:rsidR="00961779" w:rsidRDefault="00961779" w:rsidP="00695BAA">
            <w:pPr>
              <w:spacing w:line="240" w:lineRule="auto"/>
              <w:jc w:val="left"/>
            </w:pPr>
            <w:r>
              <w:t>0.7451</w:t>
            </w:r>
          </w:p>
        </w:tc>
      </w:tr>
      <w:tr w:rsidR="00961779" w14:paraId="76767967" w14:textId="77777777" w:rsidTr="005D68FB">
        <w:trPr>
          <w:jc w:val="center"/>
        </w:trPr>
        <w:tc>
          <w:tcPr>
            <w:tcW w:w="2016" w:type="dxa"/>
            <w:tcBorders>
              <w:right w:val="single" w:sz="4" w:space="0" w:color="auto"/>
            </w:tcBorders>
            <w:vAlign w:val="center"/>
          </w:tcPr>
          <w:p w14:paraId="57A2FC0F" w14:textId="77777777" w:rsidR="00961779" w:rsidRDefault="00961779" w:rsidP="00695BAA">
            <w:pPr>
              <w:spacing w:line="240" w:lineRule="auto"/>
              <w:jc w:val="center"/>
            </w:pPr>
            <w:r>
              <w:t>207 kPa</w:t>
            </w:r>
          </w:p>
        </w:tc>
        <w:tc>
          <w:tcPr>
            <w:tcW w:w="3312" w:type="dxa"/>
            <w:tcBorders>
              <w:left w:val="single" w:sz="4" w:space="0" w:color="auto"/>
            </w:tcBorders>
            <w:vAlign w:val="center"/>
          </w:tcPr>
          <w:p w14:paraId="22ACB77F" w14:textId="3957DE86" w:rsidR="00961779" w:rsidRDefault="00961779" w:rsidP="005D68FB">
            <w:pPr>
              <w:spacing w:line="240" w:lineRule="auto"/>
              <w:jc w:val="center"/>
            </w:pPr>
            <w:r>
              <w:t>0.0195x</w:t>
            </w:r>
            <w:r>
              <w:rPr>
                <w:vertAlign w:val="superscript"/>
              </w:rPr>
              <w:t>2</w:t>
            </w:r>
            <w:r>
              <w:t xml:space="preserve"> - 2.8268x + 605.82</w:t>
            </w:r>
          </w:p>
        </w:tc>
        <w:tc>
          <w:tcPr>
            <w:tcW w:w="1152" w:type="dxa"/>
            <w:tcBorders>
              <w:right w:val="single" w:sz="4" w:space="0" w:color="auto"/>
            </w:tcBorders>
            <w:vAlign w:val="center"/>
          </w:tcPr>
          <w:p w14:paraId="57085A21" w14:textId="61039BD7" w:rsidR="00961779" w:rsidRDefault="00961779" w:rsidP="00695BAA">
            <w:pPr>
              <w:spacing w:line="240" w:lineRule="auto"/>
              <w:jc w:val="left"/>
            </w:pPr>
            <w:r>
              <w:t>0.9318</w:t>
            </w:r>
          </w:p>
        </w:tc>
      </w:tr>
      <w:tr w:rsidR="00961779" w14:paraId="6F661C0B" w14:textId="77777777" w:rsidTr="005D68FB">
        <w:trPr>
          <w:jc w:val="center"/>
        </w:trPr>
        <w:tc>
          <w:tcPr>
            <w:tcW w:w="2016" w:type="dxa"/>
            <w:tcBorders>
              <w:right w:val="single" w:sz="4" w:space="0" w:color="auto"/>
            </w:tcBorders>
            <w:vAlign w:val="center"/>
          </w:tcPr>
          <w:p w14:paraId="3A1C6752" w14:textId="77777777" w:rsidR="00961779" w:rsidRDefault="00961779" w:rsidP="00695BAA">
            <w:pPr>
              <w:spacing w:line="240" w:lineRule="auto"/>
              <w:jc w:val="center"/>
            </w:pPr>
            <w:r>
              <w:t>345 kPa</w:t>
            </w:r>
          </w:p>
        </w:tc>
        <w:tc>
          <w:tcPr>
            <w:tcW w:w="3312" w:type="dxa"/>
            <w:tcBorders>
              <w:left w:val="single" w:sz="4" w:space="0" w:color="auto"/>
            </w:tcBorders>
            <w:vAlign w:val="center"/>
          </w:tcPr>
          <w:p w14:paraId="6EB474DA" w14:textId="26A1A6D8" w:rsidR="00961779" w:rsidRDefault="00961779" w:rsidP="005D68FB">
            <w:pPr>
              <w:spacing w:line="240" w:lineRule="auto"/>
              <w:jc w:val="center"/>
            </w:pPr>
            <w:r>
              <w:t>0.0172x</w:t>
            </w:r>
            <w:r>
              <w:rPr>
                <w:vertAlign w:val="superscript"/>
              </w:rPr>
              <w:t>2</w:t>
            </w:r>
            <w:r>
              <w:t xml:space="preserve"> - 2.0571x + 574.62</w:t>
            </w:r>
          </w:p>
        </w:tc>
        <w:tc>
          <w:tcPr>
            <w:tcW w:w="1152" w:type="dxa"/>
            <w:tcBorders>
              <w:right w:val="single" w:sz="4" w:space="0" w:color="auto"/>
            </w:tcBorders>
            <w:vAlign w:val="center"/>
          </w:tcPr>
          <w:p w14:paraId="1BF3B4A7" w14:textId="35D3E771" w:rsidR="00961779" w:rsidRDefault="00961779" w:rsidP="00695BAA">
            <w:pPr>
              <w:spacing w:line="240" w:lineRule="auto"/>
              <w:jc w:val="left"/>
            </w:pPr>
            <w:r>
              <w:t>0.9490</w:t>
            </w:r>
          </w:p>
        </w:tc>
      </w:tr>
      <w:tr w:rsidR="00961779" w14:paraId="1AE9135B" w14:textId="77777777" w:rsidTr="005D68FB">
        <w:trPr>
          <w:jc w:val="center"/>
        </w:trPr>
        <w:tc>
          <w:tcPr>
            <w:tcW w:w="2016" w:type="dxa"/>
            <w:tcBorders>
              <w:right w:val="single" w:sz="4" w:space="0" w:color="auto"/>
            </w:tcBorders>
            <w:vAlign w:val="center"/>
          </w:tcPr>
          <w:p w14:paraId="3B4EC6BC" w14:textId="77777777" w:rsidR="00961779" w:rsidRDefault="00961779" w:rsidP="00695BAA">
            <w:pPr>
              <w:spacing w:line="240" w:lineRule="auto"/>
              <w:jc w:val="center"/>
            </w:pPr>
            <w:r>
              <w:t>483 kPa</w:t>
            </w:r>
          </w:p>
        </w:tc>
        <w:tc>
          <w:tcPr>
            <w:tcW w:w="3312" w:type="dxa"/>
            <w:tcBorders>
              <w:left w:val="single" w:sz="4" w:space="0" w:color="auto"/>
              <w:bottom w:val="single" w:sz="4" w:space="0" w:color="auto"/>
            </w:tcBorders>
            <w:vAlign w:val="center"/>
          </w:tcPr>
          <w:p w14:paraId="582AF422" w14:textId="6F933860" w:rsidR="00961779" w:rsidRDefault="00961779" w:rsidP="005D68FB">
            <w:pPr>
              <w:spacing w:line="240" w:lineRule="auto"/>
              <w:jc w:val="center"/>
            </w:pPr>
            <w:r>
              <w:t>0.0181x</w:t>
            </w:r>
            <w:r>
              <w:rPr>
                <w:vertAlign w:val="superscript"/>
              </w:rPr>
              <w:t>2</w:t>
            </w:r>
            <w:r>
              <w:t xml:space="preserve"> - 2.3985x + 608.65 </w:t>
            </w:r>
          </w:p>
        </w:tc>
        <w:tc>
          <w:tcPr>
            <w:tcW w:w="1152" w:type="dxa"/>
            <w:tcBorders>
              <w:bottom w:val="single" w:sz="4" w:space="0" w:color="auto"/>
              <w:right w:val="single" w:sz="4" w:space="0" w:color="auto"/>
            </w:tcBorders>
            <w:vAlign w:val="center"/>
          </w:tcPr>
          <w:p w14:paraId="02E4B464" w14:textId="1633D092" w:rsidR="00961779" w:rsidRDefault="00961779" w:rsidP="00695BAA">
            <w:pPr>
              <w:spacing w:line="240" w:lineRule="auto"/>
              <w:jc w:val="left"/>
            </w:pPr>
            <w:r>
              <w:t>0.9877</w:t>
            </w:r>
          </w:p>
        </w:tc>
      </w:tr>
      <w:tr w:rsidR="00695BAA" w14:paraId="27070BD7" w14:textId="77777777" w:rsidTr="005D68FB">
        <w:trPr>
          <w:jc w:val="center"/>
        </w:trPr>
        <w:tc>
          <w:tcPr>
            <w:tcW w:w="2016" w:type="dxa"/>
            <w:vAlign w:val="center"/>
          </w:tcPr>
          <w:p w14:paraId="7A985848" w14:textId="77777777" w:rsidR="00695BAA" w:rsidRPr="00722E7F" w:rsidRDefault="00695BAA" w:rsidP="00695BAA">
            <w:pPr>
              <w:spacing w:line="240" w:lineRule="auto"/>
              <w:jc w:val="center"/>
              <w:rPr>
                <w:sz w:val="16"/>
              </w:rPr>
            </w:pPr>
          </w:p>
        </w:tc>
        <w:tc>
          <w:tcPr>
            <w:tcW w:w="3312" w:type="dxa"/>
            <w:tcBorders>
              <w:top w:val="single" w:sz="4" w:space="0" w:color="auto"/>
            </w:tcBorders>
            <w:vAlign w:val="center"/>
          </w:tcPr>
          <w:p w14:paraId="417FCB46" w14:textId="77777777" w:rsidR="00695BAA" w:rsidRPr="00722E7F" w:rsidRDefault="00695BAA" w:rsidP="00695BAA">
            <w:pPr>
              <w:spacing w:line="240" w:lineRule="auto"/>
              <w:jc w:val="center"/>
              <w:rPr>
                <w:sz w:val="16"/>
              </w:rPr>
            </w:pPr>
          </w:p>
        </w:tc>
        <w:tc>
          <w:tcPr>
            <w:tcW w:w="1152" w:type="dxa"/>
            <w:tcBorders>
              <w:top w:val="single" w:sz="4" w:space="0" w:color="auto"/>
            </w:tcBorders>
            <w:vAlign w:val="center"/>
          </w:tcPr>
          <w:p w14:paraId="5EA625DA" w14:textId="77777777" w:rsidR="00695BAA" w:rsidRPr="00722E7F" w:rsidRDefault="00695BAA" w:rsidP="00695BAA">
            <w:pPr>
              <w:spacing w:line="240" w:lineRule="auto"/>
              <w:jc w:val="left"/>
              <w:rPr>
                <w:sz w:val="16"/>
              </w:rPr>
            </w:pPr>
          </w:p>
        </w:tc>
      </w:tr>
      <w:tr w:rsidR="00695BAA" w14:paraId="70759B6C" w14:textId="77777777" w:rsidTr="005D68FB">
        <w:trPr>
          <w:jc w:val="center"/>
        </w:trPr>
        <w:tc>
          <w:tcPr>
            <w:tcW w:w="2016" w:type="dxa"/>
            <w:vAlign w:val="center"/>
          </w:tcPr>
          <w:p w14:paraId="545E034E" w14:textId="77777777" w:rsidR="00695BAA" w:rsidRDefault="00695BAA" w:rsidP="00695BAA">
            <w:pPr>
              <w:spacing w:line="240" w:lineRule="auto"/>
              <w:jc w:val="center"/>
            </w:pPr>
            <w:r>
              <w:rPr>
                <w:b/>
              </w:rPr>
              <w:t>c</w:t>
            </w:r>
            <w:r w:rsidRPr="00722E7F">
              <w:rPr>
                <w:b/>
              </w:rPr>
              <w:t xml:space="preserve">) </w:t>
            </w:r>
            <w:r>
              <w:rPr>
                <w:b/>
              </w:rPr>
              <w:t>Carbon</w:t>
            </w:r>
            <w:r w:rsidRPr="00722E7F">
              <w:rPr>
                <w:b/>
              </w:rPr>
              <w:t>/Epoxy</w:t>
            </w:r>
          </w:p>
        </w:tc>
        <w:tc>
          <w:tcPr>
            <w:tcW w:w="3312" w:type="dxa"/>
            <w:tcBorders>
              <w:bottom w:val="single" w:sz="4" w:space="0" w:color="auto"/>
            </w:tcBorders>
            <w:vAlign w:val="center"/>
          </w:tcPr>
          <w:p w14:paraId="35B1BD20" w14:textId="77777777" w:rsidR="00695BAA" w:rsidRDefault="00695BAA" w:rsidP="00695BAA">
            <w:pPr>
              <w:spacing w:line="240" w:lineRule="auto"/>
              <w:jc w:val="center"/>
            </w:pPr>
          </w:p>
        </w:tc>
        <w:tc>
          <w:tcPr>
            <w:tcW w:w="1152" w:type="dxa"/>
            <w:tcBorders>
              <w:bottom w:val="single" w:sz="4" w:space="0" w:color="auto"/>
            </w:tcBorders>
            <w:vAlign w:val="center"/>
          </w:tcPr>
          <w:p w14:paraId="7EB13CC7" w14:textId="77777777" w:rsidR="00695BAA" w:rsidRDefault="00695BAA" w:rsidP="00695BAA">
            <w:pPr>
              <w:spacing w:line="240" w:lineRule="auto"/>
              <w:jc w:val="left"/>
            </w:pPr>
          </w:p>
        </w:tc>
      </w:tr>
      <w:tr w:rsidR="00695BAA" w14:paraId="1F9F396C" w14:textId="77777777" w:rsidTr="005D68FB">
        <w:trPr>
          <w:jc w:val="center"/>
        </w:trPr>
        <w:tc>
          <w:tcPr>
            <w:tcW w:w="2016" w:type="dxa"/>
            <w:tcBorders>
              <w:right w:val="single" w:sz="4" w:space="0" w:color="auto"/>
            </w:tcBorders>
            <w:vAlign w:val="center"/>
          </w:tcPr>
          <w:p w14:paraId="6AD86542" w14:textId="77777777" w:rsidR="00695BAA" w:rsidRDefault="00695BAA" w:rsidP="00695BAA">
            <w:pPr>
              <w:spacing w:line="240" w:lineRule="auto"/>
              <w:jc w:val="center"/>
            </w:pPr>
            <w:r>
              <w:t>69 kPa</w:t>
            </w:r>
          </w:p>
        </w:tc>
        <w:tc>
          <w:tcPr>
            <w:tcW w:w="3312" w:type="dxa"/>
            <w:tcBorders>
              <w:top w:val="single" w:sz="4" w:space="0" w:color="auto"/>
              <w:left w:val="single" w:sz="4" w:space="0" w:color="auto"/>
            </w:tcBorders>
            <w:vAlign w:val="center"/>
          </w:tcPr>
          <w:p w14:paraId="0AB18BE4" w14:textId="6CDB47B8" w:rsidR="00695BAA" w:rsidRDefault="00CB2810" w:rsidP="00CB2810">
            <w:pPr>
              <w:spacing w:line="240" w:lineRule="auto"/>
              <w:jc w:val="center"/>
            </w:pPr>
            <w:r>
              <w:t>0.0143x</w:t>
            </w:r>
            <w:r>
              <w:rPr>
                <w:vertAlign w:val="superscript"/>
              </w:rPr>
              <w:t>2</w:t>
            </w:r>
            <w:r>
              <w:t xml:space="preserve"> </w:t>
            </w:r>
            <w:r w:rsidR="00695BAA">
              <w:t>-</w:t>
            </w:r>
            <w:r>
              <w:t xml:space="preserve"> 1</w:t>
            </w:r>
            <w:r w:rsidR="00695BAA">
              <w:t>.</w:t>
            </w:r>
            <w:r>
              <w:t>5178</w:t>
            </w:r>
            <w:r w:rsidR="00695BAA">
              <w:t xml:space="preserve">x + </w:t>
            </w:r>
            <w:r>
              <w:t>696</w:t>
            </w:r>
            <w:r w:rsidR="00695BAA">
              <w:t>.</w:t>
            </w:r>
            <w:r>
              <w:t>94</w:t>
            </w:r>
          </w:p>
        </w:tc>
        <w:tc>
          <w:tcPr>
            <w:tcW w:w="1152" w:type="dxa"/>
            <w:tcBorders>
              <w:top w:val="single" w:sz="4" w:space="0" w:color="auto"/>
              <w:right w:val="single" w:sz="4" w:space="0" w:color="auto"/>
            </w:tcBorders>
            <w:vAlign w:val="center"/>
          </w:tcPr>
          <w:p w14:paraId="5850677E" w14:textId="4ECA1701" w:rsidR="00695BAA" w:rsidRDefault="00CB2810" w:rsidP="00695BAA">
            <w:pPr>
              <w:spacing w:line="240" w:lineRule="auto"/>
              <w:jc w:val="left"/>
            </w:pPr>
            <w:r>
              <w:t>0.8964</w:t>
            </w:r>
          </w:p>
        </w:tc>
      </w:tr>
      <w:tr w:rsidR="00695BAA" w14:paraId="539F297E" w14:textId="77777777" w:rsidTr="005D68FB">
        <w:trPr>
          <w:jc w:val="center"/>
        </w:trPr>
        <w:tc>
          <w:tcPr>
            <w:tcW w:w="2016" w:type="dxa"/>
            <w:tcBorders>
              <w:right w:val="single" w:sz="4" w:space="0" w:color="auto"/>
            </w:tcBorders>
            <w:vAlign w:val="center"/>
          </w:tcPr>
          <w:p w14:paraId="3A6AA63F" w14:textId="77777777" w:rsidR="00695BAA" w:rsidRDefault="00695BAA" w:rsidP="00695BAA">
            <w:pPr>
              <w:spacing w:line="240" w:lineRule="auto"/>
              <w:jc w:val="center"/>
            </w:pPr>
            <w:r>
              <w:t>207 kPa</w:t>
            </w:r>
          </w:p>
        </w:tc>
        <w:tc>
          <w:tcPr>
            <w:tcW w:w="3312" w:type="dxa"/>
            <w:tcBorders>
              <w:left w:val="single" w:sz="4" w:space="0" w:color="auto"/>
            </w:tcBorders>
            <w:vAlign w:val="center"/>
          </w:tcPr>
          <w:p w14:paraId="287899B4" w14:textId="01919456" w:rsidR="00695BAA" w:rsidRDefault="00CB2810" w:rsidP="00CB2810">
            <w:pPr>
              <w:spacing w:line="240" w:lineRule="auto"/>
              <w:jc w:val="center"/>
            </w:pPr>
            <w:r>
              <w:t>-0.0047x</w:t>
            </w:r>
            <w:r>
              <w:rPr>
                <w:vertAlign w:val="superscript"/>
              </w:rPr>
              <w:t>2</w:t>
            </w:r>
            <w:r>
              <w:t xml:space="preserve"> - </w:t>
            </w:r>
            <w:r w:rsidR="00695BAA">
              <w:t>0.</w:t>
            </w:r>
            <w:r>
              <w:t xml:space="preserve">2647x + </w:t>
            </w:r>
            <w:r w:rsidR="00695BAA">
              <w:t>7</w:t>
            </w:r>
            <w:r>
              <w:t>87</w:t>
            </w:r>
            <w:r w:rsidR="00695BAA">
              <w:t>.</w:t>
            </w:r>
            <w:r>
              <w:t>93</w:t>
            </w:r>
          </w:p>
        </w:tc>
        <w:tc>
          <w:tcPr>
            <w:tcW w:w="1152" w:type="dxa"/>
            <w:tcBorders>
              <w:right w:val="single" w:sz="4" w:space="0" w:color="auto"/>
            </w:tcBorders>
            <w:vAlign w:val="center"/>
          </w:tcPr>
          <w:p w14:paraId="35AD4790" w14:textId="5E15DB60" w:rsidR="00695BAA" w:rsidRDefault="00CB2810" w:rsidP="00695BAA">
            <w:pPr>
              <w:spacing w:line="240" w:lineRule="auto"/>
              <w:jc w:val="left"/>
            </w:pPr>
            <w:r>
              <w:t>0.9013</w:t>
            </w:r>
          </w:p>
        </w:tc>
      </w:tr>
      <w:tr w:rsidR="00695BAA" w14:paraId="6C60D46A" w14:textId="77777777" w:rsidTr="00961779">
        <w:trPr>
          <w:jc w:val="center"/>
        </w:trPr>
        <w:tc>
          <w:tcPr>
            <w:tcW w:w="2016" w:type="dxa"/>
            <w:tcBorders>
              <w:right w:val="single" w:sz="4" w:space="0" w:color="auto"/>
            </w:tcBorders>
            <w:vAlign w:val="center"/>
          </w:tcPr>
          <w:p w14:paraId="1C0799DF" w14:textId="77777777" w:rsidR="00695BAA" w:rsidRDefault="00695BAA" w:rsidP="00695BAA">
            <w:pPr>
              <w:spacing w:line="240" w:lineRule="auto"/>
              <w:jc w:val="center"/>
            </w:pPr>
            <w:r>
              <w:t>345 kPa</w:t>
            </w:r>
          </w:p>
        </w:tc>
        <w:tc>
          <w:tcPr>
            <w:tcW w:w="3312" w:type="dxa"/>
            <w:tcBorders>
              <w:left w:val="single" w:sz="4" w:space="0" w:color="auto"/>
            </w:tcBorders>
            <w:vAlign w:val="center"/>
          </w:tcPr>
          <w:p w14:paraId="6AA6C458" w14:textId="112AB480" w:rsidR="00695BAA" w:rsidRDefault="00CB2810" w:rsidP="00CB2810">
            <w:pPr>
              <w:spacing w:line="240" w:lineRule="auto"/>
              <w:jc w:val="center"/>
            </w:pPr>
            <w:r>
              <w:t>0.0031x</w:t>
            </w:r>
            <w:r>
              <w:rPr>
                <w:vertAlign w:val="superscript"/>
              </w:rPr>
              <w:t>2</w:t>
            </w:r>
            <w:r>
              <w:t xml:space="preserve"> + </w:t>
            </w:r>
            <w:r w:rsidR="00695BAA">
              <w:t>0.</w:t>
            </w:r>
            <w:r>
              <w:t>1091</w:t>
            </w:r>
            <w:r w:rsidR="00695BAA">
              <w:t xml:space="preserve">x + </w:t>
            </w:r>
            <w:r>
              <w:t>713.90</w:t>
            </w:r>
          </w:p>
        </w:tc>
        <w:tc>
          <w:tcPr>
            <w:tcW w:w="1152" w:type="dxa"/>
            <w:tcBorders>
              <w:right w:val="single" w:sz="4" w:space="0" w:color="auto"/>
            </w:tcBorders>
            <w:vAlign w:val="center"/>
          </w:tcPr>
          <w:p w14:paraId="1AC756FC" w14:textId="7D67A733" w:rsidR="00695BAA" w:rsidRDefault="00CB2810" w:rsidP="00695BAA">
            <w:pPr>
              <w:spacing w:line="240" w:lineRule="auto"/>
              <w:jc w:val="left"/>
            </w:pPr>
            <w:r>
              <w:t>0.2584</w:t>
            </w:r>
          </w:p>
        </w:tc>
      </w:tr>
      <w:tr w:rsidR="00695BAA" w14:paraId="7F646C18" w14:textId="77777777" w:rsidTr="00961779">
        <w:trPr>
          <w:jc w:val="center"/>
        </w:trPr>
        <w:tc>
          <w:tcPr>
            <w:tcW w:w="2016" w:type="dxa"/>
            <w:tcBorders>
              <w:right w:val="single" w:sz="4" w:space="0" w:color="auto"/>
            </w:tcBorders>
            <w:vAlign w:val="center"/>
          </w:tcPr>
          <w:p w14:paraId="59C1E2AA" w14:textId="77777777" w:rsidR="00695BAA" w:rsidRDefault="00695BAA" w:rsidP="00695BAA">
            <w:pPr>
              <w:spacing w:line="240" w:lineRule="auto"/>
              <w:jc w:val="center"/>
            </w:pPr>
            <w:r>
              <w:t>483 kPa</w:t>
            </w:r>
          </w:p>
        </w:tc>
        <w:tc>
          <w:tcPr>
            <w:tcW w:w="3312" w:type="dxa"/>
            <w:tcBorders>
              <w:left w:val="single" w:sz="4" w:space="0" w:color="auto"/>
              <w:bottom w:val="single" w:sz="4" w:space="0" w:color="auto"/>
            </w:tcBorders>
            <w:vAlign w:val="center"/>
          </w:tcPr>
          <w:p w14:paraId="7E216CD8" w14:textId="38EF813B" w:rsidR="00695BAA" w:rsidRDefault="00861415" w:rsidP="00861415">
            <w:pPr>
              <w:spacing w:line="240" w:lineRule="auto"/>
              <w:jc w:val="center"/>
            </w:pPr>
            <w:r>
              <w:t>0.0605x</w:t>
            </w:r>
            <w:r>
              <w:rPr>
                <w:vertAlign w:val="superscript"/>
              </w:rPr>
              <w:t>2</w:t>
            </w:r>
            <w:r>
              <w:t xml:space="preserve"> - 6</w:t>
            </w:r>
            <w:r w:rsidR="00695BAA">
              <w:t>.</w:t>
            </w:r>
            <w:r>
              <w:t>1662</w:t>
            </w:r>
            <w:r w:rsidR="00695BAA">
              <w:t xml:space="preserve">x + </w:t>
            </w:r>
            <w:r>
              <w:t>837</w:t>
            </w:r>
            <w:r w:rsidR="00695BAA">
              <w:t>.</w:t>
            </w:r>
            <w:r>
              <w:t>74</w:t>
            </w:r>
          </w:p>
        </w:tc>
        <w:tc>
          <w:tcPr>
            <w:tcW w:w="1152" w:type="dxa"/>
            <w:tcBorders>
              <w:bottom w:val="single" w:sz="4" w:space="0" w:color="auto"/>
              <w:right w:val="single" w:sz="4" w:space="0" w:color="auto"/>
            </w:tcBorders>
            <w:vAlign w:val="center"/>
          </w:tcPr>
          <w:p w14:paraId="6359998C" w14:textId="4A028033" w:rsidR="00695BAA" w:rsidRDefault="00861415" w:rsidP="00695BAA">
            <w:pPr>
              <w:spacing w:line="240" w:lineRule="auto"/>
              <w:jc w:val="left"/>
            </w:pPr>
            <w:r>
              <w:t>0.5018</w:t>
            </w:r>
          </w:p>
        </w:tc>
      </w:tr>
    </w:tbl>
    <w:p w14:paraId="4A93C58F" w14:textId="77777777" w:rsidR="00695BAA" w:rsidRPr="00FF5F91" w:rsidRDefault="00695BAA" w:rsidP="00695BAA">
      <w:pPr>
        <w:jc w:val="center"/>
      </w:pPr>
    </w:p>
    <w:p w14:paraId="57697546" w14:textId="51F81121" w:rsidR="009F647B" w:rsidRDefault="009F647B" w:rsidP="009F647B">
      <w:pPr>
        <w:pStyle w:val="Heading3"/>
      </w:pPr>
      <w:bookmarkStart w:id="167" w:name="_Ref344129833"/>
      <w:bookmarkStart w:id="168" w:name="_Toc346310991"/>
      <w:r>
        <w:t>Effect of Fabrication Pres</w:t>
      </w:r>
      <w:r w:rsidR="00EB5569">
        <w:t>s</w:t>
      </w:r>
      <w:r>
        <w:t>ure on Laminate Flexural Strength</w:t>
      </w:r>
      <w:bookmarkEnd w:id="167"/>
      <w:bookmarkEnd w:id="168"/>
    </w:p>
    <w:p w14:paraId="67C131DF" w14:textId="4E46230F" w:rsidR="009F647B" w:rsidRDefault="00313ED9" w:rsidP="009F647B">
      <w:pPr>
        <w:ind w:firstLine="360"/>
      </w:pPr>
      <w:r>
        <w:t xml:space="preserve">The effect of applied cure pressure on the laminate flexural strength for each prepreg material is shown in </w:t>
      </w:r>
      <w:r>
        <w:fldChar w:fldCharType="begin"/>
      </w:r>
      <w:r>
        <w:instrText xml:space="preserve"> REF _Ref343330592 \h </w:instrText>
      </w:r>
      <w:r>
        <w:fldChar w:fldCharType="separate"/>
      </w:r>
      <w:r w:rsidR="008A1992" w:rsidRPr="000A6295">
        <w:t xml:space="preserve">Figure </w:t>
      </w:r>
      <w:r w:rsidR="008A1992">
        <w:rPr>
          <w:noProof/>
        </w:rPr>
        <w:t>3</w:t>
      </w:r>
      <w:r w:rsidR="008A1992">
        <w:t>.</w:t>
      </w:r>
      <w:r w:rsidR="008A1992">
        <w:rPr>
          <w:noProof/>
        </w:rPr>
        <w:t>6</w:t>
      </w:r>
      <w:r>
        <w:fldChar w:fldCharType="end"/>
      </w:r>
      <w:r>
        <w:t xml:space="preserve">.  </w:t>
      </w:r>
      <w:r w:rsidR="006C6CE6">
        <w:t xml:space="preserve">The power-function trend line equations for each prepreg conditioning and fabrication pressure specimen are provided in </w:t>
      </w:r>
      <w:r w:rsidR="006C6CE6">
        <w:fldChar w:fldCharType="begin"/>
      </w:r>
      <w:r w:rsidR="006C6CE6">
        <w:instrText xml:space="preserve"> REF _Ref343851151 \h </w:instrText>
      </w:r>
      <w:r w:rsidR="006C6CE6">
        <w:fldChar w:fldCharType="separate"/>
      </w:r>
      <w:r w:rsidR="008A1992" w:rsidRPr="00AF0389">
        <w:t xml:space="preserve">Table </w:t>
      </w:r>
      <w:r w:rsidR="008A1992">
        <w:rPr>
          <w:noProof/>
        </w:rPr>
        <w:t>3</w:t>
      </w:r>
      <w:r w:rsidR="008A1992">
        <w:t>.</w:t>
      </w:r>
      <w:r w:rsidR="008A1992">
        <w:rPr>
          <w:noProof/>
        </w:rPr>
        <w:t>4</w:t>
      </w:r>
      <w:r w:rsidR="006C6CE6">
        <w:fldChar w:fldCharType="end"/>
      </w:r>
      <w:r w:rsidR="006C6CE6">
        <w:t xml:space="preserve">.  </w:t>
      </w:r>
      <w:r w:rsidR="0021156D">
        <w:t>The R</w:t>
      </w:r>
      <w:r w:rsidR="0021156D" w:rsidRPr="00177745">
        <w:rPr>
          <w:vertAlign w:val="superscript"/>
        </w:rPr>
        <w:t>2</w:t>
      </w:r>
      <w:r w:rsidR="0021156D">
        <w:t>-values for the selected power-function trend lines for quartz/epoxy ranged from 0.71 to 0.99.  Comparatively, the R</w:t>
      </w:r>
      <w:r w:rsidR="0021156D" w:rsidRPr="00177745">
        <w:rPr>
          <w:vertAlign w:val="superscript"/>
        </w:rPr>
        <w:t>2</w:t>
      </w:r>
      <w:r w:rsidR="0021156D">
        <w:t>-values for a linear representation ranged from</w:t>
      </w:r>
      <w:r w:rsidR="00BD58CA">
        <w:t xml:space="preserve"> 0.67</w:t>
      </w:r>
      <w:r w:rsidR="0021156D">
        <w:t xml:space="preserve"> to </w:t>
      </w:r>
      <w:r w:rsidR="00BD58CA">
        <w:t>0.91</w:t>
      </w:r>
      <w:r w:rsidR="0021156D">
        <w:t>.  Therefore, a power-function trend line representation of the effect of fabrication pressure was selected</w:t>
      </w:r>
      <w:r w:rsidR="00BD58CA">
        <w:t xml:space="preserve"> as the best</w:t>
      </w:r>
      <w:r w:rsidR="0021156D">
        <w:t xml:space="preserve"> represent</w:t>
      </w:r>
      <w:r w:rsidR="00BD58CA">
        <w:t>ation of</w:t>
      </w:r>
      <w:r w:rsidR="0021156D">
        <w:t xml:space="preserve"> laminate </w:t>
      </w:r>
      <w:r w:rsidR="00BD58CA">
        <w:t xml:space="preserve">flexural strength </w:t>
      </w:r>
      <w:r w:rsidR="0021156D">
        <w:t xml:space="preserve">for each prepreg material.  </w:t>
      </w:r>
      <w:r w:rsidR="006C6CE6">
        <w:t>The flexure strength increased as fabrication pressure increased for e</w:t>
      </w:r>
      <w:r>
        <w:t>ach</w:t>
      </w:r>
      <w:r w:rsidR="006C6CE6">
        <w:t xml:space="preserve"> prepreg material</w:t>
      </w:r>
      <w:r>
        <w:t xml:space="preserve">.  </w:t>
      </w:r>
      <w:r w:rsidR="00400894">
        <w:t>Excluding dry humidity environments (i.e. 2% RH), the flexural strength for quartz/epoxy (</w:t>
      </w:r>
      <w:r w:rsidR="00400894">
        <w:fldChar w:fldCharType="begin"/>
      </w:r>
      <w:r w:rsidR="00400894">
        <w:instrText xml:space="preserve"> REF _Ref343330592 \h </w:instrText>
      </w:r>
      <w:r w:rsidR="00400894">
        <w:fldChar w:fldCharType="separate"/>
      </w:r>
      <w:r w:rsidR="008A1992" w:rsidRPr="000A6295">
        <w:t xml:space="preserve">Figure </w:t>
      </w:r>
      <w:r w:rsidR="008A1992">
        <w:rPr>
          <w:noProof/>
        </w:rPr>
        <w:t>3</w:t>
      </w:r>
      <w:r w:rsidR="008A1992">
        <w:t>.</w:t>
      </w:r>
      <w:r w:rsidR="008A1992">
        <w:rPr>
          <w:noProof/>
        </w:rPr>
        <w:t>6</w:t>
      </w:r>
      <w:r w:rsidR="00400894">
        <w:fldChar w:fldCharType="end"/>
      </w:r>
      <w:r w:rsidR="00400894">
        <w:t xml:space="preserve">a) increased substantially as fabrication pressure increased.  Disregarding the 2% relative humidity quartz/epoxy </w:t>
      </w:r>
      <w:r w:rsidR="00400894">
        <w:lastRenderedPageBreak/>
        <w:t>prepreg, all quartz-reinforced</w:t>
      </w:r>
      <w:r>
        <w:t xml:space="preserve"> materials, </w:t>
      </w:r>
      <w:r>
        <w:fldChar w:fldCharType="begin"/>
      </w:r>
      <w:r>
        <w:instrText xml:space="preserve"> REF _Ref343330592 \h </w:instrText>
      </w:r>
      <w:r>
        <w:fldChar w:fldCharType="separate"/>
      </w:r>
      <w:r w:rsidR="008A1992" w:rsidRPr="000A6295">
        <w:t xml:space="preserve">Figure </w:t>
      </w:r>
      <w:r w:rsidR="008A1992">
        <w:rPr>
          <w:noProof/>
        </w:rPr>
        <w:t>3</w:t>
      </w:r>
      <w:r w:rsidR="008A1992">
        <w:t>.</w:t>
      </w:r>
      <w:r w:rsidR="008A1992">
        <w:rPr>
          <w:noProof/>
        </w:rPr>
        <w:t>6</w:t>
      </w:r>
      <w:r>
        <w:fldChar w:fldCharType="end"/>
      </w:r>
      <w:r w:rsidR="005B52F3">
        <w:t>a and b, had</w:t>
      </w:r>
      <w:r w:rsidR="00400894">
        <w:t xml:space="preserve"> similar</w:t>
      </w:r>
      <w:r w:rsidR="005B52F3">
        <w:t xml:space="preserve"> initial strength values </w:t>
      </w:r>
      <w:r w:rsidR="00400894">
        <w:t xml:space="preserve">ranging from </w:t>
      </w:r>
      <w:r w:rsidR="0059624E">
        <w:t xml:space="preserve">270-350 MPa. </w:t>
      </w:r>
      <w:r w:rsidR="005B52F3">
        <w:t xml:space="preserve"> </w:t>
      </w:r>
      <w:r w:rsidR="0059624E">
        <w:t>H</w:t>
      </w:r>
      <w:r w:rsidR="005B52F3">
        <w:t>owever</w:t>
      </w:r>
      <w:r w:rsidR="0059624E">
        <w:t>,</w:t>
      </w:r>
      <w:r w:rsidR="005B52F3">
        <w:t xml:space="preserve"> the rate of increase </w:t>
      </w:r>
      <w:r w:rsidR="0059624E">
        <w:t xml:space="preserve">for epoxy </w:t>
      </w:r>
      <w:r w:rsidR="005B52F3">
        <w:t xml:space="preserve">was </w:t>
      </w:r>
      <w:r w:rsidR="0059624E">
        <w:t>nearly double</w:t>
      </w:r>
      <w:r w:rsidR="005B52F3">
        <w:t xml:space="preserve"> </w:t>
      </w:r>
      <w:r w:rsidR="00AB4ABC">
        <w:t>when compared to</w:t>
      </w:r>
      <w:r w:rsidR="005B52F3">
        <w:t xml:space="preserve"> </w:t>
      </w:r>
      <w:r w:rsidR="0059624E">
        <w:t>BMI</w:t>
      </w:r>
      <w:r w:rsidR="005B52F3">
        <w:t xml:space="preserve">.  Therefore </w:t>
      </w:r>
      <w:r w:rsidR="0059624E">
        <w:t xml:space="preserve">this results in a flexural strength </w:t>
      </w:r>
      <w:r w:rsidR="005B52F3">
        <w:t xml:space="preserve">range </w:t>
      </w:r>
      <w:r w:rsidR="0059624E">
        <w:t xml:space="preserve">of 562-967 MPa and 425-602 MPa </w:t>
      </w:r>
      <w:r w:rsidR="005B52F3">
        <w:t xml:space="preserve">for quartz/epoxy </w:t>
      </w:r>
      <w:r w:rsidR="0059624E">
        <w:t>and quartz/BMI, respectively.</w:t>
      </w:r>
      <w:r w:rsidR="005B52F3">
        <w:t xml:space="preserve">  </w:t>
      </w:r>
      <w:r w:rsidR="0059624E">
        <w:t>The flexural strength for c</w:t>
      </w:r>
      <w:r w:rsidR="005B52F3">
        <w:t xml:space="preserve">arbon fiber reinforced laminates </w:t>
      </w:r>
      <w:r w:rsidR="0059624E">
        <w:t>was influenced</w:t>
      </w:r>
      <w:r w:rsidR="005B52F3">
        <w:t xml:space="preserve"> the least </w:t>
      </w:r>
      <w:r w:rsidR="0059624E">
        <w:t>due to</w:t>
      </w:r>
      <w:r w:rsidR="005B52F3">
        <w:t xml:space="preserve"> fabrication pressure, </w:t>
      </w:r>
      <w:r w:rsidR="0059624E">
        <w:t xml:space="preserve">which was </w:t>
      </w:r>
      <w:r w:rsidR="005B52F3">
        <w:t xml:space="preserve">indicated by the smallest </w:t>
      </w:r>
      <w:r w:rsidR="0059624E">
        <w:t>power functions of</w:t>
      </w:r>
      <w:r w:rsidR="005B52F3">
        <w:t xml:space="preserve"> </w:t>
      </w:r>
      <w:r w:rsidR="005B52F3">
        <w:fldChar w:fldCharType="begin"/>
      </w:r>
      <w:r w:rsidR="005B52F3">
        <w:instrText xml:space="preserve"> REF _Ref343330592 \h </w:instrText>
      </w:r>
      <w:r w:rsidR="005B52F3">
        <w:fldChar w:fldCharType="separate"/>
      </w:r>
      <w:r w:rsidR="008A1992" w:rsidRPr="000A6295">
        <w:t xml:space="preserve">Figure </w:t>
      </w:r>
      <w:r w:rsidR="008A1992">
        <w:rPr>
          <w:noProof/>
        </w:rPr>
        <w:t>3</w:t>
      </w:r>
      <w:r w:rsidR="008A1992">
        <w:t>.</w:t>
      </w:r>
      <w:r w:rsidR="008A1992">
        <w:rPr>
          <w:noProof/>
        </w:rPr>
        <w:t>6</w:t>
      </w:r>
      <w:r w:rsidR="005B52F3">
        <w:fldChar w:fldCharType="end"/>
      </w:r>
      <w:r w:rsidR="006A232B">
        <w:t>c</w:t>
      </w:r>
      <w:r w:rsidR="005B52F3">
        <w:t>.</w:t>
      </w:r>
      <w:r w:rsidR="006A232B">
        <w:t xml:space="preserve">  One unusual characteristic noted in the carbon fiber specimens was a reduction in flexural strength once pressure increased above 207 kPa for prepregs conditioned at 40% relative humidity.  This behavior is not observed at any other conditioning level or prepreg </w:t>
      </w:r>
      <w:proofErr w:type="gramStart"/>
      <w:r w:rsidR="006A232B">
        <w:t>material,</w:t>
      </w:r>
      <w:proofErr w:type="gramEnd"/>
      <w:r w:rsidR="006A232B">
        <w:t xml:space="preserve"> therefore this may be due to measurement uncertainties and is not believed to be a representation of the actual behavior of flexural strength for carbon fiber laminates.</w:t>
      </w:r>
    </w:p>
    <w:p w14:paraId="7284BFA4" w14:textId="77777777" w:rsidR="006A232B" w:rsidRDefault="006A232B" w:rsidP="009F647B">
      <w:pPr>
        <w:ind w:firstLine="360"/>
      </w:pPr>
    </w:p>
    <w:p w14:paraId="675D9F56" w14:textId="190D75DE" w:rsidR="000A6295" w:rsidRDefault="00733F51" w:rsidP="000A6295">
      <w:pPr>
        <w:keepNext/>
        <w:jc w:val="center"/>
      </w:pPr>
      <w:r>
        <w:rPr>
          <w:noProof/>
        </w:rPr>
        <w:lastRenderedPageBreak/>
        <mc:AlternateContent>
          <mc:Choice Requires="wpg">
            <w:drawing>
              <wp:inline distT="0" distB="0" distL="0" distR="0" wp14:anchorId="346F8770" wp14:editId="3D8E82C3">
                <wp:extent cx="5394960" cy="4482958"/>
                <wp:effectExtent l="0" t="0" r="0" b="0"/>
                <wp:docPr id="57" name="Group 19"/>
                <wp:cNvGraphicFramePr/>
                <a:graphic xmlns:a="http://schemas.openxmlformats.org/drawingml/2006/main">
                  <a:graphicData uri="http://schemas.microsoft.com/office/word/2010/wordprocessingGroup">
                    <wpg:wgp>
                      <wpg:cNvGrpSpPr/>
                      <wpg:grpSpPr>
                        <a:xfrm>
                          <a:off x="0" y="0"/>
                          <a:ext cx="5394960" cy="4482958"/>
                          <a:chOff x="0" y="0"/>
                          <a:chExt cx="5424606" cy="4507654"/>
                        </a:xfrm>
                      </wpg:grpSpPr>
                      <wpg:graphicFrame>
                        <wpg:cNvPr id="271" name="Chart 271"/>
                        <wpg:cNvFrPr/>
                        <wpg:xfrm>
                          <a:off x="2711884" y="0"/>
                          <a:ext cx="2712722" cy="2255497"/>
                        </wpg:xfrm>
                        <a:graphic>
                          <a:graphicData uri="http://schemas.openxmlformats.org/drawingml/2006/chart">
                            <c:chart xmlns:c="http://schemas.openxmlformats.org/drawingml/2006/chart" xmlns:r="http://schemas.openxmlformats.org/officeDocument/2006/relationships" r:id="rId88"/>
                          </a:graphicData>
                        </a:graphic>
                      </wpg:graphicFrame>
                      <wpg:graphicFrame>
                        <wpg:cNvPr id="272" name="Chart 272"/>
                        <wpg:cNvFrPr>
                          <a:graphicFrameLocks/>
                        </wpg:cNvFrPr>
                        <wpg:xfrm>
                          <a:off x="0" y="0"/>
                          <a:ext cx="2712722" cy="2255497"/>
                        </wpg:xfrm>
                        <a:graphic>
                          <a:graphicData uri="http://schemas.openxmlformats.org/drawingml/2006/chart">
                            <c:chart xmlns:c="http://schemas.openxmlformats.org/drawingml/2006/chart" xmlns:r="http://schemas.openxmlformats.org/officeDocument/2006/relationships" r:id="rId89"/>
                          </a:graphicData>
                        </a:graphic>
                      </wpg:graphicFrame>
                      <wpg:graphicFrame>
                        <wpg:cNvPr id="277" name="Chart 277"/>
                        <wpg:cNvFrPr>
                          <a:graphicFrameLocks/>
                        </wpg:cNvFrPr>
                        <wpg:xfrm>
                          <a:off x="1346200" y="2252157"/>
                          <a:ext cx="2712722" cy="2255497"/>
                        </wpg:xfrm>
                        <a:graphic>
                          <a:graphicData uri="http://schemas.openxmlformats.org/drawingml/2006/chart">
                            <c:chart xmlns:c="http://schemas.openxmlformats.org/drawingml/2006/chart" xmlns:r="http://schemas.openxmlformats.org/officeDocument/2006/relationships" r:id="rId90"/>
                          </a:graphicData>
                        </a:graphic>
                      </wpg:graphicFrame>
                    </wpg:wgp>
                  </a:graphicData>
                </a:graphic>
              </wp:inline>
            </w:drawing>
          </mc:Choice>
          <mc:Fallback xmlns:w15="http://schemas.microsoft.com/office/word/2012/wordml">
            <w:pict>
              <v:group w14:anchorId="554C40B3" id="Group 19" o:spid="_x0000_s1026" style="width:424.8pt;height:353pt;mso-position-horizontal-relative:char;mso-position-vertical-relative:line" coordsize="54246,45076" o:gfxdata="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">
                <v:shape id="Chart 271" o:spid="_x0000_s1027" type="#_x0000_t75" style="position:absolute;left:27092;width:27154;height:225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">
                  <v:imagedata r:id="rId91" o:title=""/>
                  <o:lock v:ext="edit" aspectratio="f"/>
                </v:shape>
                <v:shape id="Chart 272" o:spid="_x0000_s1028" type="#_x0000_t75" style="position:absolute;width:27153;height:225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">
                  <v:imagedata r:id="rId92" o:title=""/>
                  <o:lock v:ext="edit" aspectratio="f"/>
                </v:shape>
                <v:shape id="Chart 277" o:spid="_x0000_s1029" type="#_x0000_t75" style="position:absolute;left:13423;top:22495;width:27215;height:2261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">
                  <v:imagedata r:id="rId93" o:title=""/>
                  <o:lock v:ext="edit" aspectratio="f"/>
                </v:shape>
                <w10:anchorlock/>
              </v:group>
            </w:pict>
          </mc:Fallback>
        </mc:AlternateContent>
      </w:r>
    </w:p>
    <w:p w14:paraId="47172C28" w14:textId="5292EEBF" w:rsidR="00163229" w:rsidRDefault="000A6295" w:rsidP="000A6295">
      <w:pPr>
        <w:pStyle w:val="Caption"/>
        <w:spacing w:line="240" w:lineRule="auto"/>
        <w:jc w:val="center"/>
        <w:rPr>
          <w:sz w:val="24"/>
          <w:szCs w:val="24"/>
        </w:rPr>
      </w:pPr>
      <w:bookmarkStart w:id="169" w:name="_Ref343330592"/>
      <w:bookmarkStart w:id="170" w:name="_Toc346310434"/>
      <w:proofErr w:type="gramStart"/>
      <w:r w:rsidRPr="000A6295">
        <w:rPr>
          <w:sz w:val="24"/>
          <w:szCs w:val="24"/>
        </w:rPr>
        <w:t xml:space="preserve">Figure </w:t>
      </w:r>
      <w:r w:rsidR="00C16D85">
        <w:rPr>
          <w:sz w:val="24"/>
          <w:szCs w:val="24"/>
        </w:rPr>
        <w:fldChar w:fldCharType="begin"/>
      </w:r>
      <w:r w:rsidR="00C16D85">
        <w:rPr>
          <w:sz w:val="24"/>
          <w:szCs w:val="24"/>
        </w:rPr>
        <w:instrText xml:space="preserve"> STYLEREF 1 \s </w:instrText>
      </w:r>
      <w:r w:rsidR="00C16D85">
        <w:rPr>
          <w:sz w:val="24"/>
          <w:szCs w:val="24"/>
        </w:rPr>
        <w:fldChar w:fldCharType="separate"/>
      </w:r>
      <w:r w:rsidR="008A1992">
        <w:rPr>
          <w:noProof/>
          <w:sz w:val="24"/>
          <w:szCs w:val="24"/>
        </w:rPr>
        <w:t>3</w:t>
      </w:r>
      <w:r w:rsidR="00C16D85">
        <w:rPr>
          <w:sz w:val="24"/>
          <w:szCs w:val="24"/>
        </w:rPr>
        <w:fldChar w:fldCharType="end"/>
      </w:r>
      <w:r w:rsidR="00C16D85">
        <w:rPr>
          <w:sz w:val="24"/>
          <w:szCs w:val="24"/>
        </w:rPr>
        <w:t>.</w:t>
      </w:r>
      <w:proofErr w:type="gramEnd"/>
      <w:r w:rsidR="00C16D85">
        <w:rPr>
          <w:sz w:val="24"/>
          <w:szCs w:val="24"/>
        </w:rPr>
        <w:fldChar w:fldCharType="begin"/>
      </w:r>
      <w:r w:rsidR="00C16D85">
        <w:rPr>
          <w:sz w:val="24"/>
          <w:szCs w:val="24"/>
        </w:rPr>
        <w:instrText xml:space="preserve"> SEQ Figure \* ARABIC \s 1 </w:instrText>
      </w:r>
      <w:r w:rsidR="00C16D85">
        <w:rPr>
          <w:sz w:val="24"/>
          <w:szCs w:val="24"/>
        </w:rPr>
        <w:fldChar w:fldCharType="separate"/>
      </w:r>
      <w:r w:rsidR="008A1992">
        <w:rPr>
          <w:noProof/>
          <w:sz w:val="24"/>
          <w:szCs w:val="24"/>
        </w:rPr>
        <w:t>6</w:t>
      </w:r>
      <w:r w:rsidR="00C16D85">
        <w:rPr>
          <w:sz w:val="24"/>
          <w:szCs w:val="24"/>
        </w:rPr>
        <w:fldChar w:fldCharType="end"/>
      </w:r>
      <w:bookmarkEnd w:id="169"/>
      <w:r w:rsidRPr="000A6295">
        <w:rPr>
          <w:sz w:val="24"/>
          <w:szCs w:val="24"/>
        </w:rPr>
        <w:t xml:space="preserve"> Effect of fabrication pressure on the flexural strength for (a) Quartz/</w:t>
      </w:r>
      <w:r w:rsidR="0059624E">
        <w:rPr>
          <w:sz w:val="24"/>
          <w:szCs w:val="24"/>
        </w:rPr>
        <w:t>Epoxy</w:t>
      </w:r>
      <w:r w:rsidRPr="000A6295">
        <w:rPr>
          <w:sz w:val="24"/>
          <w:szCs w:val="24"/>
        </w:rPr>
        <w:t>, (b) Quartz/</w:t>
      </w:r>
      <w:r w:rsidR="0059624E">
        <w:rPr>
          <w:sz w:val="24"/>
          <w:szCs w:val="24"/>
        </w:rPr>
        <w:t>BMI</w:t>
      </w:r>
      <w:r w:rsidRPr="000A6295">
        <w:rPr>
          <w:sz w:val="24"/>
          <w:szCs w:val="24"/>
        </w:rPr>
        <w:t>, and (c) Carbon/Epoxy</w:t>
      </w:r>
      <w:bookmarkEnd w:id="170"/>
      <w:r w:rsidR="00163229">
        <w:rPr>
          <w:sz w:val="24"/>
          <w:szCs w:val="24"/>
        </w:rPr>
        <w:br w:type="page"/>
      </w:r>
    </w:p>
    <w:p w14:paraId="57DE35AF" w14:textId="0F949FB3" w:rsidR="00861415" w:rsidRPr="00AF0389" w:rsidRDefault="00861415" w:rsidP="00861415">
      <w:pPr>
        <w:pStyle w:val="Caption"/>
        <w:keepNext/>
        <w:spacing w:after="120" w:line="240" w:lineRule="auto"/>
        <w:jc w:val="center"/>
        <w:rPr>
          <w:sz w:val="24"/>
          <w:szCs w:val="24"/>
        </w:rPr>
      </w:pPr>
      <w:bookmarkStart w:id="171" w:name="_Ref343851151"/>
      <w:bookmarkStart w:id="172" w:name="_Toc346310855"/>
      <w:proofErr w:type="gramStart"/>
      <w:r w:rsidRPr="00AF0389">
        <w:rPr>
          <w:sz w:val="24"/>
          <w:szCs w:val="24"/>
        </w:rPr>
        <w:lastRenderedPageBreak/>
        <w:t xml:space="preserve">Table </w:t>
      </w:r>
      <w:r w:rsidR="00707D23">
        <w:rPr>
          <w:sz w:val="24"/>
          <w:szCs w:val="24"/>
        </w:rPr>
        <w:fldChar w:fldCharType="begin"/>
      </w:r>
      <w:r w:rsidR="00707D23">
        <w:rPr>
          <w:sz w:val="24"/>
          <w:szCs w:val="24"/>
        </w:rPr>
        <w:instrText xml:space="preserve"> STYLEREF 1 \s </w:instrText>
      </w:r>
      <w:r w:rsidR="00707D23">
        <w:rPr>
          <w:sz w:val="24"/>
          <w:szCs w:val="24"/>
        </w:rPr>
        <w:fldChar w:fldCharType="separate"/>
      </w:r>
      <w:r w:rsidR="008A1992">
        <w:rPr>
          <w:noProof/>
          <w:sz w:val="24"/>
          <w:szCs w:val="24"/>
        </w:rPr>
        <w:t>3</w:t>
      </w:r>
      <w:r w:rsidR="00707D23">
        <w:rPr>
          <w:sz w:val="24"/>
          <w:szCs w:val="24"/>
        </w:rPr>
        <w:fldChar w:fldCharType="end"/>
      </w:r>
      <w:r w:rsidR="00707D23">
        <w:rPr>
          <w:sz w:val="24"/>
          <w:szCs w:val="24"/>
        </w:rPr>
        <w:t>.</w:t>
      </w:r>
      <w:proofErr w:type="gramEnd"/>
      <w:r w:rsidR="00707D23">
        <w:rPr>
          <w:sz w:val="24"/>
          <w:szCs w:val="24"/>
        </w:rPr>
        <w:fldChar w:fldCharType="begin"/>
      </w:r>
      <w:r w:rsidR="00707D23">
        <w:rPr>
          <w:sz w:val="24"/>
          <w:szCs w:val="24"/>
        </w:rPr>
        <w:instrText xml:space="preserve"> SEQ Table \* ARABIC \s 1 </w:instrText>
      </w:r>
      <w:r w:rsidR="00707D23">
        <w:rPr>
          <w:sz w:val="24"/>
          <w:szCs w:val="24"/>
        </w:rPr>
        <w:fldChar w:fldCharType="separate"/>
      </w:r>
      <w:r w:rsidR="008A1992">
        <w:rPr>
          <w:noProof/>
          <w:sz w:val="24"/>
          <w:szCs w:val="24"/>
        </w:rPr>
        <w:t>4</w:t>
      </w:r>
      <w:r w:rsidR="00707D23">
        <w:rPr>
          <w:sz w:val="24"/>
          <w:szCs w:val="24"/>
        </w:rPr>
        <w:fldChar w:fldCharType="end"/>
      </w:r>
      <w:bookmarkEnd w:id="171"/>
      <w:r w:rsidRPr="00AF0389">
        <w:rPr>
          <w:sz w:val="24"/>
          <w:szCs w:val="24"/>
        </w:rPr>
        <w:t xml:space="preserve"> Trend </w:t>
      </w:r>
      <w:r w:rsidRPr="005901A5">
        <w:rPr>
          <w:sz w:val="24"/>
          <w:szCs w:val="24"/>
        </w:rPr>
        <w:t xml:space="preserve">line equations for </w:t>
      </w:r>
      <w:r>
        <w:rPr>
          <w:sz w:val="24"/>
          <w:szCs w:val="24"/>
        </w:rPr>
        <w:t>fabrication pressure ef</w:t>
      </w:r>
      <w:r w:rsidRPr="005901A5">
        <w:rPr>
          <w:sz w:val="24"/>
          <w:szCs w:val="24"/>
        </w:rPr>
        <w:t xml:space="preserve">fect on </w:t>
      </w:r>
      <w:r>
        <w:rPr>
          <w:sz w:val="24"/>
          <w:szCs w:val="24"/>
        </w:rPr>
        <w:t>flexural strength</w:t>
      </w:r>
      <w:bookmarkEnd w:id="172"/>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2592"/>
        <w:gridCol w:w="1152"/>
      </w:tblGrid>
      <w:tr w:rsidR="00861415" w14:paraId="1685677F" w14:textId="77777777" w:rsidTr="00861415">
        <w:trPr>
          <w:jc w:val="center"/>
        </w:trPr>
        <w:tc>
          <w:tcPr>
            <w:tcW w:w="2016" w:type="dxa"/>
            <w:tcBorders>
              <w:top w:val="single" w:sz="12" w:space="0" w:color="auto"/>
            </w:tcBorders>
            <w:vAlign w:val="center"/>
          </w:tcPr>
          <w:p w14:paraId="02BE5FCE" w14:textId="75CC6C48" w:rsidR="00861415" w:rsidRPr="00006052" w:rsidRDefault="00961779" w:rsidP="00961779">
            <w:pPr>
              <w:spacing w:line="240" w:lineRule="auto"/>
              <w:jc w:val="center"/>
              <w:rPr>
                <w:b/>
              </w:rPr>
            </w:pPr>
            <w:r>
              <w:rPr>
                <w:b/>
              </w:rPr>
              <w:t>a) Quartz/Epoxy</w:t>
            </w:r>
          </w:p>
        </w:tc>
        <w:tc>
          <w:tcPr>
            <w:tcW w:w="2592" w:type="dxa"/>
            <w:tcBorders>
              <w:top w:val="single" w:sz="12" w:space="0" w:color="auto"/>
              <w:bottom w:val="single" w:sz="4" w:space="0" w:color="auto"/>
            </w:tcBorders>
            <w:vAlign w:val="center"/>
          </w:tcPr>
          <w:p w14:paraId="5C6E2485" w14:textId="77777777" w:rsidR="00861415" w:rsidRPr="00006052" w:rsidRDefault="00861415" w:rsidP="00861415">
            <w:pPr>
              <w:spacing w:line="240" w:lineRule="auto"/>
              <w:jc w:val="center"/>
              <w:rPr>
                <w:b/>
              </w:rPr>
            </w:pPr>
            <w:r w:rsidRPr="00006052">
              <w:rPr>
                <w:b/>
              </w:rPr>
              <w:t>Trend Line Equation</w:t>
            </w:r>
          </w:p>
        </w:tc>
        <w:tc>
          <w:tcPr>
            <w:tcW w:w="1152" w:type="dxa"/>
            <w:tcBorders>
              <w:top w:val="single" w:sz="12" w:space="0" w:color="auto"/>
              <w:bottom w:val="single" w:sz="4" w:space="0" w:color="auto"/>
            </w:tcBorders>
            <w:vAlign w:val="center"/>
          </w:tcPr>
          <w:p w14:paraId="087BF57D" w14:textId="77777777" w:rsidR="00861415" w:rsidRPr="00006052" w:rsidRDefault="00861415" w:rsidP="00861415">
            <w:pPr>
              <w:spacing w:line="240" w:lineRule="auto"/>
              <w:jc w:val="left"/>
              <w:rPr>
                <w:b/>
              </w:rPr>
            </w:pPr>
            <w:r w:rsidRPr="00006052">
              <w:rPr>
                <w:b/>
              </w:rPr>
              <w:t>R</w:t>
            </w:r>
            <w:r w:rsidRPr="00006052">
              <w:rPr>
                <w:b/>
                <w:vertAlign w:val="superscript"/>
              </w:rPr>
              <w:t>2</w:t>
            </w:r>
            <w:r w:rsidRPr="00006052">
              <w:rPr>
                <w:b/>
              </w:rPr>
              <w:t xml:space="preserve"> Value</w:t>
            </w:r>
          </w:p>
        </w:tc>
      </w:tr>
      <w:tr w:rsidR="00961779" w14:paraId="02CAC2B3" w14:textId="77777777" w:rsidTr="00861415">
        <w:trPr>
          <w:jc w:val="center"/>
        </w:trPr>
        <w:tc>
          <w:tcPr>
            <w:tcW w:w="2016" w:type="dxa"/>
            <w:tcBorders>
              <w:right w:val="single" w:sz="4" w:space="0" w:color="auto"/>
            </w:tcBorders>
            <w:vAlign w:val="center"/>
          </w:tcPr>
          <w:p w14:paraId="16E037A0" w14:textId="77777777" w:rsidR="00961779" w:rsidRDefault="00961779" w:rsidP="00861415">
            <w:pPr>
              <w:spacing w:line="240" w:lineRule="auto"/>
              <w:jc w:val="center"/>
            </w:pPr>
            <w:r>
              <w:t>2% RH</w:t>
            </w:r>
          </w:p>
        </w:tc>
        <w:tc>
          <w:tcPr>
            <w:tcW w:w="2592" w:type="dxa"/>
            <w:tcBorders>
              <w:top w:val="single" w:sz="4" w:space="0" w:color="auto"/>
              <w:left w:val="single" w:sz="4" w:space="0" w:color="auto"/>
            </w:tcBorders>
            <w:vAlign w:val="center"/>
          </w:tcPr>
          <w:p w14:paraId="32C2A95A" w14:textId="32D03A5A" w:rsidR="00961779" w:rsidRDefault="00961779" w:rsidP="002C7857">
            <w:pPr>
              <w:spacing w:line="240" w:lineRule="auto"/>
              <w:jc w:val="center"/>
            </w:pPr>
            <w:r>
              <w:t>548.34x</w:t>
            </w:r>
            <w:r>
              <w:rPr>
                <w:vertAlign w:val="superscript"/>
              </w:rPr>
              <w:t>0</w:t>
            </w:r>
            <w:r w:rsidRPr="001B12B4">
              <w:rPr>
                <w:vertAlign w:val="superscript"/>
              </w:rPr>
              <w:t>.</w:t>
            </w:r>
            <w:r>
              <w:rPr>
                <w:vertAlign w:val="superscript"/>
              </w:rPr>
              <w:t>064</w:t>
            </w:r>
          </w:p>
        </w:tc>
        <w:tc>
          <w:tcPr>
            <w:tcW w:w="1152" w:type="dxa"/>
            <w:tcBorders>
              <w:top w:val="single" w:sz="4" w:space="0" w:color="auto"/>
              <w:right w:val="single" w:sz="4" w:space="0" w:color="auto"/>
            </w:tcBorders>
            <w:vAlign w:val="center"/>
          </w:tcPr>
          <w:p w14:paraId="70E7AC52" w14:textId="42982383" w:rsidR="00961779" w:rsidRDefault="00961779" w:rsidP="00861415">
            <w:pPr>
              <w:spacing w:line="240" w:lineRule="auto"/>
              <w:jc w:val="left"/>
            </w:pPr>
            <w:r>
              <w:t>0.9831</w:t>
            </w:r>
          </w:p>
        </w:tc>
      </w:tr>
      <w:tr w:rsidR="00961779" w14:paraId="6F62E954" w14:textId="77777777" w:rsidTr="00861415">
        <w:trPr>
          <w:jc w:val="center"/>
        </w:trPr>
        <w:tc>
          <w:tcPr>
            <w:tcW w:w="2016" w:type="dxa"/>
            <w:tcBorders>
              <w:right w:val="single" w:sz="4" w:space="0" w:color="auto"/>
            </w:tcBorders>
            <w:vAlign w:val="center"/>
          </w:tcPr>
          <w:p w14:paraId="379BF8B6" w14:textId="77777777" w:rsidR="00961779" w:rsidRDefault="00961779" w:rsidP="00861415">
            <w:pPr>
              <w:spacing w:line="240" w:lineRule="auto"/>
              <w:jc w:val="center"/>
            </w:pPr>
            <w:r>
              <w:t>40% RH</w:t>
            </w:r>
          </w:p>
        </w:tc>
        <w:tc>
          <w:tcPr>
            <w:tcW w:w="2592" w:type="dxa"/>
            <w:tcBorders>
              <w:left w:val="single" w:sz="4" w:space="0" w:color="auto"/>
            </w:tcBorders>
            <w:vAlign w:val="center"/>
          </w:tcPr>
          <w:p w14:paraId="75A133FC" w14:textId="7ECD0AC5" w:rsidR="00961779" w:rsidRDefault="00961779" w:rsidP="002C7857">
            <w:pPr>
              <w:spacing w:line="240" w:lineRule="auto"/>
              <w:jc w:val="center"/>
            </w:pPr>
            <w:r>
              <w:t>352.19x</w:t>
            </w:r>
            <w:r>
              <w:rPr>
                <w:vertAlign w:val="superscript"/>
              </w:rPr>
              <w:t>0</w:t>
            </w:r>
            <w:r w:rsidRPr="001B12B4">
              <w:rPr>
                <w:vertAlign w:val="superscript"/>
              </w:rPr>
              <w:t>.</w:t>
            </w:r>
            <w:r>
              <w:rPr>
                <w:vertAlign w:val="superscript"/>
              </w:rPr>
              <w:t>155</w:t>
            </w:r>
          </w:p>
        </w:tc>
        <w:tc>
          <w:tcPr>
            <w:tcW w:w="1152" w:type="dxa"/>
            <w:tcBorders>
              <w:right w:val="single" w:sz="4" w:space="0" w:color="auto"/>
            </w:tcBorders>
            <w:vAlign w:val="center"/>
          </w:tcPr>
          <w:p w14:paraId="44544188" w14:textId="2E12C9D1" w:rsidR="00961779" w:rsidRDefault="00961779" w:rsidP="00861415">
            <w:pPr>
              <w:spacing w:line="240" w:lineRule="auto"/>
              <w:jc w:val="left"/>
            </w:pPr>
            <w:r>
              <w:t>0.7146</w:t>
            </w:r>
          </w:p>
        </w:tc>
      </w:tr>
      <w:tr w:rsidR="00961779" w14:paraId="2834D70C" w14:textId="77777777" w:rsidTr="00861415">
        <w:trPr>
          <w:jc w:val="center"/>
        </w:trPr>
        <w:tc>
          <w:tcPr>
            <w:tcW w:w="2016" w:type="dxa"/>
            <w:tcBorders>
              <w:right w:val="single" w:sz="4" w:space="0" w:color="auto"/>
            </w:tcBorders>
            <w:vAlign w:val="center"/>
          </w:tcPr>
          <w:p w14:paraId="409E1D13" w14:textId="77777777" w:rsidR="00961779" w:rsidRDefault="00961779" w:rsidP="00861415">
            <w:pPr>
              <w:spacing w:line="240" w:lineRule="auto"/>
              <w:jc w:val="center"/>
            </w:pPr>
            <w:r>
              <w:t>70% RH</w:t>
            </w:r>
          </w:p>
        </w:tc>
        <w:tc>
          <w:tcPr>
            <w:tcW w:w="2592" w:type="dxa"/>
            <w:tcBorders>
              <w:left w:val="single" w:sz="4" w:space="0" w:color="auto"/>
            </w:tcBorders>
            <w:vAlign w:val="center"/>
          </w:tcPr>
          <w:p w14:paraId="0CCE2890" w14:textId="074A2895" w:rsidR="00961779" w:rsidRDefault="00961779" w:rsidP="002C7857">
            <w:pPr>
              <w:spacing w:line="240" w:lineRule="auto"/>
              <w:jc w:val="center"/>
            </w:pPr>
            <w:r>
              <w:t>287.70x</w:t>
            </w:r>
            <w:r>
              <w:rPr>
                <w:vertAlign w:val="superscript"/>
              </w:rPr>
              <w:t>0</w:t>
            </w:r>
            <w:r w:rsidRPr="001B12B4">
              <w:rPr>
                <w:vertAlign w:val="superscript"/>
              </w:rPr>
              <w:t>.</w:t>
            </w:r>
            <w:r>
              <w:rPr>
                <w:vertAlign w:val="superscript"/>
              </w:rPr>
              <w:t>183</w:t>
            </w:r>
          </w:p>
        </w:tc>
        <w:tc>
          <w:tcPr>
            <w:tcW w:w="1152" w:type="dxa"/>
            <w:tcBorders>
              <w:right w:val="single" w:sz="4" w:space="0" w:color="auto"/>
            </w:tcBorders>
            <w:vAlign w:val="center"/>
          </w:tcPr>
          <w:p w14:paraId="5BF6DACD" w14:textId="7A78212D" w:rsidR="00961779" w:rsidRDefault="00961779" w:rsidP="00861415">
            <w:pPr>
              <w:spacing w:line="240" w:lineRule="auto"/>
              <w:jc w:val="left"/>
            </w:pPr>
            <w:r>
              <w:t>0.9865</w:t>
            </w:r>
          </w:p>
        </w:tc>
      </w:tr>
      <w:tr w:rsidR="00961779" w14:paraId="59771642" w14:textId="77777777" w:rsidTr="00861415">
        <w:trPr>
          <w:jc w:val="center"/>
        </w:trPr>
        <w:tc>
          <w:tcPr>
            <w:tcW w:w="2016" w:type="dxa"/>
            <w:tcBorders>
              <w:right w:val="single" w:sz="4" w:space="0" w:color="auto"/>
            </w:tcBorders>
            <w:vAlign w:val="center"/>
          </w:tcPr>
          <w:p w14:paraId="0E2AA268" w14:textId="77777777" w:rsidR="00961779" w:rsidRDefault="00961779" w:rsidP="00861415">
            <w:pPr>
              <w:spacing w:line="240" w:lineRule="auto"/>
              <w:jc w:val="center"/>
            </w:pPr>
            <w:r>
              <w:t>99% RH</w:t>
            </w:r>
          </w:p>
        </w:tc>
        <w:tc>
          <w:tcPr>
            <w:tcW w:w="2592" w:type="dxa"/>
            <w:tcBorders>
              <w:left w:val="single" w:sz="4" w:space="0" w:color="auto"/>
              <w:bottom w:val="single" w:sz="4" w:space="0" w:color="auto"/>
            </w:tcBorders>
            <w:vAlign w:val="center"/>
          </w:tcPr>
          <w:p w14:paraId="14A5285B" w14:textId="561FCE2E" w:rsidR="00961779" w:rsidRDefault="00961779" w:rsidP="002C7857">
            <w:pPr>
              <w:spacing w:line="240" w:lineRule="auto"/>
              <w:jc w:val="center"/>
            </w:pPr>
            <w:r>
              <w:t>280.00x</w:t>
            </w:r>
            <w:r>
              <w:rPr>
                <w:vertAlign w:val="superscript"/>
              </w:rPr>
              <w:t>0</w:t>
            </w:r>
            <w:r w:rsidRPr="001B12B4">
              <w:rPr>
                <w:vertAlign w:val="superscript"/>
              </w:rPr>
              <w:t>.</w:t>
            </w:r>
            <w:r>
              <w:rPr>
                <w:vertAlign w:val="superscript"/>
              </w:rPr>
              <w:t>166</w:t>
            </w:r>
          </w:p>
        </w:tc>
        <w:tc>
          <w:tcPr>
            <w:tcW w:w="1152" w:type="dxa"/>
            <w:tcBorders>
              <w:bottom w:val="single" w:sz="4" w:space="0" w:color="auto"/>
              <w:right w:val="single" w:sz="4" w:space="0" w:color="auto"/>
            </w:tcBorders>
            <w:vAlign w:val="center"/>
          </w:tcPr>
          <w:p w14:paraId="1F09E3DB" w14:textId="2CB029F7" w:rsidR="00961779" w:rsidRDefault="00961779" w:rsidP="00861415">
            <w:pPr>
              <w:spacing w:line="240" w:lineRule="auto"/>
              <w:jc w:val="left"/>
            </w:pPr>
            <w:r>
              <w:t>0.9963</w:t>
            </w:r>
          </w:p>
        </w:tc>
      </w:tr>
      <w:tr w:rsidR="00861415" w14:paraId="77662431" w14:textId="77777777" w:rsidTr="00861415">
        <w:trPr>
          <w:trHeight w:val="144"/>
          <w:jc w:val="center"/>
        </w:trPr>
        <w:tc>
          <w:tcPr>
            <w:tcW w:w="2016" w:type="dxa"/>
            <w:vAlign w:val="center"/>
          </w:tcPr>
          <w:p w14:paraId="489DC9AD" w14:textId="77777777" w:rsidR="00861415" w:rsidRPr="00722E7F" w:rsidRDefault="00861415" w:rsidP="00861415">
            <w:pPr>
              <w:spacing w:line="240" w:lineRule="auto"/>
              <w:jc w:val="center"/>
              <w:rPr>
                <w:sz w:val="16"/>
              </w:rPr>
            </w:pPr>
          </w:p>
        </w:tc>
        <w:tc>
          <w:tcPr>
            <w:tcW w:w="2592" w:type="dxa"/>
            <w:tcBorders>
              <w:top w:val="single" w:sz="4" w:space="0" w:color="auto"/>
            </w:tcBorders>
            <w:vAlign w:val="center"/>
          </w:tcPr>
          <w:p w14:paraId="684EDAAC" w14:textId="77777777" w:rsidR="00861415" w:rsidRPr="00722E7F" w:rsidRDefault="00861415" w:rsidP="00861415">
            <w:pPr>
              <w:spacing w:line="240" w:lineRule="auto"/>
              <w:jc w:val="center"/>
              <w:rPr>
                <w:sz w:val="16"/>
              </w:rPr>
            </w:pPr>
          </w:p>
        </w:tc>
        <w:tc>
          <w:tcPr>
            <w:tcW w:w="1152" w:type="dxa"/>
            <w:tcBorders>
              <w:top w:val="single" w:sz="4" w:space="0" w:color="auto"/>
            </w:tcBorders>
            <w:vAlign w:val="center"/>
          </w:tcPr>
          <w:p w14:paraId="3427D6BF" w14:textId="77777777" w:rsidR="00861415" w:rsidRPr="00722E7F" w:rsidRDefault="00861415" w:rsidP="00861415">
            <w:pPr>
              <w:spacing w:line="240" w:lineRule="auto"/>
              <w:jc w:val="left"/>
              <w:rPr>
                <w:sz w:val="16"/>
              </w:rPr>
            </w:pPr>
          </w:p>
        </w:tc>
      </w:tr>
      <w:tr w:rsidR="00861415" w14:paraId="1BAA0B7A" w14:textId="77777777" w:rsidTr="00861415">
        <w:trPr>
          <w:jc w:val="center"/>
        </w:trPr>
        <w:tc>
          <w:tcPr>
            <w:tcW w:w="2016" w:type="dxa"/>
            <w:vAlign w:val="center"/>
          </w:tcPr>
          <w:p w14:paraId="24875E98" w14:textId="7931F73C" w:rsidR="00861415" w:rsidRPr="00722E7F" w:rsidRDefault="00961779" w:rsidP="00961779">
            <w:pPr>
              <w:spacing w:line="240" w:lineRule="auto"/>
              <w:jc w:val="center"/>
              <w:rPr>
                <w:b/>
              </w:rPr>
            </w:pPr>
            <w:r>
              <w:rPr>
                <w:b/>
              </w:rPr>
              <w:t>b) Quartz/BMI</w:t>
            </w:r>
          </w:p>
        </w:tc>
        <w:tc>
          <w:tcPr>
            <w:tcW w:w="2592" w:type="dxa"/>
            <w:tcBorders>
              <w:bottom w:val="single" w:sz="4" w:space="0" w:color="auto"/>
            </w:tcBorders>
            <w:vAlign w:val="center"/>
          </w:tcPr>
          <w:p w14:paraId="7844AB2E" w14:textId="77777777" w:rsidR="00861415" w:rsidRDefault="00861415" w:rsidP="00861415">
            <w:pPr>
              <w:spacing w:line="240" w:lineRule="auto"/>
              <w:jc w:val="center"/>
            </w:pPr>
          </w:p>
        </w:tc>
        <w:tc>
          <w:tcPr>
            <w:tcW w:w="1152" w:type="dxa"/>
            <w:tcBorders>
              <w:bottom w:val="single" w:sz="4" w:space="0" w:color="auto"/>
            </w:tcBorders>
            <w:vAlign w:val="center"/>
          </w:tcPr>
          <w:p w14:paraId="7D680C3A" w14:textId="77777777" w:rsidR="00861415" w:rsidRDefault="00861415" w:rsidP="00861415">
            <w:pPr>
              <w:spacing w:line="240" w:lineRule="auto"/>
              <w:jc w:val="left"/>
            </w:pPr>
          </w:p>
        </w:tc>
      </w:tr>
      <w:tr w:rsidR="00961779" w14:paraId="61786E31" w14:textId="77777777" w:rsidTr="00861415">
        <w:trPr>
          <w:jc w:val="center"/>
        </w:trPr>
        <w:tc>
          <w:tcPr>
            <w:tcW w:w="2016" w:type="dxa"/>
            <w:tcBorders>
              <w:right w:val="single" w:sz="4" w:space="0" w:color="auto"/>
            </w:tcBorders>
            <w:vAlign w:val="center"/>
          </w:tcPr>
          <w:p w14:paraId="65870B47" w14:textId="77777777" w:rsidR="00961779" w:rsidRDefault="00961779" w:rsidP="00861415">
            <w:pPr>
              <w:spacing w:line="240" w:lineRule="auto"/>
              <w:jc w:val="center"/>
            </w:pPr>
            <w:r>
              <w:t>2% RH</w:t>
            </w:r>
          </w:p>
        </w:tc>
        <w:tc>
          <w:tcPr>
            <w:tcW w:w="2592" w:type="dxa"/>
            <w:tcBorders>
              <w:top w:val="single" w:sz="4" w:space="0" w:color="auto"/>
              <w:left w:val="single" w:sz="4" w:space="0" w:color="auto"/>
            </w:tcBorders>
            <w:vAlign w:val="center"/>
          </w:tcPr>
          <w:p w14:paraId="08C89955" w14:textId="21F36074" w:rsidR="00961779" w:rsidRDefault="00961779" w:rsidP="00861415">
            <w:pPr>
              <w:spacing w:line="240" w:lineRule="auto"/>
              <w:jc w:val="center"/>
            </w:pPr>
            <w:r>
              <w:t>312.95x</w:t>
            </w:r>
            <w:r>
              <w:rPr>
                <w:vertAlign w:val="superscript"/>
              </w:rPr>
              <w:t>0</w:t>
            </w:r>
            <w:r w:rsidRPr="001B12B4">
              <w:rPr>
                <w:vertAlign w:val="superscript"/>
              </w:rPr>
              <w:t>.</w:t>
            </w:r>
            <w:r>
              <w:rPr>
                <w:vertAlign w:val="superscript"/>
              </w:rPr>
              <w:t>108</w:t>
            </w:r>
          </w:p>
        </w:tc>
        <w:tc>
          <w:tcPr>
            <w:tcW w:w="1152" w:type="dxa"/>
            <w:tcBorders>
              <w:top w:val="single" w:sz="4" w:space="0" w:color="auto"/>
              <w:right w:val="single" w:sz="4" w:space="0" w:color="auto"/>
            </w:tcBorders>
            <w:vAlign w:val="center"/>
          </w:tcPr>
          <w:p w14:paraId="12AF12FF" w14:textId="621DE075" w:rsidR="00961779" w:rsidRDefault="00961779" w:rsidP="00861415">
            <w:pPr>
              <w:spacing w:line="240" w:lineRule="auto"/>
              <w:jc w:val="left"/>
            </w:pPr>
            <w:r>
              <w:t>0.7904</w:t>
            </w:r>
          </w:p>
        </w:tc>
      </w:tr>
      <w:tr w:rsidR="00961779" w14:paraId="68E04F4C" w14:textId="77777777" w:rsidTr="00861415">
        <w:trPr>
          <w:jc w:val="center"/>
        </w:trPr>
        <w:tc>
          <w:tcPr>
            <w:tcW w:w="2016" w:type="dxa"/>
            <w:tcBorders>
              <w:right w:val="single" w:sz="4" w:space="0" w:color="auto"/>
            </w:tcBorders>
            <w:vAlign w:val="center"/>
          </w:tcPr>
          <w:p w14:paraId="6428386C" w14:textId="77777777" w:rsidR="00961779" w:rsidRDefault="00961779" w:rsidP="00861415">
            <w:pPr>
              <w:spacing w:line="240" w:lineRule="auto"/>
              <w:jc w:val="center"/>
            </w:pPr>
            <w:r>
              <w:t>40% RH</w:t>
            </w:r>
          </w:p>
        </w:tc>
        <w:tc>
          <w:tcPr>
            <w:tcW w:w="2592" w:type="dxa"/>
            <w:tcBorders>
              <w:left w:val="single" w:sz="4" w:space="0" w:color="auto"/>
            </w:tcBorders>
            <w:vAlign w:val="center"/>
          </w:tcPr>
          <w:p w14:paraId="76097347" w14:textId="314D8714" w:rsidR="00961779" w:rsidRDefault="00961779" w:rsidP="00861415">
            <w:pPr>
              <w:spacing w:line="240" w:lineRule="auto"/>
              <w:jc w:val="center"/>
            </w:pPr>
            <w:r>
              <w:t>334.21x</w:t>
            </w:r>
            <w:r>
              <w:rPr>
                <w:vertAlign w:val="superscript"/>
              </w:rPr>
              <w:t>0.081</w:t>
            </w:r>
          </w:p>
        </w:tc>
        <w:tc>
          <w:tcPr>
            <w:tcW w:w="1152" w:type="dxa"/>
            <w:tcBorders>
              <w:right w:val="single" w:sz="4" w:space="0" w:color="auto"/>
            </w:tcBorders>
            <w:vAlign w:val="center"/>
          </w:tcPr>
          <w:p w14:paraId="63986825" w14:textId="750B978E" w:rsidR="00961779" w:rsidRDefault="00961779" w:rsidP="00861415">
            <w:pPr>
              <w:spacing w:line="240" w:lineRule="auto"/>
              <w:jc w:val="left"/>
            </w:pPr>
            <w:r>
              <w:t>0.8506</w:t>
            </w:r>
          </w:p>
        </w:tc>
      </w:tr>
      <w:tr w:rsidR="00961779" w14:paraId="3FCF3E64" w14:textId="77777777" w:rsidTr="00861415">
        <w:trPr>
          <w:jc w:val="center"/>
        </w:trPr>
        <w:tc>
          <w:tcPr>
            <w:tcW w:w="2016" w:type="dxa"/>
            <w:tcBorders>
              <w:right w:val="single" w:sz="4" w:space="0" w:color="auto"/>
            </w:tcBorders>
            <w:vAlign w:val="center"/>
          </w:tcPr>
          <w:p w14:paraId="004EFA1E" w14:textId="77777777" w:rsidR="00961779" w:rsidRDefault="00961779" w:rsidP="00861415">
            <w:pPr>
              <w:spacing w:line="240" w:lineRule="auto"/>
              <w:jc w:val="center"/>
            </w:pPr>
            <w:r>
              <w:t>70% RH</w:t>
            </w:r>
          </w:p>
        </w:tc>
        <w:tc>
          <w:tcPr>
            <w:tcW w:w="2592" w:type="dxa"/>
            <w:tcBorders>
              <w:left w:val="single" w:sz="4" w:space="0" w:color="auto"/>
            </w:tcBorders>
            <w:vAlign w:val="center"/>
          </w:tcPr>
          <w:p w14:paraId="70DE0CC3" w14:textId="2AF40EC0" w:rsidR="00961779" w:rsidRDefault="00961779" w:rsidP="00861415">
            <w:pPr>
              <w:spacing w:line="240" w:lineRule="auto"/>
              <w:jc w:val="center"/>
            </w:pPr>
            <w:r>
              <w:t>270.20x</w:t>
            </w:r>
            <w:r>
              <w:rPr>
                <w:vertAlign w:val="superscript"/>
              </w:rPr>
              <w:t>0</w:t>
            </w:r>
            <w:r w:rsidRPr="001B12B4">
              <w:rPr>
                <w:vertAlign w:val="superscript"/>
              </w:rPr>
              <w:t>.</w:t>
            </w:r>
            <w:r>
              <w:rPr>
                <w:vertAlign w:val="superscript"/>
              </w:rPr>
              <w:t>108</w:t>
            </w:r>
          </w:p>
        </w:tc>
        <w:tc>
          <w:tcPr>
            <w:tcW w:w="1152" w:type="dxa"/>
            <w:tcBorders>
              <w:right w:val="single" w:sz="4" w:space="0" w:color="auto"/>
            </w:tcBorders>
            <w:vAlign w:val="center"/>
          </w:tcPr>
          <w:p w14:paraId="119C9A11" w14:textId="7CDA812D" w:rsidR="00961779" w:rsidRDefault="00961779" w:rsidP="00861415">
            <w:pPr>
              <w:spacing w:line="240" w:lineRule="auto"/>
              <w:jc w:val="left"/>
            </w:pPr>
            <w:r>
              <w:t>0.9890</w:t>
            </w:r>
          </w:p>
        </w:tc>
      </w:tr>
      <w:tr w:rsidR="00961779" w14:paraId="2CA50DEB" w14:textId="77777777" w:rsidTr="00861415">
        <w:trPr>
          <w:jc w:val="center"/>
        </w:trPr>
        <w:tc>
          <w:tcPr>
            <w:tcW w:w="2016" w:type="dxa"/>
            <w:tcBorders>
              <w:right w:val="single" w:sz="4" w:space="0" w:color="auto"/>
            </w:tcBorders>
            <w:vAlign w:val="center"/>
          </w:tcPr>
          <w:p w14:paraId="0C994F5C" w14:textId="77777777" w:rsidR="00961779" w:rsidRDefault="00961779" w:rsidP="00861415">
            <w:pPr>
              <w:spacing w:line="240" w:lineRule="auto"/>
              <w:jc w:val="center"/>
            </w:pPr>
            <w:r>
              <w:t>99% RH</w:t>
            </w:r>
          </w:p>
        </w:tc>
        <w:tc>
          <w:tcPr>
            <w:tcW w:w="2592" w:type="dxa"/>
            <w:tcBorders>
              <w:left w:val="single" w:sz="4" w:space="0" w:color="auto"/>
              <w:bottom w:val="single" w:sz="4" w:space="0" w:color="auto"/>
            </w:tcBorders>
            <w:vAlign w:val="center"/>
          </w:tcPr>
          <w:p w14:paraId="70862568" w14:textId="76CA07EA" w:rsidR="00961779" w:rsidRDefault="00961779" w:rsidP="002C7857">
            <w:pPr>
              <w:spacing w:line="240" w:lineRule="auto"/>
              <w:jc w:val="center"/>
            </w:pPr>
            <w:r>
              <w:t>291.76x</w:t>
            </w:r>
            <w:r>
              <w:rPr>
                <w:vertAlign w:val="superscript"/>
              </w:rPr>
              <w:t>0.105</w:t>
            </w:r>
          </w:p>
        </w:tc>
        <w:tc>
          <w:tcPr>
            <w:tcW w:w="1152" w:type="dxa"/>
            <w:tcBorders>
              <w:bottom w:val="single" w:sz="4" w:space="0" w:color="auto"/>
              <w:right w:val="single" w:sz="4" w:space="0" w:color="auto"/>
            </w:tcBorders>
            <w:vAlign w:val="center"/>
          </w:tcPr>
          <w:p w14:paraId="6555EE55" w14:textId="437F6DEB" w:rsidR="00961779" w:rsidRDefault="00961779" w:rsidP="00861415">
            <w:pPr>
              <w:spacing w:line="240" w:lineRule="auto"/>
              <w:jc w:val="left"/>
            </w:pPr>
            <w:r>
              <w:t>0.9679</w:t>
            </w:r>
          </w:p>
        </w:tc>
      </w:tr>
      <w:tr w:rsidR="00861415" w14:paraId="183F2ED3" w14:textId="77777777" w:rsidTr="00861415">
        <w:trPr>
          <w:jc w:val="center"/>
        </w:trPr>
        <w:tc>
          <w:tcPr>
            <w:tcW w:w="2016" w:type="dxa"/>
            <w:vAlign w:val="center"/>
          </w:tcPr>
          <w:p w14:paraId="5313BE72" w14:textId="77777777" w:rsidR="00861415" w:rsidRPr="00722E7F" w:rsidRDefault="00861415" w:rsidP="00861415">
            <w:pPr>
              <w:spacing w:line="240" w:lineRule="auto"/>
              <w:jc w:val="center"/>
              <w:rPr>
                <w:sz w:val="16"/>
              </w:rPr>
            </w:pPr>
          </w:p>
        </w:tc>
        <w:tc>
          <w:tcPr>
            <w:tcW w:w="2592" w:type="dxa"/>
            <w:tcBorders>
              <w:top w:val="single" w:sz="4" w:space="0" w:color="auto"/>
            </w:tcBorders>
            <w:vAlign w:val="center"/>
          </w:tcPr>
          <w:p w14:paraId="377DFF98" w14:textId="77777777" w:rsidR="00861415" w:rsidRPr="00722E7F" w:rsidRDefault="00861415" w:rsidP="00861415">
            <w:pPr>
              <w:spacing w:line="240" w:lineRule="auto"/>
              <w:jc w:val="center"/>
              <w:rPr>
                <w:sz w:val="16"/>
              </w:rPr>
            </w:pPr>
          </w:p>
        </w:tc>
        <w:tc>
          <w:tcPr>
            <w:tcW w:w="1152" w:type="dxa"/>
            <w:tcBorders>
              <w:top w:val="single" w:sz="4" w:space="0" w:color="auto"/>
            </w:tcBorders>
            <w:vAlign w:val="center"/>
          </w:tcPr>
          <w:p w14:paraId="77C33E6F" w14:textId="77777777" w:rsidR="00861415" w:rsidRPr="00722E7F" w:rsidRDefault="00861415" w:rsidP="00861415">
            <w:pPr>
              <w:spacing w:line="240" w:lineRule="auto"/>
              <w:jc w:val="left"/>
              <w:rPr>
                <w:sz w:val="16"/>
              </w:rPr>
            </w:pPr>
          </w:p>
        </w:tc>
      </w:tr>
      <w:tr w:rsidR="00861415" w14:paraId="01A5B11D" w14:textId="77777777" w:rsidTr="00861415">
        <w:trPr>
          <w:jc w:val="center"/>
        </w:trPr>
        <w:tc>
          <w:tcPr>
            <w:tcW w:w="2016" w:type="dxa"/>
            <w:vAlign w:val="center"/>
          </w:tcPr>
          <w:p w14:paraId="4AF409ED" w14:textId="77777777" w:rsidR="00861415" w:rsidRDefault="00861415" w:rsidP="00861415">
            <w:pPr>
              <w:spacing w:line="240" w:lineRule="auto"/>
              <w:jc w:val="center"/>
            </w:pPr>
            <w:r>
              <w:rPr>
                <w:b/>
              </w:rPr>
              <w:t>c</w:t>
            </w:r>
            <w:r w:rsidRPr="00722E7F">
              <w:rPr>
                <w:b/>
              </w:rPr>
              <w:t xml:space="preserve">) </w:t>
            </w:r>
            <w:r>
              <w:rPr>
                <w:b/>
              </w:rPr>
              <w:t>Carbon</w:t>
            </w:r>
            <w:r w:rsidRPr="00722E7F">
              <w:rPr>
                <w:b/>
              </w:rPr>
              <w:t>/Epoxy</w:t>
            </w:r>
          </w:p>
        </w:tc>
        <w:tc>
          <w:tcPr>
            <w:tcW w:w="2592" w:type="dxa"/>
            <w:tcBorders>
              <w:bottom w:val="single" w:sz="4" w:space="0" w:color="auto"/>
            </w:tcBorders>
            <w:vAlign w:val="center"/>
          </w:tcPr>
          <w:p w14:paraId="0F2DA88F" w14:textId="77777777" w:rsidR="00861415" w:rsidRDefault="00861415" w:rsidP="00861415">
            <w:pPr>
              <w:spacing w:line="240" w:lineRule="auto"/>
              <w:jc w:val="center"/>
            </w:pPr>
          </w:p>
        </w:tc>
        <w:tc>
          <w:tcPr>
            <w:tcW w:w="1152" w:type="dxa"/>
            <w:tcBorders>
              <w:bottom w:val="single" w:sz="4" w:space="0" w:color="auto"/>
            </w:tcBorders>
            <w:vAlign w:val="center"/>
          </w:tcPr>
          <w:p w14:paraId="65A83928" w14:textId="77777777" w:rsidR="00861415" w:rsidRDefault="00861415" w:rsidP="00861415">
            <w:pPr>
              <w:spacing w:line="240" w:lineRule="auto"/>
              <w:jc w:val="left"/>
            </w:pPr>
          </w:p>
        </w:tc>
      </w:tr>
      <w:tr w:rsidR="00861415" w14:paraId="3327097B" w14:textId="77777777" w:rsidTr="00861415">
        <w:trPr>
          <w:jc w:val="center"/>
        </w:trPr>
        <w:tc>
          <w:tcPr>
            <w:tcW w:w="2016" w:type="dxa"/>
            <w:tcBorders>
              <w:right w:val="single" w:sz="4" w:space="0" w:color="auto"/>
            </w:tcBorders>
            <w:vAlign w:val="center"/>
          </w:tcPr>
          <w:p w14:paraId="4C88697F" w14:textId="77777777" w:rsidR="00861415" w:rsidRDefault="00861415" w:rsidP="00861415">
            <w:pPr>
              <w:spacing w:line="240" w:lineRule="auto"/>
              <w:jc w:val="center"/>
            </w:pPr>
            <w:r>
              <w:t>2% RH</w:t>
            </w:r>
          </w:p>
        </w:tc>
        <w:tc>
          <w:tcPr>
            <w:tcW w:w="2592" w:type="dxa"/>
            <w:tcBorders>
              <w:top w:val="single" w:sz="4" w:space="0" w:color="auto"/>
              <w:left w:val="single" w:sz="4" w:space="0" w:color="auto"/>
            </w:tcBorders>
            <w:vAlign w:val="center"/>
          </w:tcPr>
          <w:p w14:paraId="2843FD50" w14:textId="7258FB04" w:rsidR="00861415" w:rsidRDefault="002C7857" w:rsidP="002C7857">
            <w:pPr>
              <w:spacing w:line="240" w:lineRule="auto"/>
              <w:jc w:val="center"/>
            </w:pPr>
            <w:r>
              <w:t>498</w:t>
            </w:r>
            <w:r w:rsidR="00861415">
              <w:t>.</w:t>
            </w:r>
            <w:r>
              <w:t>27</w:t>
            </w:r>
            <w:r w:rsidR="00861415">
              <w:t>x</w:t>
            </w:r>
            <w:r w:rsidR="00861415">
              <w:rPr>
                <w:vertAlign w:val="superscript"/>
              </w:rPr>
              <w:t>0.</w:t>
            </w:r>
            <w:r>
              <w:rPr>
                <w:vertAlign w:val="superscript"/>
              </w:rPr>
              <w:t>078</w:t>
            </w:r>
          </w:p>
        </w:tc>
        <w:tc>
          <w:tcPr>
            <w:tcW w:w="1152" w:type="dxa"/>
            <w:tcBorders>
              <w:top w:val="single" w:sz="4" w:space="0" w:color="auto"/>
              <w:right w:val="single" w:sz="4" w:space="0" w:color="auto"/>
            </w:tcBorders>
            <w:vAlign w:val="center"/>
          </w:tcPr>
          <w:p w14:paraId="5359B2A3" w14:textId="2FE4DEC8" w:rsidR="00861415" w:rsidRDefault="002C7857" w:rsidP="00861415">
            <w:pPr>
              <w:spacing w:line="240" w:lineRule="auto"/>
              <w:jc w:val="left"/>
            </w:pPr>
            <w:r>
              <w:t>0.5508</w:t>
            </w:r>
          </w:p>
        </w:tc>
      </w:tr>
      <w:tr w:rsidR="00861415" w14:paraId="77B0DF4A" w14:textId="77777777" w:rsidTr="00861415">
        <w:trPr>
          <w:jc w:val="center"/>
        </w:trPr>
        <w:tc>
          <w:tcPr>
            <w:tcW w:w="2016" w:type="dxa"/>
            <w:tcBorders>
              <w:right w:val="single" w:sz="4" w:space="0" w:color="auto"/>
            </w:tcBorders>
            <w:vAlign w:val="center"/>
          </w:tcPr>
          <w:p w14:paraId="7BA38D98" w14:textId="77777777" w:rsidR="00861415" w:rsidRDefault="00861415" w:rsidP="00861415">
            <w:pPr>
              <w:spacing w:line="240" w:lineRule="auto"/>
              <w:jc w:val="center"/>
            </w:pPr>
            <w:r>
              <w:t>40% RH</w:t>
            </w:r>
          </w:p>
        </w:tc>
        <w:tc>
          <w:tcPr>
            <w:tcW w:w="2592" w:type="dxa"/>
            <w:tcBorders>
              <w:left w:val="single" w:sz="4" w:space="0" w:color="auto"/>
            </w:tcBorders>
            <w:vAlign w:val="center"/>
          </w:tcPr>
          <w:p w14:paraId="4C7BFF39" w14:textId="16F94D75" w:rsidR="00861415" w:rsidRDefault="002C7857" w:rsidP="002C7857">
            <w:pPr>
              <w:spacing w:line="240" w:lineRule="auto"/>
              <w:jc w:val="center"/>
            </w:pPr>
            <w:r>
              <w:t>804.55</w:t>
            </w:r>
            <w:r w:rsidR="00861415">
              <w:t>x</w:t>
            </w:r>
            <w:r w:rsidR="00861415">
              <w:rPr>
                <w:vertAlign w:val="superscript"/>
              </w:rPr>
              <w:t>-0.</w:t>
            </w:r>
            <w:r>
              <w:rPr>
                <w:vertAlign w:val="superscript"/>
              </w:rPr>
              <w:t>0</w:t>
            </w:r>
            <w:r w:rsidR="00861415">
              <w:rPr>
                <w:vertAlign w:val="superscript"/>
              </w:rPr>
              <w:t>30</w:t>
            </w:r>
          </w:p>
        </w:tc>
        <w:tc>
          <w:tcPr>
            <w:tcW w:w="1152" w:type="dxa"/>
            <w:tcBorders>
              <w:right w:val="single" w:sz="4" w:space="0" w:color="auto"/>
            </w:tcBorders>
            <w:vAlign w:val="center"/>
          </w:tcPr>
          <w:p w14:paraId="4BFB030D" w14:textId="7C586BED" w:rsidR="00861415" w:rsidRDefault="002C7857" w:rsidP="00861415">
            <w:pPr>
              <w:spacing w:line="240" w:lineRule="auto"/>
              <w:jc w:val="left"/>
            </w:pPr>
            <w:r>
              <w:t>0.0612</w:t>
            </w:r>
          </w:p>
        </w:tc>
      </w:tr>
      <w:tr w:rsidR="00861415" w14:paraId="31C37D1F" w14:textId="77777777" w:rsidTr="00961779">
        <w:trPr>
          <w:jc w:val="center"/>
        </w:trPr>
        <w:tc>
          <w:tcPr>
            <w:tcW w:w="2016" w:type="dxa"/>
            <w:tcBorders>
              <w:right w:val="single" w:sz="4" w:space="0" w:color="auto"/>
            </w:tcBorders>
            <w:vAlign w:val="center"/>
          </w:tcPr>
          <w:p w14:paraId="5773045B" w14:textId="77777777" w:rsidR="00861415" w:rsidRDefault="00861415" w:rsidP="00861415">
            <w:pPr>
              <w:spacing w:line="240" w:lineRule="auto"/>
              <w:jc w:val="center"/>
            </w:pPr>
            <w:r>
              <w:t>70% RH</w:t>
            </w:r>
          </w:p>
        </w:tc>
        <w:tc>
          <w:tcPr>
            <w:tcW w:w="2592" w:type="dxa"/>
            <w:tcBorders>
              <w:left w:val="single" w:sz="4" w:space="0" w:color="auto"/>
            </w:tcBorders>
            <w:vAlign w:val="center"/>
          </w:tcPr>
          <w:p w14:paraId="727AF53E" w14:textId="6CD909B1" w:rsidR="00861415" w:rsidRDefault="003069B2" w:rsidP="003069B2">
            <w:pPr>
              <w:spacing w:line="240" w:lineRule="auto"/>
              <w:jc w:val="center"/>
            </w:pPr>
            <w:r>
              <w:t>425</w:t>
            </w:r>
            <w:r w:rsidR="00861415">
              <w:t>.3</w:t>
            </w:r>
            <w:r>
              <w:t>2</w:t>
            </w:r>
            <w:r w:rsidR="00861415">
              <w:t>x</w:t>
            </w:r>
            <w:r w:rsidR="00861415">
              <w:rPr>
                <w:vertAlign w:val="superscript"/>
              </w:rPr>
              <w:t>0</w:t>
            </w:r>
            <w:r w:rsidR="00861415" w:rsidRPr="001B12B4">
              <w:rPr>
                <w:vertAlign w:val="superscript"/>
              </w:rPr>
              <w:t>.</w:t>
            </w:r>
            <w:r>
              <w:rPr>
                <w:vertAlign w:val="superscript"/>
              </w:rPr>
              <w:t>102</w:t>
            </w:r>
          </w:p>
        </w:tc>
        <w:tc>
          <w:tcPr>
            <w:tcW w:w="1152" w:type="dxa"/>
            <w:tcBorders>
              <w:right w:val="single" w:sz="4" w:space="0" w:color="auto"/>
            </w:tcBorders>
            <w:vAlign w:val="center"/>
          </w:tcPr>
          <w:p w14:paraId="721F31B9" w14:textId="3D677CE4" w:rsidR="00861415" w:rsidRDefault="003069B2" w:rsidP="00861415">
            <w:pPr>
              <w:spacing w:line="240" w:lineRule="auto"/>
              <w:jc w:val="left"/>
            </w:pPr>
            <w:r>
              <w:t>0.9976</w:t>
            </w:r>
          </w:p>
        </w:tc>
      </w:tr>
      <w:tr w:rsidR="00861415" w14:paraId="130D47DF" w14:textId="77777777" w:rsidTr="00961779">
        <w:trPr>
          <w:jc w:val="center"/>
        </w:trPr>
        <w:tc>
          <w:tcPr>
            <w:tcW w:w="2016" w:type="dxa"/>
            <w:tcBorders>
              <w:right w:val="single" w:sz="4" w:space="0" w:color="auto"/>
            </w:tcBorders>
            <w:vAlign w:val="center"/>
          </w:tcPr>
          <w:p w14:paraId="33A3CBEE" w14:textId="77777777" w:rsidR="00861415" w:rsidRDefault="00861415" w:rsidP="00861415">
            <w:pPr>
              <w:spacing w:line="240" w:lineRule="auto"/>
              <w:jc w:val="center"/>
            </w:pPr>
            <w:r>
              <w:t>99% RH</w:t>
            </w:r>
          </w:p>
        </w:tc>
        <w:tc>
          <w:tcPr>
            <w:tcW w:w="2592" w:type="dxa"/>
            <w:tcBorders>
              <w:left w:val="single" w:sz="4" w:space="0" w:color="auto"/>
              <w:bottom w:val="single" w:sz="4" w:space="0" w:color="auto"/>
            </w:tcBorders>
            <w:vAlign w:val="center"/>
          </w:tcPr>
          <w:p w14:paraId="2DD32FBF" w14:textId="0E68E60B" w:rsidR="00861415" w:rsidRDefault="003069B2" w:rsidP="003069B2">
            <w:pPr>
              <w:spacing w:line="240" w:lineRule="auto"/>
              <w:jc w:val="center"/>
            </w:pPr>
            <w:r>
              <w:t>525.75</w:t>
            </w:r>
            <w:r w:rsidR="00861415">
              <w:t>x</w:t>
            </w:r>
            <w:r w:rsidR="00861415">
              <w:rPr>
                <w:vertAlign w:val="superscript"/>
              </w:rPr>
              <w:t>0</w:t>
            </w:r>
            <w:r w:rsidR="00861415" w:rsidRPr="001B12B4">
              <w:rPr>
                <w:vertAlign w:val="superscript"/>
              </w:rPr>
              <w:t>.</w:t>
            </w:r>
            <w:r>
              <w:rPr>
                <w:vertAlign w:val="superscript"/>
              </w:rPr>
              <w:t>062</w:t>
            </w:r>
          </w:p>
        </w:tc>
        <w:tc>
          <w:tcPr>
            <w:tcW w:w="1152" w:type="dxa"/>
            <w:tcBorders>
              <w:bottom w:val="single" w:sz="4" w:space="0" w:color="auto"/>
              <w:right w:val="single" w:sz="4" w:space="0" w:color="auto"/>
            </w:tcBorders>
            <w:vAlign w:val="center"/>
          </w:tcPr>
          <w:p w14:paraId="19DB7467" w14:textId="6CD85D13" w:rsidR="00861415" w:rsidRDefault="003069B2" w:rsidP="00861415">
            <w:pPr>
              <w:spacing w:line="240" w:lineRule="auto"/>
              <w:jc w:val="left"/>
            </w:pPr>
            <w:r>
              <w:t>0.8848</w:t>
            </w:r>
          </w:p>
        </w:tc>
      </w:tr>
    </w:tbl>
    <w:p w14:paraId="7F8AEF2E" w14:textId="77777777" w:rsidR="00861415" w:rsidRDefault="00861415" w:rsidP="00861415">
      <w:pPr>
        <w:jc w:val="center"/>
      </w:pPr>
    </w:p>
    <w:p w14:paraId="0B41015E" w14:textId="77777777" w:rsidR="00861415" w:rsidRPr="009F647B" w:rsidRDefault="00861415" w:rsidP="00EB5569">
      <w:pPr>
        <w:jc w:val="center"/>
      </w:pPr>
    </w:p>
    <w:p w14:paraId="45193205" w14:textId="77777777" w:rsidR="00983613" w:rsidRPr="00983613" w:rsidRDefault="00983613" w:rsidP="00983613">
      <w:pPr>
        <w:pStyle w:val="Heading2"/>
      </w:pPr>
      <w:bookmarkStart w:id="173" w:name="_Toc346310992"/>
      <w:r>
        <w:t>Summary of Laminate Mechanical Properties Chapter</w:t>
      </w:r>
      <w:bookmarkEnd w:id="173"/>
    </w:p>
    <w:p w14:paraId="72A0C2E7" w14:textId="4E55E3AF" w:rsidR="009E06B6" w:rsidRPr="00030081" w:rsidRDefault="009E06B6" w:rsidP="009E06B6">
      <w:pPr>
        <w:ind w:firstLine="360"/>
      </w:pPr>
      <w:r>
        <w:t>The experimental procedure for determining the laminate mechanical p</w:t>
      </w:r>
      <w:r w:rsidR="0051649E">
        <w:t>roperties in the form of flexural stiffness and flexural strength</w:t>
      </w:r>
      <w:r>
        <w:t xml:space="preserve"> along with the associated results for the three aerospace-grade composite prepregs were introduced.  Section </w:t>
      </w:r>
      <w:r w:rsidR="00CF0651">
        <w:fldChar w:fldCharType="begin"/>
      </w:r>
      <w:r>
        <w:instrText xml:space="preserve"> REF _Ref461605451 \r \h </w:instrText>
      </w:r>
      <w:r w:rsidR="00CF0651">
        <w:fldChar w:fldCharType="separate"/>
      </w:r>
      <w:r w:rsidR="008A1992">
        <w:t>3.2.2</w:t>
      </w:r>
      <w:r w:rsidR="00CF0651">
        <w:fldChar w:fldCharType="end"/>
      </w:r>
      <w:r w:rsidR="0051649E">
        <w:t xml:space="preserve"> contained the resulting flexural</w:t>
      </w:r>
      <w:r>
        <w:t xml:space="preserve"> stiffness and strength due to variations in prepreg relative humidity conditioning level and fabrication p</w:t>
      </w:r>
      <w:r w:rsidR="0051649E">
        <w:t>ressure.  Generally, the flexural</w:t>
      </w:r>
      <w:r>
        <w:t xml:space="preserve"> stiffness did not change significantly due to varying prepreg moisture contents and increased near-linearly as fabrication pressure </w:t>
      </w:r>
      <w:r w:rsidR="0051649E">
        <w:t>increased.  The flexural</w:t>
      </w:r>
      <w:r>
        <w:t xml:space="preserve"> strength was generally maximized when relatively humidity conditioning decreased and fabrication pressure increased.</w:t>
      </w:r>
    </w:p>
    <w:p w14:paraId="1C621700" w14:textId="77777777" w:rsidR="00D90CF3" w:rsidRDefault="00D90CF3">
      <w:pPr>
        <w:spacing w:line="240" w:lineRule="auto"/>
        <w:jc w:val="left"/>
      </w:pPr>
      <w:r>
        <w:br w:type="page"/>
      </w:r>
    </w:p>
    <w:p w14:paraId="7A1910DF" w14:textId="77777777" w:rsidR="00376B29" w:rsidRDefault="00376B29" w:rsidP="00376B29">
      <w:pPr>
        <w:pStyle w:val="Heading1"/>
        <w:numPr>
          <w:ilvl w:val="0"/>
          <w:numId w:val="0"/>
        </w:numPr>
        <w:ind w:left="432"/>
      </w:pPr>
      <w:bookmarkStart w:id="174" w:name="_Toc345066582"/>
      <w:bookmarkStart w:id="175" w:name="_Toc346310993"/>
      <w:r>
        <w:lastRenderedPageBreak/>
        <w:t>chapter 4</w:t>
      </w:r>
      <w:bookmarkEnd w:id="174"/>
      <w:bookmarkEnd w:id="175"/>
    </w:p>
    <w:p w14:paraId="2EA92BDB" w14:textId="2AF6C1DC" w:rsidR="00376B29" w:rsidRDefault="00376B29" w:rsidP="00376B29">
      <w:pPr>
        <w:pStyle w:val="Heading1"/>
        <w:numPr>
          <w:ilvl w:val="0"/>
          <w:numId w:val="23"/>
        </w:numPr>
      </w:pPr>
      <w:bookmarkStart w:id="176" w:name="_Ref340738293"/>
      <w:bookmarkStart w:id="177" w:name="_Toc346310994"/>
      <w:r>
        <w:t xml:space="preserve">Contour Plots for Laminate Microstructure and Mechanical Properties – Coupled Effect of </w:t>
      </w:r>
      <w:r w:rsidR="003D63B8">
        <w:t>Prepreg Humidity Exposure</w:t>
      </w:r>
      <w:r>
        <w:t xml:space="preserve"> and </w:t>
      </w:r>
      <w:r w:rsidR="003D63B8">
        <w:t xml:space="preserve">Fabrication </w:t>
      </w:r>
      <w:r>
        <w:t>Pressure</w:t>
      </w:r>
      <w:bookmarkEnd w:id="176"/>
      <w:bookmarkEnd w:id="177"/>
    </w:p>
    <w:p w14:paraId="41C1CA83" w14:textId="77777777" w:rsidR="00983BCD" w:rsidRDefault="00983BCD" w:rsidP="00983BCD">
      <w:pPr>
        <w:ind w:firstLine="360"/>
      </w:pPr>
    </w:p>
    <w:p w14:paraId="2B043951" w14:textId="5777F055" w:rsidR="00376B29" w:rsidRPr="00D825AE" w:rsidRDefault="00F23F88" w:rsidP="00983BCD">
      <w:pPr>
        <w:ind w:firstLine="360"/>
      </w:pPr>
      <w:r>
        <w:t>T</w:t>
      </w:r>
      <w:r w:rsidR="00983BCD">
        <w:t>he two processing parameters</w:t>
      </w:r>
      <w:r>
        <w:t>,</w:t>
      </w:r>
      <w:r w:rsidR="00983BCD">
        <w:t xml:space="preserve"> prepreg humidity exposure and fabrication pressure</w:t>
      </w:r>
      <w:r>
        <w:t>,</w:t>
      </w:r>
      <w:r w:rsidR="00983BCD">
        <w:t xml:space="preserve"> can influence the fiber volume fraction, void volume fraction, laminate flexural stiffness and laminate flexural strength in unique and complex ways.  </w:t>
      </w:r>
      <w:r w:rsidR="00F92CB8">
        <w:t>A common method to analyze the coupled contributions of two parameter</w:t>
      </w:r>
      <w:r>
        <w:t>s is by using property function equations</w:t>
      </w:r>
      <w:r w:rsidR="00F92CB8">
        <w:t xml:space="preserve"> illustrated by contour plots.  Then, unique behaviors such as local minimums or maximums, and sensitivities can be properly accounted for and documented. </w:t>
      </w:r>
      <w:r w:rsidR="002E4F82">
        <w:t xml:space="preserve"> </w:t>
      </w:r>
      <w:r w:rsidR="00983BCD">
        <w:t xml:space="preserve">The remainder of this Chapter will introduce the </w:t>
      </w:r>
      <w:r>
        <w:t>property function equations</w:t>
      </w:r>
      <w:r w:rsidR="002E4F82">
        <w:t xml:space="preserve"> selected to characterize each dependent variable and the associated contour plot analysis.</w:t>
      </w:r>
    </w:p>
    <w:p w14:paraId="5C179A36" w14:textId="6DB1B5F8" w:rsidR="00376B29" w:rsidRDefault="002E4F82" w:rsidP="00376B29">
      <w:pPr>
        <w:pStyle w:val="Heading2"/>
      </w:pPr>
      <w:bookmarkStart w:id="178" w:name="_Toc346310995"/>
      <w:r>
        <w:t xml:space="preserve">Literature Review of Modeling Techniques for </w:t>
      </w:r>
      <w:r w:rsidR="00376B29">
        <w:t xml:space="preserve">Contour Plot </w:t>
      </w:r>
      <w:r>
        <w:t>Analysis</w:t>
      </w:r>
      <w:bookmarkEnd w:id="178"/>
    </w:p>
    <w:p w14:paraId="3652F859" w14:textId="06C425ED" w:rsidR="009E4A25" w:rsidRDefault="00376B29" w:rsidP="00376B29">
      <w:pPr>
        <w:ind w:firstLine="360"/>
      </w:pPr>
      <w:r w:rsidRPr="00376B29">
        <w:t>Surface model formation and analysis of two independent variables on the investigated phenomenon is commonly used in a variety of applications and research fields.  Shen et al.</w:t>
      </w:r>
      <w:r w:rsidR="00D37BB4">
        <w:t xml:space="preserve"> [41]</w:t>
      </w:r>
      <w:r w:rsidRPr="00376B29">
        <w:t xml:space="preserve"> used multi-variant surface analysis in biomedical applications to investigate protein absorption.  Kumar and Reddy</w:t>
      </w:r>
      <w:r w:rsidR="00D37BB4">
        <w:t xml:space="preserve"> [42]</w:t>
      </w:r>
      <w:r w:rsidRPr="00376B29">
        <w:t xml:space="preserve"> investigated the performance of polymer electrolyte membrane fuel cells using surface models with independent </w:t>
      </w:r>
      <w:r w:rsidRPr="00376B29">
        <w:lastRenderedPageBreak/>
        <w:t>variables of channel dimensions and shapes.  Surface models were generated to locate the optimum efficiency values from a 6x6 grid of channel width and depth values.  Campanelli et al.</w:t>
      </w:r>
      <w:r w:rsidR="00D37BB4">
        <w:t xml:space="preserve"> [43]</w:t>
      </w:r>
      <w:r w:rsidRPr="00376B29">
        <w:t xml:space="preserve"> studied the effect of various machining parameters (laser power, frequency, scanning speed, etc.) on the surface roughness of aluminum-magnesium alloys machined by laser milling.  Contour plots of surface models were useful in illustrating trends and effects due to varying frequency and machining overlap.  Yong and Hahn</w:t>
      </w:r>
      <w:r w:rsidR="00D37BB4">
        <w:t xml:space="preserve"> [44]</w:t>
      </w:r>
      <w:r w:rsidRPr="00376B29">
        <w:t xml:space="preserve"> investigated the effect of temperature and humidity on the moisture absorption characteristics of two glass/epoxy laminate systems.  Nine unique combinations of temperature (30 to 90°C) and relative humidity level (30 to 90%) were used to generate up to a 2</w:t>
      </w:r>
      <w:r w:rsidRPr="00376B29">
        <w:rPr>
          <w:vertAlign w:val="superscript"/>
        </w:rPr>
        <w:t>nd</w:t>
      </w:r>
      <w:r w:rsidRPr="00376B29">
        <w:t xml:space="preserve"> order polynomial function of the experimental data to examine the trends and characteristics of moisture absorption.  </w:t>
      </w:r>
    </w:p>
    <w:p w14:paraId="1083F5E4" w14:textId="2F4BDDCC" w:rsidR="00376B29" w:rsidRDefault="009E4A25" w:rsidP="00376B29">
      <w:pPr>
        <w:ind w:firstLine="360"/>
      </w:pPr>
      <w:r>
        <w:t xml:space="preserve">Therefore, contour plots have been successfully used for a variety of research fields and topics to illustrate the coupled contribution of two parameters on the property of interest.  </w:t>
      </w:r>
      <w:r w:rsidR="00376B29" w:rsidRPr="00376B29">
        <w:t xml:space="preserve">A similar procedure will be </w:t>
      </w:r>
      <w:r>
        <w:t>used to examine</w:t>
      </w:r>
      <w:r w:rsidR="00376B29" w:rsidRPr="00376B29">
        <w:t xml:space="preserve"> the </w:t>
      </w:r>
      <w:r>
        <w:t xml:space="preserve">coupled </w:t>
      </w:r>
      <w:r w:rsidR="00376B29" w:rsidRPr="00376B29">
        <w:t xml:space="preserve">effect of prepreg humidity </w:t>
      </w:r>
      <w:r>
        <w:t>conditioning</w:t>
      </w:r>
      <w:r w:rsidR="00376B29" w:rsidRPr="00376B29">
        <w:t xml:space="preserve"> and fabrication pressure on the</w:t>
      </w:r>
      <w:r>
        <w:t xml:space="preserve"> following laminate properties:</w:t>
      </w:r>
      <w:r w:rsidR="00376B29" w:rsidRPr="00376B29">
        <w:t xml:space="preserve"> </w:t>
      </w:r>
      <w:r>
        <w:t xml:space="preserve"> i) </w:t>
      </w:r>
      <w:r w:rsidR="00376B29" w:rsidRPr="00376B29">
        <w:t xml:space="preserve">fiber volume </w:t>
      </w:r>
      <w:r w:rsidR="00CF043E">
        <w:t xml:space="preserve">fraction, </w:t>
      </w:r>
      <w:r>
        <w:t xml:space="preserve">ii) </w:t>
      </w:r>
      <w:r w:rsidR="00CF043E">
        <w:t>void</w:t>
      </w:r>
      <w:r>
        <w:t xml:space="preserve"> volume</w:t>
      </w:r>
      <w:r w:rsidR="00CF043E">
        <w:t xml:space="preserve"> fraction, </w:t>
      </w:r>
      <w:r>
        <w:t xml:space="preserve">iii) </w:t>
      </w:r>
      <w:r w:rsidR="00CF043E">
        <w:t>flexural stiffness, and</w:t>
      </w:r>
      <w:r>
        <w:t xml:space="preserve"> iv)</w:t>
      </w:r>
      <w:r w:rsidR="00CF043E">
        <w:t xml:space="preserve"> flexural</w:t>
      </w:r>
      <w:r w:rsidR="00376B29" w:rsidRPr="00376B29">
        <w:t xml:space="preserve"> strength.</w:t>
      </w:r>
    </w:p>
    <w:p w14:paraId="317CF15D" w14:textId="00945D11" w:rsidR="00376B29" w:rsidRDefault="00376B29" w:rsidP="00376B29">
      <w:pPr>
        <w:pStyle w:val="Heading2"/>
      </w:pPr>
      <w:bookmarkStart w:id="179" w:name="_Toc346310996"/>
      <w:r>
        <w:t xml:space="preserve">Formation of </w:t>
      </w:r>
      <w:r w:rsidR="00F23F88">
        <w:t>Property Function Equations</w:t>
      </w:r>
      <w:r w:rsidR="009E4A25">
        <w:t xml:space="preserve"> to Generate </w:t>
      </w:r>
      <w:r>
        <w:t>Contour Plot</w:t>
      </w:r>
      <w:r w:rsidR="009E4A25">
        <w:t>s</w:t>
      </w:r>
      <w:bookmarkEnd w:id="179"/>
    </w:p>
    <w:p w14:paraId="214445D8" w14:textId="308A8C89" w:rsidR="00CF5519" w:rsidRDefault="00376B29" w:rsidP="00CF5519">
      <w:pPr>
        <w:ind w:firstLine="360"/>
      </w:pPr>
      <w:r w:rsidRPr="00376B29">
        <w:t xml:space="preserve">In order to explore the synergistic effect of prepreg relative humidity conditioning level and fabrication pressure on the laminate microstructure and flexural properties, functional </w:t>
      </w:r>
      <w:r w:rsidR="00F23F88">
        <w:t>equations</w:t>
      </w:r>
      <w:r w:rsidRPr="00376B29">
        <w:t xml:space="preserve"> were identified to illustrate variations of dependent variables via two-dimensional contour plots.  Using these plots, the dependence as well as the </w:t>
      </w:r>
      <w:r w:rsidRPr="00376B29">
        <w:lastRenderedPageBreak/>
        <w:t xml:space="preserve">sensitivity of fiber volume fraction, void </w:t>
      </w:r>
      <w:r w:rsidR="000B0ED8">
        <w:t xml:space="preserve">volume </w:t>
      </w:r>
      <w:r w:rsidRPr="00376B29">
        <w:t xml:space="preserve">fraction, flexural stiffness and </w:t>
      </w:r>
      <w:r w:rsidR="00CF043E">
        <w:t xml:space="preserve">flexural </w:t>
      </w:r>
      <w:r w:rsidRPr="00376B29">
        <w:t xml:space="preserve">strength </w:t>
      </w:r>
      <w:r w:rsidR="00FF3C75">
        <w:t xml:space="preserve">due to </w:t>
      </w:r>
      <w:r w:rsidRPr="00376B29">
        <w:t xml:space="preserve">prepreg humidity </w:t>
      </w:r>
      <w:r w:rsidR="00F23F88">
        <w:t>exposure</w:t>
      </w:r>
      <w:r w:rsidRPr="00376B29">
        <w:t xml:space="preserve"> and fabrication pressure can be better visualized.  Furthermore, the possibility of the presence of local maximum or minimum property values can be better ascertained.  For each contour plot, up to a 2</w:t>
      </w:r>
      <w:r w:rsidRPr="00376B29">
        <w:rPr>
          <w:vertAlign w:val="superscript"/>
        </w:rPr>
        <w:t>nd</w:t>
      </w:r>
      <w:r w:rsidRPr="00376B29">
        <w:t>-order polynomial bivariate model was considered</w:t>
      </w:r>
      <w:r w:rsidR="00FF3C75">
        <w:t xml:space="preserve">.  Considering </w:t>
      </w:r>
      <w:r w:rsidR="00E90BE0">
        <w:t xml:space="preserve">the identified trends in Chapters </w:t>
      </w:r>
      <w:r w:rsidR="00E90BE0">
        <w:fldChar w:fldCharType="begin"/>
      </w:r>
      <w:r w:rsidR="00E90BE0">
        <w:instrText xml:space="preserve"> REF _Ref464562188 \r \h </w:instrText>
      </w:r>
      <w:r w:rsidR="00E90BE0">
        <w:fldChar w:fldCharType="separate"/>
      </w:r>
      <w:r w:rsidR="008A1992">
        <w:t>2</w:t>
      </w:r>
      <w:r w:rsidR="00E90BE0">
        <w:fldChar w:fldCharType="end"/>
      </w:r>
      <w:r w:rsidR="00E90BE0">
        <w:t xml:space="preserve"> and </w:t>
      </w:r>
      <w:r w:rsidR="00E90BE0">
        <w:fldChar w:fldCharType="begin"/>
      </w:r>
      <w:r w:rsidR="00E90BE0">
        <w:instrText xml:space="preserve"> REF _Ref464564658 \r \h </w:instrText>
      </w:r>
      <w:r w:rsidR="00E90BE0">
        <w:fldChar w:fldCharType="separate"/>
      </w:r>
      <w:r w:rsidR="008A1992">
        <w:t>3</w:t>
      </w:r>
      <w:r w:rsidR="00E90BE0">
        <w:fldChar w:fldCharType="end"/>
      </w:r>
      <w:r w:rsidR="00E90BE0">
        <w:t>, e</w:t>
      </w:r>
      <w:r w:rsidR="00FF3C75">
        <w:t>ach property function</w:t>
      </w:r>
      <w:r w:rsidR="00F23F88">
        <w:t xml:space="preserve"> equation</w:t>
      </w:r>
      <w:r w:rsidR="00FF3C75">
        <w:t xml:space="preserve"> was developed</w:t>
      </w:r>
      <w:r w:rsidRPr="00376B29">
        <w:t xml:space="preserve"> to provide the most accurate </w:t>
      </w:r>
      <w:r w:rsidR="00FF3C75">
        <w:t>assessment</w:t>
      </w:r>
      <w:r w:rsidRPr="00376B29">
        <w:t xml:space="preserve"> of the experimental data withou</w:t>
      </w:r>
      <w:r w:rsidR="00FF3C75">
        <w:t>t over-constraining the solution</w:t>
      </w:r>
      <w:r w:rsidRPr="00376B29">
        <w:t xml:space="preserve">. </w:t>
      </w:r>
      <w:r w:rsidR="00CF043E">
        <w:t xml:space="preserve"> </w:t>
      </w:r>
      <w:r w:rsidR="00E90BE0">
        <w:t>Additionally, each property function</w:t>
      </w:r>
      <w:r w:rsidR="00F23F88">
        <w:t xml:space="preserve"> equation</w:t>
      </w:r>
      <w:r w:rsidR="00E90BE0">
        <w:t xml:space="preserve"> was </w:t>
      </w:r>
      <w:r w:rsidRPr="00376B29">
        <w:t>normalized with respect to the maximum observed value</w:t>
      </w:r>
      <w:r w:rsidR="00E90BE0">
        <w:t xml:space="preserve">.  </w:t>
      </w:r>
      <w:r w:rsidR="00384B0F">
        <w:t xml:space="preserve">For example, if the maximum stiffness was 25.0 GPa for a prepreg material, that data point was assigned a normalized stiffness of 1.0.  Meanwhile, if the stiffness for a different conditioning and fabrication treatment for the same prepreg material </w:t>
      </w:r>
      <w:r w:rsidR="000B0ED8">
        <w:t>were</w:t>
      </w:r>
      <w:r w:rsidR="00384B0F">
        <w:t xml:space="preserve"> 20.0 GPa, that data point would be assigned a normalized stiffness of 0.8.  </w:t>
      </w:r>
      <w:r w:rsidR="003D63B8">
        <w:t>N</w:t>
      </w:r>
      <w:r w:rsidR="00E90BE0">
        <w:t xml:space="preserve">ormalization </w:t>
      </w:r>
      <w:r w:rsidR="003D63B8">
        <w:t xml:space="preserve">eases </w:t>
      </w:r>
      <w:r w:rsidR="00E90BE0">
        <w:t>identification of</w:t>
      </w:r>
      <w:r w:rsidRPr="00376B29">
        <w:t xml:space="preserve"> similar process-induced </w:t>
      </w:r>
      <w:r w:rsidR="00CF043E">
        <w:t xml:space="preserve">property trends </w:t>
      </w:r>
      <w:r w:rsidR="00E90BE0">
        <w:t>between</w:t>
      </w:r>
      <w:r w:rsidR="00CF043E">
        <w:t xml:space="preserve"> the three-</w:t>
      </w:r>
      <w:r w:rsidRPr="00376B29">
        <w:t>prepreg materials.</w:t>
      </w:r>
      <w:r w:rsidR="00E432DE">
        <w:t xml:space="preserve">  A distinctive color bar scale was utilized to compare the extent of change among the property functions</w:t>
      </w:r>
      <w:r w:rsidR="00E36655">
        <w:t>.</w:t>
      </w:r>
    </w:p>
    <w:p w14:paraId="0E9652E9" w14:textId="77777777" w:rsidR="008F1E9F" w:rsidRDefault="008F1E9F" w:rsidP="00CF5519">
      <w:pPr>
        <w:ind w:firstLine="360"/>
      </w:pPr>
    </w:p>
    <w:p w14:paraId="48155629" w14:textId="77777777" w:rsidR="008F1E9F" w:rsidRDefault="00D12727" w:rsidP="008F1E9F">
      <w:pPr>
        <w:keepNext/>
      </w:pPr>
      <w:r>
        <w:rPr>
          <w:noProof/>
        </w:rPr>
        <w:drawing>
          <wp:inline distT="0" distB="0" distL="0" distR="0" wp14:anchorId="5DF466CB" wp14:editId="7CE6E4AC">
            <wp:extent cx="5394960" cy="979170"/>
            <wp:effectExtent l="0" t="0" r="0" b="1143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jpg"/>
                    <pic:cNvPicPr/>
                  </pic:nvPicPr>
                  <pic:blipFill>
                    <a:blip r:embed="rId94">
                      <a:extLst>
                        <a:ext uri="{28A0092B-C50C-407E-A947-70E740481C1C}">
                          <a14:useLocalDpi xmlns:a14="http://schemas.microsoft.com/office/drawing/2010/main" val="0"/>
                        </a:ext>
                      </a:extLst>
                    </a:blip>
                    <a:stretch>
                      <a:fillRect/>
                    </a:stretch>
                  </pic:blipFill>
                  <pic:spPr>
                    <a:xfrm>
                      <a:off x="0" y="0"/>
                      <a:ext cx="5394960" cy="979170"/>
                    </a:xfrm>
                    <a:prstGeom prst="rect">
                      <a:avLst/>
                    </a:prstGeom>
                  </pic:spPr>
                </pic:pic>
              </a:graphicData>
            </a:graphic>
          </wp:inline>
        </w:drawing>
      </w:r>
    </w:p>
    <w:p w14:paraId="4DFD6110" w14:textId="328F5CAF" w:rsidR="00E36655" w:rsidRDefault="008F1E9F" w:rsidP="008F1E9F">
      <w:pPr>
        <w:pStyle w:val="Caption"/>
        <w:spacing w:line="240" w:lineRule="auto"/>
        <w:jc w:val="center"/>
        <w:rPr>
          <w:sz w:val="24"/>
          <w:szCs w:val="24"/>
        </w:rPr>
      </w:pPr>
      <w:bookmarkStart w:id="180" w:name="_Toc346310435"/>
      <w:proofErr w:type="gramStart"/>
      <w:r w:rsidRPr="008F1E9F">
        <w:rPr>
          <w:sz w:val="24"/>
          <w:szCs w:val="24"/>
        </w:rPr>
        <w:t xml:space="preserve">Figure </w:t>
      </w:r>
      <w:r w:rsidR="00C16D85">
        <w:rPr>
          <w:sz w:val="24"/>
          <w:szCs w:val="24"/>
        </w:rPr>
        <w:fldChar w:fldCharType="begin"/>
      </w:r>
      <w:r w:rsidR="00C16D85">
        <w:rPr>
          <w:sz w:val="24"/>
          <w:szCs w:val="24"/>
        </w:rPr>
        <w:instrText xml:space="preserve"> STYLEREF 1 \s </w:instrText>
      </w:r>
      <w:r w:rsidR="00C16D85">
        <w:rPr>
          <w:sz w:val="24"/>
          <w:szCs w:val="24"/>
        </w:rPr>
        <w:fldChar w:fldCharType="separate"/>
      </w:r>
      <w:r w:rsidR="008A1992">
        <w:rPr>
          <w:noProof/>
          <w:sz w:val="24"/>
          <w:szCs w:val="24"/>
        </w:rPr>
        <w:t>4</w:t>
      </w:r>
      <w:r w:rsidR="00C16D85">
        <w:rPr>
          <w:sz w:val="24"/>
          <w:szCs w:val="24"/>
        </w:rPr>
        <w:fldChar w:fldCharType="end"/>
      </w:r>
      <w:r w:rsidR="00C16D85">
        <w:rPr>
          <w:sz w:val="24"/>
          <w:szCs w:val="24"/>
        </w:rPr>
        <w:t>.</w:t>
      </w:r>
      <w:proofErr w:type="gramEnd"/>
      <w:r w:rsidR="00C16D85">
        <w:rPr>
          <w:sz w:val="24"/>
          <w:szCs w:val="24"/>
        </w:rPr>
        <w:fldChar w:fldCharType="begin"/>
      </w:r>
      <w:r w:rsidR="00C16D85">
        <w:rPr>
          <w:sz w:val="24"/>
          <w:szCs w:val="24"/>
        </w:rPr>
        <w:instrText xml:space="preserve"> SEQ Figure \* ARABIC \s 1 </w:instrText>
      </w:r>
      <w:r w:rsidR="00C16D85">
        <w:rPr>
          <w:sz w:val="24"/>
          <w:szCs w:val="24"/>
        </w:rPr>
        <w:fldChar w:fldCharType="separate"/>
      </w:r>
      <w:r w:rsidR="008A1992">
        <w:rPr>
          <w:noProof/>
          <w:sz w:val="24"/>
          <w:szCs w:val="24"/>
        </w:rPr>
        <w:t>1</w:t>
      </w:r>
      <w:r w:rsidR="00C16D85">
        <w:rPr>
          <w:sz w:val="24"/>
          <w:szCs w:val="24"/>
        </w:rPr>
        <w:fldChar w:fldCharType="end"/>
      </w:r>
      <w:r w:rsidRPr="008F1E9F">
        <w:rPr>
          <w:sz w:val="24"/>
          <w:szCs w:val="24"/>
        </w:rPr>
        <w:t xml:space="preserve"> Colorbar scale used for contour plots of normalized property function values</w:t>
      </w:r>
      <w:bookmarkEnd w:id="180"/>
    </w:p>
    <w:p w14:paraId="37F766B3" w14:textId="77777777" w:rsidR="008F1E9F" w:rsidRPr="008F1E9F" w:rsidRDefault="008F1E9F" w:rsidP="008F1E9F"/>
    <w:p w14:paraId="7B3A9199" w14:textId="23D3321D" w:rsidR="00146DBC" w:rsidRDefault="00CF5519" w:rsidP="003F5EEB">
      <w:pPr>
        <w:pStyle w:val="Heading2"/>
      </w:pPr>
      <w:bookmarkStart w:id="181" w:name="_Toc346310997"/>
      <w:bookmarkStart w:id="182" w:name="_Ref340833502"/>
      <w:r>
        <w:lastRenderedPageBreak/>
        <w:t xml:space="preserve">Identification of </w:t>
      </w:r>
      <w:r w:rsidR="00384B0F">
        <w:t xml:space="preserve">Property </w:t>
      </w:r>
      <w:r>
        <w:t xml:space="preserve">Functional </w:t>
      </w:r>
      <w:r w:rsidR="00384B0F">
        <w:t>Equations</w:t>
      </w:r>
      <w:r>
        <w:t xml:space="preserve"> for Normalized </w:t>
      </w:r>
      <w:r w:rsidR="00146DBC">
        <w:t>Laminate Properties</w:t>
      </w:r>
      <w:bookmarkEnd w:id="181"/>
    </w:p>
    <w:p w14:paraId="533826C4" w14:textId="4C4B6AC8" w:rsidR="00CF5519" w:rsidRDefault="003D0E15" w:rsidP="00146DBC">
      <w:pPr>
        <w:pStyle w:val="Heading3"/>
      </w:pPr>
      <w:bookmarkStart w:id="183" w:name="_Ref343860334"/>
      <w:bookmarkStart w:id="184" w:name="_Ref344128050"/>
      <w:bookmarkStart w:id="185" w:name="_Toc346310998"/>
      <w:r>
        <w:t xml:space="preserve">Contour Plots for </w:t>
      </w:r>
      <w:r w:rsidR="00146DBC">
        <w:t xml:space="preserve">Normalized </w:t>
      </w:r>
      <w:r w:rsidR="00CF5519">
        <w:t>Fiber Volume Fractio</w:t>
      </w:r>
      <w:bookmarkEnd w:id="182"/>
      <w:bookmarkEnd w:id="183"/>
      <w:r>
        <w:t>n</w:t>
      </w:r>
      <w:bookmarkEnd w:id="184"/>
      <w:bookmarkEnd w:id="185"/>
    </w:p>
    <w:p w14:paraId="2C3408FE" w14:textId="40564ED1" w:rsidR="00CF5519" w:rsidRDefault="00384B0F" w:rsidP="00CF5519">
      <w:pPr>
        <w:ind w:firstLine="360"/>
      </w:pPr>
      <w:r>
        <w:t>The property function equation</w:t>
      </w:r>
      <w:r w:rsidR="003D63B8">
        <w:t xml:space="preserve"> for normalized fiber volume fraction was developed based on the trends</w:t>
      </w:r>
      <w:r w:rsidR="0042659D">
        <w:t xml:space="preserve"> associated with changing prepreg humidity exposure and fabrication pressure, which was introduced</w:t>
      </w:r>
      <w:r w:rsidR="003D63B8">
        <w:t xml:space="preserve"> in Section</w:t>
      </w:r>
      <w:r w:rsidR="0042659D">
        <w:t>s</w:t>
      </w:r>
      <w:r w:rsidR="003D63B8">
        <w:t xml:space="preserve"> </w:t>
      </w:r>
      <w:r w:rsidR="0042659D">
        <w:fldChar w:fldCharType="begin"/>
      </w:r>
      <w:r w:rsidR="0042659D">
        <w:instrText xml:space="preserve"> REF _Ref344120731 \r \h </w:instrText>
      </w:r>
      <w:r w:rsidR="0042659D">
        <w:fldChar w:fldCharType="separate"/>
      </w:r>
      <w:r w:rsidR="008A1992">
        <w:t>2.5.5</w:t>
      </w:r>
      <w:r w:rsidR="0042659D">
        <w:fldChar w:fldCharType="end"/>
      </w:r>
      <w:r w:rsidR="0042659D">
        <w:t xml:space="preserve"> and </w:t>
      </w:r>
      <w:r w:rsidR="0042659D">
        <w:fldChar w:fldCharType="begin"/>
      </w:r>
      <w:r w:rsidR="0042659D">
        <w:instrText xml:space="preserve"> REF _Ref344120734 \r \h </w:instrText>
      </w:r>
      <w:r w:rsidR="0042659D">
        <w:fldChar w:fldCharType="separate"/>
      </w:r>
      <w:r w:rsidR="008A1992">
        <w:t>2.5.6</w:t>
      </w:r>
      <w:r w:rsidR="0042659D">
        <w:fldChar w:fldCharType="end"/>
      </w:r>
      <w:r w:rsidR="0042659D">
        <w:t xml:space="preserve">.  A </w:t>
      </w:r>
      <w:r w:rsidR="003D63B8">
        <w:t xml:space="preserve">functional equation </w:t>
      </w:r>
      <w:r w:rsidR="0042659D">
        <w:t xml:space="preserve">that considers </w:t>
      </w:r>
      <w:r w:rsidR="0042659D" w:rsidRPr="00DA3202">
        <w:t>a linear contribution</w:t>
      </w:r>
      <w:r w:rsidR="0042659D">
        <w:t xml:space="preserve"> for prepreg humidity exposure and a</w:t>
      </w:r>
      <w:r w:rsidR="00DA3202">
        <w:t xml:space="preserve"> power function</w:t>
      </w:r>
      <w:r w:rsidR="0042659D">
        <w:t xml:space="preserve"> contribution for fabrication pressure was selected as the most accurate representation of the dependent variable, normalized fiber volume fraction.  Therefore, t</w:t>
      </w:r>
      <w:r w:rsidR="00CF5519">
        <w:t>he functional equation for normalized fiber volume fraction (</w:t>
      </w:r>
      <w:r w:rsidR="00CF5519" w:rsidRPr="00CF043E">
        <w:t>φ</w:t>
      </w:r>
      <w:r w:rsidR="00CF5519" w:rsidRPr="007A6E42">
        <w:rPr>
          <w:vertAlign w:val="subscript"/>
        </w:rPr>
        <w:t>NF</w:t>
      </w:r>
      <w:r w:rsidR="00DB7C42">
        <w:t>) wa</w:t>
      </w:r>
      <w:r w:rsidR="00CF5519">
        <w:t>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gridCol w:w="630"/>
      </w:tblGrid>
      <w:tr w:rsidR="00CF5519" w14:paraId="00831C17" w14:textId="77777777" w:rsidTr="00394520">
        <w:tc>
          <w:tcPr>
            <w:tcW w:w="7920" w:type="dxa"/>
            <w:shd w:val="clear" w:color="auto" w:fill="auto"/>
            <w:vAlign w:val="center"/>
          </w:tcPr>
          <w:p w14:paraId="6349BF4E" w14:textId="10676690" w:rsidR="00CF5519" w:rsidRDefault="007F38FB" w:rsidP="00DA3202">
            <w:pPr>
              <w:jc w:val="center"/>
            </w:pPr>
            <m:oMathPara>
              <m:oMath>
                <m:sSub>
                  <m:sSubPr>
                    <m:ctrlPr>
                      <w:rPr>
                        <w:rFonts w:ascii="Cambria Math" w:hAnsi="Cambria Math"/>
                        <w:i/>
                      </w:rPr>
                    </m:ctrlPr>
                  </m:sSubPr>
                  <m:e>
                    <m:r>
                      <w:rPr>
                        <w:rFonts w:ascii="Cambria Math" w:hAnsi="Cambria Math"/>
                      </w:rPr>
                      <m:t>φ</m:t>
                    </m:r>
                  </m:e>
                  <m:sub>
                    <m:r>
                      <w:rPr>
                        <w:rFonts w:ascii="Cambria Math" w:hAnsi="Cambria Math"/>
                      </w:rPr>
                      <m:t>NF</m:t>
                    </m:r>
                  </m:sub>
                </m:sSub>
                <m:r>
                  <w:rPr>
                    <w:rFonts w:ascii="Cambria Math" w:hAnsi="Cambria Math"/>
                  </w:rPr>
                  <m:t>=C+</m:t>
                </m:r>
                <m:sSub>
                  <m:sSubPr>
                    <m:ctrlPr>
                      <w:rPr>
                        <w:rFonts w:ascii="Cambria Math" w:hAnsi="Cambria Math"/>
                        <w:i/>
                      </w:rPr>
                    </m:ctrlPr>
                  </m:sSubPr>
                  <m:e>
                    <m:r>
                      <w:rPr>
                        <w:rFonts w:ascii="Cambria Math" w:hAnsi="Cambria Math"/>
                      </w:rPr>
                      <m:t>C</m:t>
                    </m:r>
                  </m:e>
                  <m:sub>
                    <m:r>
                      <w:rPr>
                        <w:rFonts w:ascii="Cambria Math" w:hAnsi="Cambria Math"/>
                      </w:rPr>
                      <m:t>10</m:t>
                    </m:r>
                  </m:sub>
                </m:sSub>
                <m:sSup>
                  <m:sSupPr>
                    <m:ctrlPr>
                      <w:rPr>
                        <w:rFonts w:ascii="Cambria Math" w:hAnsi="Cambria Math"/>
                        <w:i/>
                      </w:rPr>
                    </m:ctrlPr>
                  </m:sSupPr>
                  <m:e>
                    <m:r>
                      <w:rPr>
                        <w:rFonts w:ascii="Cambria Math" w:hAnsi="Cambria Math"/>
                      </w:rPr>
                      <m:t>x</m:t>
                    </m:r>
                  </m:e>
                  <m:sup>
                    <m:r>
                      <w:rPr>
                        <w:rFonts w:ascii="Cambria Math" w:hAnsi="Cambria Math"/>
                      </w:rPr>
                      <m:t>A</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11</m:t>
                    </m:r>
                  </m:sub>
                </m:sSub>
                <m:r>
                  <w:rPr>
                    <w:rFonts w:ascii="Cambria Math" w:hAnsi="Cambria Math"/>
                  </w:rPr>
                  <m:t>xy+</m:t>
                </m:r>
                <m:sSub>
                  <m:sSubPr>
                    <m:ctrlPr>
                      <w:rPr>
                        <w:rFonts w:ascii="Cambria Math" w:hAnsi="Cambria Math"/>
                        <w:i/>
                      </w:rPr>
                    </m:ctrlPr>
                  </m:sSubPr>
                  <m:e>
                    <m:r>
                      <w:rPr>
                        <w:rFonts w:ascii="Cambria Math" w:hAnsi="Cambria Math"/>
                      </w:rPr>
                      <m:t>C</m:t>
                    </m:r>
                  </m:e>
                  <m:sub>
                    <m:r>
                      <w:rPr>
                        <w:rFonts w:ascii="Cambria Math" w:hAnsi="Cambria Math"/>
                      </w:rPr>
                      <m:t>01</m:t>
                    </m:r>
                  </m:sub>
                </m:sSub>
                <m:r>
                  <w:rPr>
                    <w:rFonts w:ascii="Cambria Math" w:hAnsi="Cambria Math"/>
                  </w:rPr>
                  <m:t>y</m:t>
                </m:r>
              </m:oMath>
            </m:oMathPara>
          </w:p>
        </w:tc>
        <w:tc>
          <w:tcPr>
            <w:tcW w:w="630" w:type="dxa"/>
            <w:shd w:val="clear" w:color="auto" w:fill="auto"/>
            <w:vAlign w:val="center"/>
          </w:tcPr>
          <w:p w14:paraId="1F3CF4AC" w14:textId="3B3EBCC4" w:rsidR="00CF5519" w:rsidRDefault="00CF5519" w:rsidP="003D0E15">
            <w:pPr>
              <w:jc w:val="right"/>
            </w:pPr>
            <w:r>
              <w:t>(</w:t>
            </w:r>
            <w:r w:rsidR="00DF687B">
              <w:t>5</w:t>
            </w:r>
            <w:r>
              <w:t>)</w:t>
            </w:r>
          </w:p>
        </w:tc>
      </w:tr>
    </w:tbl>
    <w:p w14:paraId="6D8F59C1" w14:textId="2A6485F1" w:rsidR="00CF5519" w:rsidRDefault="00CF5519" w:rsidP="00CF5519">
      <w:proofErr w:type="gramStart"/>
      <w:r>
        <w:t>where</w:t>
      </w:r>
      <w:proofErr w:type="gramEnd"/>
      <w:r>
        <w:t xml:space="preserve"> </w:t>
      </w:r>
      <w:r>
        <w:rPr>
          <w:i/>
        </w:rPr>
        <w:t>x</w:t>
      </w:r>
      <w:r>
        <w:t xml:space="preserve"> is the fabrication pressure in kPa, </w:t>
      </w:r>
      <w:r>
        <w:rPr>
          <w:i/>
        </w:rPr>
        <w:t>y</w:t>
      </w:r>
      <w:r>
        <w:t xml:space="preserve"> is the prepreg relative humidity conditioning level in % RH, and </w:t>
      </w:r>
      <w:r w:rsidR="000B0ED8">
        <w:rPr>
          <w:i/>
        </w:rPr>
        <w:t>A and</w:t>
      </w:r>
      <w:r w:rsidR="00DA3202">
        <w:rPr>
          <w:i/>
        </w:rPr>
        <w:t xml:space="preserve"> </w:t>
      </w:r>
      <w:r>
        <w:rPr>
          <w:i/>
        </w:rPr>
        <w:t xml:space="preserve">C’s </w:t>
      </w:r>
      <w:r>
        <w:t>are parameter constants.</w:t>
      </w:r>
    </w:p>
    <w:p w14:paraId="31DBE929" w14:textId="76CD429D" w:rsidR="006C5DA6" w:rsidRDefault="00CF5519" w:rsidP="00CF5519">
      <w:pPr>
        <w:ind w:firstLine="360"/>
      </w:pPr>
      <w:r>
        <w:t>Contour plots of n</w:t>
      </w:r>
      <w:r w:rsidR="00207253">
        <w:t xml:space="preserve">ormalized fiber volume fraction </w:t>
      </w:r>
      <w:r>
        <w:t xml:space="preserve">are shown in </w:t>
      </w:r>
      <w:r w:rsidR="00146DBC">
        <w:fldChar w:fldCharType="begin"/>
      </w:r>
      <w:r w:rsidR="00146DBC">
        <w:instrText xml:space="preserve"> REF _Ref343759330 \h </w:instrText>
      </w:r>
      <w:r w:rsidR="00146DBC">
        <w:fldChar w:fldCharType="separate"/>
      </w:r>
      <w:r w:rsidR="008A1992" w:rsidRPr="0065705B">
        <w:t xml:space="preserve">Figure </w:t>
      </w:r>
      <w:r w:rsidR="008A1992">
        <w:rPr>
          <w:noProof/>
        </w:rPr>
        <w:t>4</w:t>
      </w:r>
      <w:r w:rsidR="008A1992">
        <w:t>.</w:t>
      </w:r>
      <w:r w:rsidR="008A1992">
        <w:rPr>
          <w:noProof/>
        </w:rPr>
        <w:t>2</w:t>
      </w:r>
      <w:r w:rsidR="00146DBC">
        <w:fldChar w:fldCharType="end"/>
      </w:r>
      <w:r>
        <w:t xml:space="preserve">a-c. </w:t>
      </w:r>
      <w:r w:rsidR="00146DBC">
        <w:t xml:space="preserve"> From </w:t>
      </w:r>
      <w:r w:rsidR="00146DBC">
        <w:fldChar w:fldCharType="begin"/>
      </w:r>
      <w:r w:rsidR="00146DBC">
        <w:instrText xml:space="preserve"> REF _Ref343759330 \h </w:instrText>
      </w:r>
      <w:r w:rsidR="00146DBC">
        <w:fldChar w:fldCharType="separate"/>
      </w:r>
      <w:r w:rsidR="008A1992" w:rsidRPr="0065705B">
        <w:t xml:space="preserve">Figure </w:t>
      </w:r>
      <w:r w:rsidR="008A1992">
        <w:rPr>
          <w:noProof/>
        </w:rPr>
        <w:t>4</w:t>
      </w:r>
      <w:r w:rsidR="008A1992">
        <w:t>.</w:t>
      </w:r>
      <w:r w:rsidR="008A1992">
        <w:rPr>
          <w:noProof/>
        </w:rPr>
        <w:t>2</w:t>
      </w:r>
      <w:r w:rsidR="00146DBC">
        <w:fldChar w:fldCharType="end"/>
      </w:r>
      <w:r w:rsidR="00146DBC">
        <w:t>, i</w:t>
      </w:r>
      <w:r>
        <w:t xml:space="preserve">t was observed that the fiber volume fraction was predominantly dependent on the fabrication pressure for all prepreg materials.  </w:t>
      </w:r>
      <w:r w:rsidR="00207253">
        <w:t xml:space="preserve">The near vertical contour lines in </w:t>
      </w:r>
      <w:r w:rsidR="00207253">
        <w:fldChar w:fldCharType="begin"/>
      </w:r>
      <w:r w:rsidR="00207253">
        <w:instrText xml:space="preserve"> REF _Ref343759330 \h </w:instrText>
      </w:r>
      <w:r w:rsidR="00207253">
        <w:fldChar w:fldCharType="separate"/>
      </w:r>
      <w:r w:rsidR="008A1992" w:rsidRPr="0065705B">
        <w:t xml:space="preserve">Figure </w:t>
      </w:r>
      <w:r w:rsidR="008A1992">
        <w:rPr>
          <w:noProof/>
        </w:rPr>
        <w:t>4</w:t>
      </w:r>
      <w:r w:rsidR="008A1992">
        <w:t>.</w:t>
      </w:r>
      <w:r w:rsidR="008A1992">
        <w:rPr>
          <w:noProof/>
        </w:rPr>
        <w:t>2</w:t>
      </w:r>
      <w:r w:rsidR="00207253">
        <w:fldChar w:fldCharType="end"/>
      </w:r>
      <w:proofErr w:type="gramStart"/>
      <w:r w:rsidR="00207253">
        <w:t>a</w:t>
      </w:r>
      <w:proofErr w:type="gramEnd"/>
      <w:r w:rsidR="00207253">
        <w:t xml:space="preserve"> indicated that prepreg humidity exposure had very little subsequent effect on the fiber volume fraction for quartz/epoxy laminates.  Meanwhile, humidity exposure for quartz/BMI (</w:t>
      </w:r>
      <w:r w:rsidR="00207253">
        <w:fldChar w:fldCharType="begin"/>
      </w:r>
      <w:r w:rsidR="00207253">
        <w:instrText xml:space="preserve"> REF _Ref343759330 \h </w:instrText>
      </w:r>
      <w:r w:rsidR="00207253">
        <w:fldChar w:fldCharType="separate"/>
      </w:r>
      <w:r w:rsidR="008A1992" w:rsidRPr="0065705B">
        <w:t xml:space="preserve">Figure </w:t>
      </w:r>
      <w:r w:rsidR="008A1992">
        <w:rPr>
          <w:noProof/>
        </w:rPr>
        <w:t>4</w:t>
      </w:r>
      <w:r w:rsidR="008A1992">
        <w:t>.</w:t>
      </w:r>
      <w:r w:rsidR="008A1992">
        <w:rPr>
          <w:noProof/>
        </w:rPr>
        <w:t>2</w:t>
      </w:r>
      <w:r w:rsidR="00207253">
        <w:fldChar w:fldCharType="end"/>
      </w:r>
      <w:r w:rsidR="00207253">
        <w:t>b) and carbon/epoxy (</w:t>
      </w:r>
      <w:r w:rsidR="00207253">
        <w:fldChar w:fldCharType="begin"/>
      </w:r>
      <w:r w:rsidR="00207253">
        <w:instrText xml:space="preserve"> REF _Ref343759330 \h </w:instrText>
      </w:r>
      <w:r w:rsidR="00207253">
        <w:fldChar w:fldCharType="separate"/>
      </w:r>
      <w:r w:rsidR="008A1992" w:rsidRPr="0065705B">
        <w:t xml:space="preserve">Figure </w:t>
      </w:r>
      <w:r w:rsidR="008A1992">
        <w:rPr>
          <w:noProof/>
        </w:rPr>
        <w:t>4</w:t>
      </w:r>
      <w:r w:rsidR="008A1992">
        <w:t>.</w:t>
      </w:r>
      <w:r w:rsidR="008A1992">
        <w:rPr>
          <w:noProof/>
        </w:rPr>
        <w:t>2</w:t>
      </w:r>
      <w:r w:rsidR="00207253">
        <w:fldChar w:fldCharType="end"/>
      </w:r>
      <w:r w:rsidR="00207253">
        <w:t xml:space="preserve">c) prepreg systems had some influence on the laminate fiber volume fraction, particularly when fabrication pressure was high.  BMI has been shown to absorb significantly more moisture than the epoxy resin, which may be contributing to the increased dependency on humidity exposure. </w:t>
      </w:r>
      <w:r w:rsidR="00D07354">
        <w:t xml:space="preserve"> However, the humidity dependency for carbon/epoxy prepregs </w:t>
      </w:r>
      <w:r w:rsidR="00D07354">
        <w:lastRenderedPageBreak/>
        <w:t xml:space="preserve">at high fabrication pressures is another issue.  Since the epoxy resin is identical to that used with quartz-reinforcement shown in </w:t>
      </w:r>
      <w:r w:rsidR="00D07354">
        <w:fldChar w:fldCharType="begin"/>
      </w:r>
      <w:r w:rsidR="00D07354">
        <w:instrText xml:space="preserve"> REF _Ref343759330 \h </w:instrText>
      </w:r>
      <w:r w:rsidR="00D07354">
        <w:fldChar w:fldCharType="separate"/>
      </w:r>
      <w:r w:rsidR="008A1992" w:rsidRPr="0065705B">
        <w:t xml:space="preserve">Figure </w:t>
      </w:r>
      <w:r w:rsidR="008A1992">
        <w:rPr>
          <w:noProof/>
        </w:rPr>
        <w:t>4</w:t>
      </w:r>
      <w:r w:rsidR="008A1992">
        <w:t>.</w:t>
      </w:r>
      <w:r w:rsidR="008A1992">
        <w:rPr>
          <w:noProof/>
        </w:rPr>
        <w:t>2</w:t>
      </w:r>
      <w:r w:rsidR="00D07354">
        <w:fldChar w:fldCharType="end"/>
      </w:r>
      <w:r w:rsidR="00D07354">
        <w:t xml:space="preserve">a, the slight dependency observed with carbon fiber-reinforcement must be due to unique interactions with the fabric material.  One possible reason is the weave structure of the two reinforcement materials.  The IM7 carbon fiber fabric is constructed in a plain weave style, whereas the AQIII quartz fabric is constructed in a 4-harness satin weave style. </w:t>
      </w:r>
      <w:r w:rsidR="006C5DA6">
        <w:t xml:space="preserve"> Multi-layer plain weave fabric layups</w:t>
      </w:r>
      <w:r w:rsidR="00D07354">
        <w:t xml:space="preserve"> can collapse more easily </w:t>
      </w:r>
      <w:r w:rsidR="006C5DA6">
        <w:t>at high cure pressures and can potentially extrude more resin during the fabrication process.  This may cause the variations in fiber volume fraction demonstrated at high cure pressures, and also explains the larger fiber volume fraction (66.1%) when compared to that with quartz fiber reinforcement (62.6%).  Each material demonstrated t</w:t>
      </w:r>
      <w:r>
        <w:t xml:space="preserve">he largest rate of increase in fiber volume fraction </w:t>
      </w:r>
      <w:r w:rsidR="006C5DA6">
        <w:t>when fabrication pressure was increased from a</w:t>
      </w:r>
      <w:r w:rsidR="00A53241">
        <w:t xml:space="preserve"> low initial </w:t>
      </w:r>
      <w:r w:rsidR="006C5DA6">
        <w:t xml:space="preserve">level, which was indicated by the tighter contour lines in </w:t>
      </w:r>
      <w:r w:rsidR="006C5DA6">
        <w:fldChar w:fldCharType="begin"/>
      </w:r>
      <w:r w:rsidR="006C5DA6">
        <w:instrText xml:space="preserve"> REF _Ref343759330 \h </w:instrText>
      </w:r>
      <w:r w:rsidR="006C5DA6">
        <w:fldChar w:fldCharType="separate"/>
      </w:r>
      <w:r w:rsidR="008A1992" w:rsidRPr="0065705B">
        <w:t xml:space="preserve">Figure </w:t>
      </w:r>
      <w:r w:rsidR="008A1992">
        <w:rPr>
          <w:noProof/>
        </w:rPr>
        <w:t>4</w:t>
      </w:r>
      <w:r w:rsidR="008A1992">
        <w:t>.</w:t>
      </w:r>
      <w:r w:rsidR="008A1992">
        <w:rPr>
          <w:noProof/>
        </w:rPr>
        <w:t>2</w:t>
      </w:r>
      <w:r w:rsidR="006C5DA6">
        <w:fldChar w:fldCharType="end"/>
      </w:r>
      <w:r w:rsidR="006C5DA6">
        <w:t xml:space="preserve">.  Generally, this trend was expected because the fibers’ contribute more to supporting the applied load </w:t>
      </w:r>
      <w:r w:rsidR="006133C1">
        <w:t>as</w:t>
      </w:r>
      <w:r w:rsidR="006C5DA6">
        <w:t xml:space="preserve"> fabrication pressure is increased, which results in less resin being squeezed out.  </w:t>
      </w:r>
      <w:r w:rsidR="006133C1">
        <w:t xml:space="preserve">Even though the general behavior is similar, the contours revealed that BMI resin varies at a larger rate than the epoxy resin.  Therefore, a tighter window of fabrication cure pressure would be required to achieve a specific fiber volume fraction for products produced with BMI resin.  The fiber volume fraction for both epoxy resin prepreg materials, shown in </w:t>
      </w:r>
      <w:r w:rsidR="006133C1">
        <w:fldChar w:fldCharType="begin"/>
      </w:r>
      <w:r w:rsidR="006133C1">
        <w:instrText xml:space="preserve"> REF _Ref343759330 \h </w:instrText>
      </w:r>
      <w:r w:rsidR="006133C1">
        <w:fldChar w:fldCharType="separate"/>
      </w:r>
      <w:r w:rsidR="008A1992" w:rsidRPr="0065705B">
        <w:t xml:space="preserve">Figure </w:t>
      </w:r>
      <w:r w:rsidR="008A1992">
        <w:rPr>
          <w:noProof/>
        </w:rPr>
        <w:t>4</w:t>
      </w:r>
      <w:r w:rsidR="008A1992">
        <w:t>.</w:t>
      </w:r>
      <w:r w:rsidR="008A1992">
        <w:rPr>
          <w:noProof/>
        </w:rPr>
        <w:t>2</w:t>
      </w:r>
      <w:r w:rsidR="006133C1">
        <w:fldChar w:fldCharType="end"/>
      </w:r>
      <w:proofErr w:type="gramStart"/>
      <w:r w:rsidR="006133C1">
        <w:t>a and</w:t>
      </w:r>
      <w:proofErr w:type="gramEnd"/>
      <w:r w:rsidR="006133C1">
        <w:t xml:space="preserve"> c, changed by about 20%.  Quartz-reinforcement was generally more consistent throughout the entire fabrication pressure range, whereas carbon fiber-reinforcement was offset with a majority of the change occurring at low cure pressures.  </w:t>
      </w:r>
      <w:r w:rsidR="006133C1">
        <w:lastRenderedPageBreak/>
        <w:t xml:space="preserve">On the other hand, the fiber volume fraction for BMI resin, shown in </w:t>
      </w:r>
      <w:r w:rsidR="006133C1">
        <w:fldChar w:fldCharType="begin"/>
      </w:r>
      <w:r w:rsidR="006133C1">
        <w:instrText xml:space="preserve"> REF _Ref343759330 \h </w:instrText>
      </w:r>
      <w:r w:rsidR="006133C1">
        <w:fldChar w:fldCharType="separate"/>
      </w:r>
      <w:r w:rsidR="008A1992" w:rsidRPr="0065705B">
        <w:t xml:space="preserve">Figure </w:t>
      </w:r>
      <w:r w:rsidR="008A1992">
        <w:rPr>
          <w:noProof/>
        </w:rPr>
        <w:t>4</w:t>
      </w:r>
      <w:r w:rsidR="008A1992">
        <w:t>.</w:t>
      </w:r>
      <w:r w:rsidR="008A1992">
        <w:rPr>
          <w:noProof/>
        </w:rPr>
        <w:t>2</w:t>
      </w:r>
      <w:r w:rsidR="006133C1">
        <w:fldChar w:fldCharType="end"/>
      </w:r>
      <w:r w:rsidR="006133C1">
        <w:t>b, changed by nearly 30%</w:t>
      </w:r>
      <w:r w:rsidR="000F128F">
        <w:t>.</w:t>
      </w:r>
    </w:p>
    <w:p w14:paraId="2F7337CD" w14:textId="51F06124" w:rsidR="00CF5519" w:rsidRDefault="00CF5519" w:rsidP="00CF5519">
      <w:pPr>
        <w:ind w:firstLine="360"/>
      </w:pPr>
    </w:p>
    <w:p w14:paraId="5039070B" w14:textId="2F622B33" w:rsidR="0065705B" w:rsidRDefault="003A3E2A" w:rsidP="003A3E2A">
      <w:pPr>
        <w:keepNext/>
        <w:spacing w:line="240" w:lineRule="auto"/>
        <w:jc w:val="center"/>
      </w:pPr>
      <w:r>
        <w:rPr>
          <w:noProof/>
        </w:rPr>
        <w:drawing>
          <wp:inline distT="0" distB="0" distL="0" distR="0" wp14:anchorId="64201CEA" wp14:editId="52358655">
            <wp:extent cx="5394960" cy="4860925"/>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jpg"/>
                    <pic:cNvPicPr/>
                  </pic:nvPicPr>
                  <pic:blipFill>
                    <a:blip r:embed="rId95">
                      <a:extLst>
                        <a:ext uri="{28A0092B-C50C-407E-A947-70E740481C1C}">
                          <a14:useLocalDpi xmlns:a14="http://schemas.microsoft.com/office/drawing/2010/main" val="0"/>
                        </a:ext>
                      </a:extLst>
                    </a:blip>
                    <a:stretch>
                      <a:fillRect/>
                    </a:stretch>
                  </pic:blipFill>
                  <pic:spPr>
                    <a:xfrm>
                      <a:off x="0" y="0"/>
                      <a:ext cx="5394960" cy="4860925"/>
                    </a:xfrm>
                    <a:prstGeom prst="rect">
                      <a:avLst/>
                    </a:prstGeom>
                  </pic:spPr>
                </pic:pic>
              </a:graphicData>
            </a:graphic>
          </wp:inline>
        </w:drawing>
      </w:r>
    </w:p>
    <w:p w14:paraId="0F160C5C" w14:textId="17423DC7" w:rsidR="0065705B" w:rsidRDefault="0065705B" w:rsidP="00440086">
      <w:pPr>
        <w:pStyle w:val="Caption"/>
        <w:spacing w:line="240" w:lineRule="auto"/>
        <w:jc w:val="center"/>
        <w:rPr>
          <w:sz w:val="24"/>
        </w:rPr>
      </w:pPr>
      <w:bookmarkStart w:id="186" w:name="_Ref343759330"/>
      <w:bookmarkStart w:id="187" w:name="_Toc346310436"/>
      <w:proofErr w:type="gramStart"/>
      <w:r w:rsidRPr="0065705B">
        <w:rPr>
          <w:sz w:val="24"/>
          <w:szCs w:val="24"/>
        </w:rPr>
        <w:t xml:space="preserve">Figure </w:t>
      </w:r>
      <w:r w:rsidR="00C16D85">
        <w:rPr>
          <w:sz w:val="24"/>
          <w:szCs w:val="24"/>
        </w:rPr>
        <w:fldChar w:fldCharType="begin"/>
      </w:r>
      <w:r w:rsidR="00C16D85">
        <w:rPr>
          <w:sz w:val="24"/>
          <w:szCs w:val="24"/>
        </w:rPr>
        <w:instrText xml:space="preserve"> STYLEREF 1 \s </w:instrText>
      </w:r>
      <w:r w:rsidR="00C16D85">
        <w:rPr>
          <w:sz w:val="24"/>
          <w:szCs w:val="24"/>
        </w:rPr>
        <w:fldChar w:fldCharType="separate"/>
      </w:r>
      <w:r w:rsidR="008A1992">
        <w:rPr>
          <w:noProof/>
          <w:sz w:val="24"/>
          <w:szCs w:val="24"/>
        </w:rPr>
        <w:t>4</w:t>
      </w:r>
      <w:r w:rsidR="00C16D85">
        <w:rPr>
          <w:sz w:val="24"/>
          <w:szCs w:val="24"/>
        </w:rPr>
        <w:fldChar w:fldCharType="end"/>
      </w:r>
      <w:r w:rsidR="00C16D85">
        <w:rPr>
          <w:sz w:val="24"/>
          <w:szCs w:val="24"/>
        </w:rPr>
        <w:t>.</w:t>
      </w:r>
      <w:proofErr w:type="gramEnd"/>
      <w:r w:rsidR="00C16D85">
        <w:rPr>
          <w:sz w:val="24"/>
          <w:szCs w:val="24"/>
        </w:rPr>
        <w:fldChar w:fldCharType="begin"/>
      </w:r>
      <w:r w:rsidR="00C16D85">
        <w:rPr>
          <w:sz w:val="24"/>
          <w:szCs w:val="24"/>
        </w:rPr>
        <w:instrText xml:space="preserve"> SEQ Figure \* ARABIC \s 1 </w:instrText>
      </w:r>
      <w:r w:rsidR="00C16D85">
        <w:rPr>
          <w:sz w:val="24"/>
          <w:szCs w:val="24"/>
        </w:rPr>
        <w:fldChar w:fldCharType="separate"/>
      </w:r>
      <w:r w:rsidR="008A1992">
        <w:rPr>
          <w:noProof/>
          <w:sz w:val="24"/>
          <w:szCs w:val="24"/>
        </w:rPr>
        <w:t>2</w:t>
      </w:r>
      <w:r w:rsidR="00C16D85">
        <w:rPr>
          <w:sz w:val="24"/>
          <w:szCs w:val="24"/>
        </w:rPr>
        <w:fldChar w:fldCharType="end"/>
      </w:r>
      <w:bookmarkEnd w:id="186"/>
      <w:r>
        <w:rPr>
          <w:sz w:val="24"/>
          <w:szCs w:val="24"/>
        </w:rPr>
        <w:t xml:space="preserve"> </w:t>
      </w:r>
      <w:r>
        <w:rPr>
          <w:sz w:val="24"/>
        </w:rPr>
        <w:t>Contour plots</w:t>
      </w:r>
      <w:r w:rsidRPr="00234C16">
        <w:rPr>
          <w:sz w:val="24"/>
        </w:rPr>
        <w:t xml:space="preserve"> of </w:t>
      </w:r>
      <w:r>
        <w:rPr>
          <w:sz w:val="24"/>
        </w:rPr>
        <w:t xml:space="preserve">normalized fiber volume fraction </w:t>
      </w:r>
      <w:r w:rsidRPr="00234C16">
        <w:rPr>
          <w:sz w:val="24"/>
        </w:rPr>
        <w:t>for (</w:t>
      </w:r>
      <w:r>
        <w:rPr>
          <w:sz w:val="24"/>
        </w:rPr>
        <w:t>a</w:t>
      </w:r>
      <w:r w:rsidRPr="00234C16">
        <w:rPr>
          <w:sz w:val="24"/>
        </w:rPr>
        <w:t>) Quartz/</w:t>
      </w:r>
      <w:r w:rsidR="00440086">
        <w:rPr>
          <w:sz w:val="24"/>
        </w:rPr>
        <w:t>Epoxy</w:t>
      </w:r>
      <w:r w:rsidRPr="00234C16">
        <w:rPr>
          <w:sz w:val="24"/>
        </w:rPr>
        <w:t>, (</w:t>
      </w:r>
      <w:r>
        <w:rPr>
          <w:sz w:val="24"/>
        </w:rPr>
        <w:t>b</w:t>
      </w:r>
      <w:r w:rsidRPr="00234C16">
        <w:rPr>
          <w:sz w:val="24"/>
        </w:rPr>
        <w:t>) Quartz/</w:t>
      </w:r>
      <w:r w:rsidR="00440086">
        <w:rPr>
          <w:sz w:val="24"/>
        </w:rPr>
        <w:t>BMI</w:t>
      </w:r>
      <w:r w:rsidRPr="00234C16">
        <w:rPr>
          <w:sz w:val="24"/>
        </w:rPr>
        <w:t>, and (</w:t>
      </w:r>
      <w:r>
        <w:rPr>
          <w:sz w:val="24"/>
        </w:rPr>
        <w:t>c</w:t>
      </w:r>
      <w:r w:rsidRPr="00234C16">
        <w:rPr>
          <w:sz w:val="24"/>
        </w:rPr>
        <w:t>) Carbon/Epoxy</w:t>
      </w:r>
      <w:bookmarkEnd w:id="187"/>
    </w:p>
    <w:p w14:paraId="53E1698A" w14:textId="77777777" w:rsidR="00440086" w:rsidRPr="00440086" w:rsidRDefault="00440086" w:rsidP="00440086"/>
    <w:p w14:paraId="32C99DBD" w14:textId="15A41E70" w:rsidR="00146DBC" w:rsidRDefault="003D0E15" w:rsidP="00146DBC">
      <w:pPr>
        <w:pStyle w:val="Heading3"/>
      </w:pPr>
      <w:bookmarkStart w:id="188" w:name="_Ref343860336"/>
      <w:bookmarkStart w:id="189" w:name="_Toc346310999"/>
      <w:r>
        <w:t xml:space="preserve">Contour Plots for </w:t>
      </w:r>
      <w:r w:rsidR="00146DBC">
        <w:t>Normalized Void Volume Fraction</w:t>
      </w:r>
      <w:bookmarkEnd w:id="188"/>
      <w:bookmarkEnd w:id="189"/>
    </w:p>
    <w:p w14:paraId="2F272F4D" w14:textId="3B818330" w:rsidR="0042659D" w:rsidRDefault="00384B0F" w:rsidP="0042659D">
      <w:pPr>
        <w:ind w:firstLine="360"/>
      </w:pPr>
      <w:r>
        <w:t xml:space="preserve">The property function equation </w:t>
      </w:r>
      <w:r w:rsidR="0042659D">
        <w:t xml:space="preserve">for normalized void volume fraction was developed based on the trends associated with changing prepreg humidity exposure and fabrication cure pressure, which was introduced in Sections </w:t>
      </w:r>
      <w:r w:rsidR="0042659D">
        <w:fldChar w:fldCharType="begin"/>
      </w:r>
      <w:r w:rsidR="0042659D">
        <w:instrText xml:space="preserve"> REF _Ref344121192 \r \h </w:instrText>
      </w:r>
      <w:r w:rsidR="0042659D">
        <w:fldChar w:fldCharType="separate"/>
      </w:r>
      <w:r w:rsidR="008A1992">
        <w:t>2.5.7</w:t>
      </w:r>
      <w:r w:rsidR="0042659D">
        <w:fldChar w:fldCharType="end"/>
      </w:r>
      <w:r w:rsidR="0042659D">
        <w:t xml:space="preserve"> and </w:t>
      </w:r>
      <w:r w:rsidR="0042659D">
        <w:fldChar w:fldCharType="begin"/>
      </w:r>
      <w:r w:rsidR="0042659D">
        <w:instrText xml:space="preserve"> REF _Ref344121194 \r \h </w:instrText>
      </w:r>
      <w:r w:rsidR="0042659D">
        <w:fldChar w:fldCharType="separate"/>
      </w:r>
      <w:r w:rsidR="008A1992">
        <w:t>2.5.8</w:t>
      </w:r>
      <w:r w:rsidR="0042659D">
        <w:fldChar w:fldCharType="end"/>
      </w:r>
      <w:r w:rsidR="0042659D">
        <w:t xml:space="preserve">.  A functional equation </w:t>
      </w:r>
      <w:r w:rsidR="0042659D">
        <w:lastRenderedPageBreak/>
        <w:t xml:space="preserve">that considers a </w:t>
      </w:r>
      <w:r w:rsidR="0042659D" w:rsidRPr="00DA3202">
        <w:t>linear contri</w:t>
      </w:r>
      <w:r w:rsidR="0042659D">
        <w:t xml:space="preserve">bution for prepreg humidity exposure and a </w:t>
      </w:r>
      <w:r w:rsidR="00DA3202">
        <w:t>negative power function c</w:t>
      </w:r>
      <w:r w:rsidR="0042659D">
        <w:t>ontribution for fabrication pressure was selected as the most accurate representation of the dependent variable, normalized void volume fraction.  Therefore, the functional equation for normalized void volume fraction (φ</w:t>
      </w:r>
      <w:r w:rsidR="0042659D" w:rsidRPr="007A6E42">
        <w:rPr>
          <w:vertAlign w:val="subscript"/>
        </w:rPr>
        <w:t>NV</w:t>
      </w:r>
      <w:r w:rsidR="00DB7C42">
        <w:t>) wa</w:t>
      </w:r>
      <w:r w:rsidR="0042659D">
        <w:t>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gridCol w:w="630"/>
      </w:tblGrid>
      <w:tr w:rsidR="0042659D" w14:paraId="47E439F8" w14:textId="77777777" w:rsidTr="0042659D">
        <w:tc>
          <w:tcPr>
            <w:tcW w:w="7920" w:type="dxa"/>
            <w:shd w:val="clear" w:color="auto" w:fill="auto"/>
            <w:vAlign w:val="center"/>
          </w:tcPr>
          <w:p w14:paraId="0D4E76F7" w14:textId="640D6A34" w:rsidR="0042659D" w:rsidRDefault="007F38FB" w:rsidP="00DA3202">
            <w:pPr>
              <w:jc w:val="center"/>
            </w:pPr>
            <m:oMathPara>
              <m:oMath>
                <m:sSub>
                  <m:sSubPr>
                    <m:ctrlPr>
                      <w:rPr>
                        <w:rFonts w:ascii="Cambria Math" w:hAnsi="Cambria Math"/>
                        <w:i/>
                      </w:rPr>
                    </m:ctrlPr>
                  </m:sSubPr>
                  <m:e>
                    <m:r>
                      <w:rPr>
                        <w:rFonts w:ascii="Cambria Math" w:hAnsi="Cambria Math"/>
                      </w:rPr>
                      <m:t>φ</m:t>
                    </m:r>
                  </m:e>
                  <m:sub>
                    <m:r>
                      <w:rPr>
                        <w:rFonts w:ascii="Cambria Math" w:hAnsi="Cambria Math"/>
                      </w:rPr>
                      <m:t>NV</m:t>
                    </m:r>
                  </m:sub>
                </m:sSub>
                <m:r>
                  <w:rPr>
                    <w:rFonts w:ascii="Cambria Math" w:hAnsi="Cambria Math"/>
                  </w:rPr>
                  <m:t>=C+</m:t>
                </m:r>
                <m:sSub>
                  <m:sSubPr>
                    <m:ctrlPr>
                      <w:rPr>
                        <w:rFonts w:ascii="Cambria Math" w:hAnsi="Cambria Math"/>
                        <w:i/>
                      </w:rPr>
                    </m:ctrlPr>
                  </m:sSubPr>
                  <m:e>
                    <m:r>
                      <w:rPr>
                        <w:rFonts w:ascii="Cambria Math" w:hAnsi="Cambria Math"/>
                      </w:rPr>
                      <m:t>C</m:t>
                    </m:r>
                  </m:e>
                  <m:sub>
                    <m:r>
                      <w:rPr>
                        <w:rFonts w:ascii="Cambria Math" w:hAnsi="Cambria Math"/>
                      </w:rPr>
                      <m:t>10</m:t>
                    </m:r>
                  </m:sub>
                </m:sSub>
                <m:sSup>
                  <m:sSupPr>
                    <m:ctrlPr>
                      <w:rPr>
                        <w:rFonts w:ascii="Cambria Math" w:hAnsi="Cambria Math"/>
                        <w:i/>
                      </w:rPr>
                    </m:ctrlPr>
                  </m:sSupPr>
                  <m:e>
                    <m:r>
                      <w:rPr>
                        <w:rFonts w:ascii="Cambria Math" w:hAnsi="Cambria Math"/>
                      </w:rPr>
                      <m:t>x</m:t>
                    </m:r>
                  </m:e>
                  <m:sup>
                    <m:r>
                      <w:rPr>
                        <w:rFonts w:ascii="Cambria Math" w:hAnsi="Cambria Math"/>
                      </w:rPr>
                      <m:t>-A</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11</m:t>
                    </m:r>
                  </m:sub>
                </m:sSub>
                <m:r>
                  <w:rPr>
                    <w:rFonts w:ascii="Cambria Math" w:hAnsi="Cambria Math"/>
                  </w:rPr>
                  <m:t>xy+</m:t>
                </m:r>
                <m:sSub>
                  <m:sSubPr>
                    <m:ctrlPr>
                      <w:rPr>
                        <w:rFonts w:ascii="Cambria Math" w:hAnsi="Cambria Math"/>
                        <w:i/>
                      </w:rPr>
                    </m:ctrlPr>
                  </m:sSubPr>
                  <m:e>
                    <m:r>
                      <w:rPr>
                        <w:rFonts w:ascii="Cambria Math" w:hAnsi="Cambria Math"/>
                      </w:rPr>
                      <m:t>C</m:t>
                    </m:r>
                  </m:e>
                  <m:sub>
                    <m:r>
                      <w:rPr>
                        <w:rFonts w:ascii="Cambria Math" w:hAnsi="Cambria Math"/>
                      </w:rPr>
                      <m:t>01</m:t>
                    </m:r>
                  </m:sub>
                </m:sSub>
                <m:r>
                  <w:rPr>
                    <w:rFonts w:ascii="Cambria Math" w:hAnsi="Cambria Math"/>
                  </w:rPr>
                  <m:t>y</m:t>
                </m:r>
              </m:oMath>
            </m:oMathPara>
          </w:p>
        </w:tc>
        <w:tc>
          <w:tcPr>
            <w:tcW w:w="630" w:type="dxa"/>
            <w:shd w:val="clear" w:color="auto" w:fill="auto"/>
            <w:vAlign w:val="center"/>
          </w:tcPr>
          <w:p w14:paraId="16369AFB" w14:textId="1E21F0AC" w:rsidR="0042659D" w:rsidRDefault="0042659D" w:rsidP="00DB7C42">
            <w:pPr>
              <w:jc w:val="right"/>
            </w:pPr>
            <w:r>
              <w:t>(</w:t>
            </w:r>
            <w:r w:rsidR="00DB7C42">
              <w:t>6</w:t>
            </w:r>
            <w:r>
              <w:t>)</w:t>
            </w:r>
          </w:p>
        </w:tc>
      </w:tr>
    </w:tbl>
    <w:p w14:paraId="5E72AD3F" w14:textId="7B99AFCB" w:rsidR="0042659D" w:rsidRDefault="0042659D" w:rsidP="0042659D">
      <w:proofErr w:type="gramStart"/>
      <w:r>
        <w:t>where</w:t>
      </w:r>
      <w:proofErr w:type="gramEnd"/>
      <w:r>
        <w:t xml:space="preserve"> </w:t>
      </w:r>
      <w:r>
        <w:rPr>
          <w:i/>
        </w:rPr>
        <w:t>x</w:t>
      </w:r>
      <w:r>
        <w:t xml:space="preserve"> is the fabrication pressure in kPa, </w:t>
      </w:r>
      <w:r>
        <w:rPr>
          <w:i/>
        </w:rPr>
        <w:t>y</w:t>
      </w:r>
      <w:r>
        <w:t xml:space="preserve"> is the prepreg relative humidity conditioning level in % RH, and </w:t>
      </w:r>
      <w:r w:rsidR="000B0ED8">
        <w:rPr>
          <w:i/>
        </w:rPr>
        <w:t>A and</w:t>
      </w:r>
      <w:r w:rsidR="00DA3202">
        <w:rPr>
          <w:i/>
        </w:rPr>
        <w:t xml:space="preserve"> </w:t>
      </w:r>
      <w:r>
        <w:rPr>
          <w:i/>
        </w:rPr>
        <w:t xml:space="preserve">C’s </w:t>
      </w:r>
      <w:r>
        <w:t>are parameter constants.</w:t>
      </w:r>
    </w:p>
    <w:p w14:paraId="039FB0CD" w14:textId="76D98130" w:rsidR="003A3E2A" w:rsidRDefault="00A53241" w:rsidP="003A3E2A">
      <w:pPr>
        <w:ind w:firstLine="360"/>
      </w:pPr>
      <w:r>
        <w:t>Contour plots of normalized void</w:t>
      </w:r>
      <w:r w:rsidR="000F128F">
        <w:t xml:space="preserve"> volume</w:t>
      </w:r>
      <w:r>
        <w:t xml:space="preserve"> fraction are shown in </w:t>
      </w:r>
      <w:r w:rsidR="00146DBC">
        <w:fldChar w:fldCharType="begin"/>
      </w:r>
      <w:r w:rsidR="00146DBC">
        <w:instrText xml:space="preserve"> REF _Ref343759438 \h </w:instrText>
      </w:r>
      <w:r w:rsidR="00146DBC">
        <w:fldChar w:fldCharType="separate"/>
      </w:r>
      <w:r w:rsidR="008A1992" w:rsidRPr="00440086">
        <w:t xml:space="preserve">Figure </w:t>
      </w:r>
      <w:r w:rsidR="008A1992">
        <w:rPr>
          <w:noProof/>
        </w:rPr>
        <w:t>4</w:t>
      </w:r>
      <w:r w:rsidR="008A1992">
        <w:t>.</w:t>
      </w:r>
      <w:r w:rsidR="008A1992">
        <w:rPr>
          <w:noProof/>
        </w:rPr>
        <w:t>3</w:t>
      </w:r>
      <w:r w:rsidR="00146DBC">
        <w:fldChar w:fldCharType="end"/>
      </w:r>
      <w:r>
        <w:t xml:space="preserve">a-c.  </w:t>
      </w:r>
      <w:r w:rsidR="000F128F">
        <w:t xml:space="preserve">Unlike the behavior observed with fiber volume fraction, </w:t>
      </w:r>
      <w:r w:rsidR="000B0ED8">
        <w:t>both prepreg humidity exposure and fabrication pressure significantly affected the void volume fraction</w:t>
      </w:r>
      <w:r w:rsidR="000F128F">
        <w:t>.  For all prepreg materials, t</w:t>
      </w:r>
      <w:r>
        <w:t xml:space="preserve">he rate of increasing void </w:t>
      </w:r>
      <w:r w:rsidR="000F128F">
        <w:t xml:space="preserve">volume </w:t>
      </w:r>
      <w:r w:rsidR="00EC598C">
        <w:t>fraction</w:t>
      </w:r>
      <w:r>
        <w:t xml:space="preserve"> progressively increased as fabrication pressure declined and relatively humidity exposure increased.  </w:t>
      </w:r>
      <w:r w:rsidR="000F128F">
        <w:t>As expected, the contour</w:t>
      </w:r>
      <w:r w:rsidR="00EC598C">
        <w:t xml:space="preserve"> plots clearly depict all material systems have the highest observed void fractions when laminates were produced at low pressure </w:t>
      </w:r>
      <w:r w:rsidR="000F128F">
        <w:t>from prepregs conditioned at</w:t>
      </w:r>
      <w:r w:rsidR="00EC598C">
        <w:t xml:space="preserve"> high relative humidity.  </w:t>
      </w:r>
      <w:r w:rsidR="000F128F">
        <w:t>This particular scenario results in the highest prepreg moisture content, which would vaporize to form voids during the heated cure cycle, and the lowest cure pressure</w:t>
      </w:r>
      <w:r w:rsidR="00BE1745">
        <w:t>,</w:t>
      </w:r>
      <w:r w:rsidR="000F128F">
        <w:t xml:space="preserve"> </w:t>
      </w:r>
      <w:r w:rsidR="00BE1745">
        <w:t>which</w:t>
      </w:r>
      <w:r w:rsidR="000F128F">
        <w:t xml:space="preserve"> would be unable to</w:t>
      </w:r>
      <w:r w:rsidR="00BE1745">
        <w:t xml:space="preserve"> excrete or eliminate volatiles.</w:t>
      </w:r>
      <w:r w:rsidR="000F128F">
        <w:t xml:space="preserve">  </w:t>
      </w:r>
      <w:r w:rsidR="00BE1745">
        <w:t xml:space="preserve">Comparing </w:t>
      </w:r>
      <w:r w:rsidR="00BE1745">
        <w:fldChar w:fldCharType="begin"/>
      </w:r>
      <w:r w:rsidR="00BE1745">
        <w:instrText xml:space="preserve"> REF _Ref343759438 \h </w:instrText>
      </w:r>
      <w:r w:rsidR="00BE1745">
        <w:fldChar w:fldCharType="separate"/>
      </w:r>
      <w:r w:rsidR="008A1992" w:rsidRPr="00440086">
        <w:t xml:space="preserve">Figure </w:t>
      </w:r>
      <w:r w:rsidR="008A1992">
        <w:rPr>
          <w:noProof/>
        </w:rPr>
        <w:t>4</w:t>
      </w:r>
      <w:r w:rsidR="008A1992">
        <w:t>.</w:t>
      </w:r>
      <w:r w:rsidR="008A1992">
        <w:rPr>
          <w:noProof/>
        </w:rPr>
        <w:t>3</w:t>
      </w:r>
      <w:r w:rsidR="00BE1745">
        <w:fldChar w:fldCharType="end"/>
      </w:r>
      <w:proofErr w:type="gramStart"/>
      <w:r w:rsidR="00BE1745">
        <w:t>a and</w:t>
      </w:r>
      <w:proofErr w:type="gramEnd"/>
      <w:r w:rsidR="00BE1745">
        <w:t xml:space="preserve"> b, b</w:t>
      </w:r>
      <w:r w:rsidR="00EC598C">
        <w:t>oth quart</w:t>
      </w:r>
      <w:r w:rsidR="00BE1745">
        <w:t>z</w:t>
      </w:r>
      <w:r w:rsidR="00EC598C">
        <w:t xml:space="preserve">-reinforced laminates had similar maximum void </w:t>
      </w:r>
      <w:r w:rsidR="00BE1745">
        <w:t xml:space="preserve">volume </w:t>
      </w:r>
      <w:r w:rsidR="00EC598C">
        <w:t>fractions</w:t>
      </w:r>
      <w:r w:rsidR="00BE1745">
        <w:t>, which was 14.1% for epoxy resin and 13.9% for BMI resin</w:t>
      </w:r>
      <w:r w:rsidR="00EC598C">
        <w:t xml:space="preserve">.  </w:t>
      </w:r>
      <w:r>
        <w:t>However, th</w:t>
      </w:r>
      <w:r w:rsidR="00EC598C">
        <w:t>e quartz/BMI laminates had</w:t>
      </w:r>
      <w:r>
        <w:t xml:space="preserve"> the smallest </w:t>
      </w:r>
      <w:r w:rsidR="00BE1745">
        <w:t>change in</w:t>
      </w:r>
      <w:r>
        <w:t xml:space="preserve"> void </w:t>
      </w:r>
      <w:r w:rsidR="00EC598C">
        <w:t>fraction</w:t>
      </w:r>
      <w:r w:rsidR="00BE1745">
        <w:t xml:space="preserve"> for varying levels of humidity exposure and fabrication pressure.  At the minimum</w:t>
      </w:r>
      <w:r>
        <w:t xml:space="preserve">, </w:t>
      </w:r>
      <w:r w:rsidR="00BE1745">
        <w:t>the</w:t>
      </w:r>
      <w:r w:rsidR="00EC598C">
        <w:t xml:space="preserve"> void fraction </w:t>
      </w:r>
      <w:r w:rsidR="00BE1745">
        <w:t xml:space="preserve">for BMI </w:t>
      </w:r>
      <w:r w:rsidR="00EC598C">
        <w:t xml:space="preserve">reduced to about 8%, or a </w:t>
      </w:r>
      <w:r w:rsidR="00BE1745">
        <w:t xml:space="preserve">normalized percent </w:t>
      </w:r>
      <w:r w:rsidR="00EC598C">
        <w:t xml:space="preserve">reduction of </w:t>
      </w:r>
      <w:r w:rsidR="00BE1745">
        <w:t>about 40%.  Alternatively, the void volume fraction f</w:t>
      </w:r>
      <w:r w:rsidR="00EC598C">
        <w:t xml:space="preserve">or </w:t>
      </w:r>
      <w:r>
        <w:t xml:space="preserve">quartz/epoxy </w:t>
      </w:r>
      <w:r w:rsidR="00BE1745">
        <w:t>was progressively</w:t>
      </w:r>
      <w:r w:rsidR="00EC598C">
        <w:t xml:space="preserve"> </w:t>
      </w:r>
      <w:r w:rsidR="00EC598C">
        <w:lastRenderedPageBreak/>
        <w:t>reduced to 1.7%</w:t>
      </w:r>
      <w:r w:rsidR="00BE1745">
        <w:t>, which represents a normalized percent reduction of 90%</w:t>
      </w:r>
      <w:r>
        <w:t xml:space="preserve">.  </w:t>
      </w:r>
      <w:r w:rsidR="008E0301">
        <w:t xml:space="preserve">Even at low humidity exposure levels, BMI absorbed significantly more moisture during the conditioning process.  The absorbed moisture is the most likely cause of the high void fractions associated with BMI.  </w:t>
      </w:r>
      <w:r>
        <w:t>The</w:t>
      </w:r>
      <w:r w:rsidR="008E0301">
        <w:t xml:space="preserve"> void</w:t>
      </w:r>
      <w:r w:rsidR="000B0ED8">
        <w:t xml:space="preserve"> volume</w:t>
      </w:r>
      <w:r w:rsidR="008E0301">
        <w:t xml:space="preserve"> fraction for</w:t>
      </w:r>
      <w:r>
        <w:t xml:space="preserve"> carbon/epoxy laminates</w:t>
      </w:r>
      <w:r w:rsidR="008E0301">
        <w:t>,</w:t>
      </w:r>
      <w:r>
        <w:t xml:space="preserve"> </w:t>
      </w:r>
      <w:r w:rsidR="008E0301">
        <w:t xml:space="preserve">shown in </w:t>
      </w:r>
      <w:r w:rsidR="00146DBC">
        <w:fldChar w:fldCharType="begin"/>
      </w:r>
      <w:r w:rsidR="00146DBC">
        <w:instrText xml:space="preserve"> REF _Ref343759438 \h </w:instrText>
      </w:r>
      <w:r w:rsidR="00146DBC">
        <w:fldChar w:fldCharType="separate"/>
      </w:r>
      <w:r w:rsidR="008A1992" w:rsidRPr="00440086">
        <w:t xml:space="preserve">Figure </w:t>
      </w:r>
      <w:r w:rsidR="008A1992">
        <w:rPr>
          <w:noProof/>
        </w:rPr>
        <w:t>4</w:t>
      </w:r>
      <w:r w:rsidR="008A1992">
        <w:t>.</w:t>
      </w:r>
      <w:r w:rsidR="008A1992">
        <w:rPr>
          <w:noProof/>
        </w:rPr>
        <w:t>3</w:t>
      </w:r>
      <w:r w:rsidR="00146DBC">
        <w:fldChar w:fldCharType="end"/>
      </w:r>
      <w:r>
        <w:t>c</w:t>
      </w:r>
      <w:r w:rsidR="008E0301">
        <w:t>,</w:t>
      </w:r>
      <w:r>
        <w:t xml:space="preserve"> </w:t>
      </w:r>
      <w:r w:rsidR="008E0301">
        <w:t>reduced</w:t>
      </w:r>
      <w:r w:rsidR="00881F4B">
        <w:t xml:space="preserve"> from </w:t>
      </w:r>
      <w:r>
        <w:t>4.</w:t>
      </w:r>
      <w:r w:rsidR="00881F4B">
        <w:t>8</w:t>
      </w:r>
      <w:r>
        <w:t>%</w:t>
      </w:r>
      <w:r w:rsidR="00881F4B">
        <w:t xml:space="preserve"> to 1.3%</w:t>
      </w:r>
      <w:r w:rsidR="008E0301">
        <w:t xml:space="preserve"> as pressure increased and humidity exposure decreased, which represents a normalized percentage range of appro</w:t>
      </w:r>
      <w:r>
        <w:t>ximately 70%</w:t>
      </w:r>
      <w:r w:rsidR="00881F4B">
        <w:t>.</w:t>
      </w:r>
      <w:r w:rsidR="008E0301">
        <w:t xml:space="preserve">  The lower range of void fractions </w:t>
      </w:r>
      <w:r w:rsidR="003D0E15">
        <w:t>for</w:t>
      </w:r>
      <w:r w:rsidR="008E0301">
        <w:t xml:space="preserve"> carbon fiber reinforcement is most likely attributed to the smal</w:t>
      </w:r>
      <w:r w:rsidR="003D0E15">
        <w:t>ler fiber diameter, which facilitates full wetting of the fabric.</w:t>
      </w:r>
    </w:p>
    <w:p w14:paraId="2D810F48" w14:textId="46269B97" w:rsidR="00440086" w:rsidRDefault="003A3E2A" w:rsidP="008E0301">
      <w:pPr>
        <w:keepNext/>
        <w:spacing w:line="240" w:lineRule="auto"/>
        <w:jc w:val="center"/>
      </w:pPr>
      <w:r>
        <w:rPr>
          <w:noProof/>
        </w:rPr>
        <w:drawing>
          <wp:inline distT="0" distB="0" distL="0" distR="0" wp14:anchorId="522BC57F" wp14:editId="048529C2">
            <wp:extent cx="5394960" cy="4860925"/>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jpg"/>
                    <pic:cNvPicPr/>
                  </pic:nvPicPr>
                  <pic:blipFill>
                    <a:blip r:embed="rId96">
                      <a:extLst>
                        <a:ext uri="{28A0092B-C50C-407E-A947-70E740481C1C}">
                          <a14:useLocalDpi xmlns:a14="http://schemas.microsoft.com/office/drawing/2010/main" val="0"/>
                        </a:ext>
                      </a:extLst>
                    </a:blip>
                    <a:stretch>
                      <a:fillRect/>
                    </a:stretch>
                  </pic:blipFill>
                  <pic:spPr>
                    <a:xfrm>
                      <a:off x="0" y="0"/>
                      <a:ext cx="5394960" cy="4860925"/>
                    </a:xfrm>
                    <a:prstGeom prst="rect">
                      <a:avLst/>
                    </a:prstGeom>
                  </pic:spPr>
                </pic:pic>
              </a:graphicData>
            </a:graphic>
          </wp:inline>
        </w:drawing>
      </w:r>
    </w:p>
    <w:p w14:paraId="14DF29A6" w14:textId="13C7016D" w:rsidR="00440086" w:rsidRDefault="00440086" w:rsidP="00440086">
      <w:pPr>
        <w:pStyle w:val="Caption"/>
        <w:spacing w:line="240" w:lineRule="auto"/>
        <w:jc w:val="center"/>
        <w:rPr>
          <w:sz w:val="24"/>
        </w:rPr>
      </w:pPr>
      <w:bookmarkStart w:id="190" w:name="_Ref343759438"/>
      <w:bookmarkStart w:id="191" w:name="_Toc346310437"/>
      <w:proofErr w:type="gramStart"/>
      <w:r w:rsidRPr="00440086">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4</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3</w:t>
      </w:r>
      <w:r w:rsidR="00C16D85">
        <w:rPr>
          <w:sz w:val="24"/>
        </w:rPr>
        <w:fldChar w:fldCharType="end"/>
      </w:r>
      <w:bookmarkEnd w:id="190"/>
      <w:r w:rsidRPr="00440086">
        <w:rPr>
          <w:sz w:val="24"/>
        </w:rPr>
        <w:t xml:space="preserve"> Contour plots </w:t>
      </w:r>
      <w:r w:rsidRPr="00234C16">
        <w:rPr>
          <w:sz w:val="24"/>
        </w:rPr>
        <w:t xml:space="preserve">of </w:t>
      </w:r>
      <w:r>
        <w:rPr>
          <w:sz w:val="24"/>
        </w:rPr>
        <w:t xml:space="preserve">normalized void volume fraction </w:t>
      </w:r>
      <w:r w:rsidRPr="00234C16">
        <w:rPr>
          <w:sz w:val="24"/>
        </w:rPr>
        <w:t>for (</w:t>
      </w:r>
      <w:r>
        <w:rPr>
          <w:sz w:val="24"/>
        </w:rPr>
        <w:t>a</w:t>
      </w:r>
      <w:r w:rsidRPr="00234C16">
        <w:rPr>
          <w:sz w:val="24"/>
        </w:rPr>
        <w:t>) Quartz/</w:t>
      </w:r>
      <w:r>
        <w:rPr>
          <w:sz w:val="24"/>
        </w:rPr>
        <w:t>Epoxy</w:t>
      </w:r>
      <w:r w:rsidRPr="00234C16">
        <w:rPr>
          <w:sz w:val="24"/>
        </w:rPr>
        <w:t>, (</w:t>
      </w:r>
      <w:r>
        <w:rPr>
          <w:sz w:val="24"/>
        </w:rPr>
        <w:t>b</w:t>
      </w:r>
      <w:r w:rsidRPr="00234C16">
        <w:rPr>
          <w:sz w:val="24"/>
        </w:rPr>
        <w:t>) Quartz/</w:t>
      </w:r>
      <w:r>
        <w:rPr>
          <w:sz w:val="24"/>
        </w:rPr>
        <w:t>BMI</w:t>
      </w:r>
      <w:r w:rsidRPr="00234C16">
        <w:rPr>
          <w:sz w:val="24"/>
        </w:rPr>
        <w:t>, and (</w:t>
      </w:r>
      <w:r>
        <w:rPr>
          <w:sz w:val="24"/>
        </w:rPr>
        <w:t>c</w:t>
      </w:r>
      <w:r w:rsidRPr="00234C16">
        <w:rPr>
          <w:sz w:val="24"/>
        </w:rPr>
        <w:t>) Carbon/Epoxy</w:t>
      </w:r>
      <w:bookmarkEnd w:id="191"/>
    </w:p>
    <w:p w14:paraId="3973FBEC" w14:textId="77777777" w:rsidR="00440086" w:rsidRDefault="00440086" w:rsidP="00440086"/>
    <w:p w14:paraId="2AF9A145" w14:textId="1C6507B2" w:rsidR="00316887" w:rsidRDefault="003D0E15" w:rsidP="00316887">
      <w:pPr>
        <w:pStyle w:val="Heading3"/>
      </w:pPr>
      <w:bookmarkStart w:id="192" w:name="_Ref343860383"/>
      <w:bookmarkStart w:id="193" w:name="_Toc346311000"/>
      <w:r>
        <w:lastRenderedPageBreak/>
        <w:t xml:space="preserve">Contour Plots for </w:t>
      </w:r>
      <w:r w:rsidR="00316887">
        <w:t>Normalized Flexural Stiffness</w:t>
      </w:r>
      <w:bookmarkEnd w:id="192"/>
      <w:bookmarkEnd w:id="193"/>
    </w:p>
    <w:p w14:paraId="047FAE71" w14:textId="126316BF" w:rsidR="00FB36FE" w:rsidRDefault="00384B0F" w:rsidP="00FB36FE">
      <w:pPr>
        <w:ind w:firstLine="360"/>
      </w:pPr>
      <w:r>
        <w:t xml:space="preserve">The property function equation </w:t>
      </w:r>
      <w:r w:rsidR="00FB36FE">
        <w:t xml:space="preserve">for normalized flexural stiffness was developed based on the trends associated with changing prepreg humidity exposure and fabrication pressure, which was introduced in Sections </w:t>
      </w:r>
      <w:r w:rsidR="00FB36FE">
        <w:fldChar w:fldCharType="begin"/>
      </w:r>
      <w:r w:rsidR="00FB36FE">
        <w:instrText xml:space="preserve"> REF _Ref344127050 \r \h </w:instrText>
      </w:r>
      <w:r w:rsidR="00FB36FE">
        <w:fldChar w:fldCharType="separate"/>
      </w:r>
      <w:r w:rsidR="008A1992">
        <w:t>3.2.4</w:t>
      </w:r>
      <w:r w:rsidR="00FB36FE">
        <w:fldChar w:fldCharType="end"/>
      </w:r>
      <w:r w:rsidR="00FB36FE">
        <w:t xml:space="preserve"> and </w:t>
      </w:r>
      <w:r w:rsidR="00FB36FE">
        <w:fldChar w:fldCharType="begin"/>
      </w:r>
      <w:r w:rsidR="00FB36FE">
        <w:instrText xml:space="preserve"> REF _Ref344127054 \r \h </w:instrText>
      </w:r>
      <w:r w:rsidR="00FB36FE">
        <w:fldChar w:fldCharType="separate"/>
      </w:r>
      <w:r w:rsidR="008A1992">
        <w:t>3.2.5</w:t>
      </w:r>
      <w:r w:rsidR="00FB36FE">
        <w:fldChar w:fldCharType="end"/>
      </w:r>
      <w:r w:rsidR="00FB36FE">
        <w:t xml:space="preserve">.  A functional equation that considers a </w:t>
      </w:r>
      <w:r w:rsidR="00FB36FE" w:rsidRPr="00DA3202">
        <w:t>linear contribution for prepreg humidity exposure and a linear</w:t>
      </w:r>
      <w:r w:rsidR="00FB36FE">
        <w:t xml:space="preserve"> contribution for fabrication pressure was selected as the most accurate representation of the dependent </w:t>
      </w:r>
      <w:proofErr w:type="gramStart"/>
      <w:r w:rsidR="00FB36FE">
        <w:t>variable,</w:t>
      </w:r>
      <w:proofErr w:type="gramEnd"/>
      <w:r w:rsidR="00FB36FE">
        <w:t xml:space="preserve"> normalized flexural stiffness.  Therefore, the functional equation for normalized flexural stiffness (φ</w:t>
      </w:r>
      <w:r w:rsidR="00FB36FE" w:rsidRPr="007A6E42">
        <w:rPr>
          <w:vertAlign w:val="subscript"/>
        </w:rPr>
        <w:t>N</w:t>
      </w:r>
      <w:r w:rsidR="00FB36FE">
        <w:rPr>
          <w:vertAlign w:val="subscript"/>
        </w:rPr>
        <w:t>E</w:t>
      </w:r>
      <w:r w:rsidR="00DB7C42">
        <w:t>) wa</w:t>
      </w:r>
      <w:r w:rsidR="00FB36FE">
        <w:t>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gridCol w:w="630"/>
      </w:tblGrid>
      <w:tr w:rsidR="00FB36FE" w14:paraId="13BCDCCF" w14:textId="77777777" w:rsidTr="00FB36FE">
        <w:tc>
          <w:tcPr>
            <w:tcW w:w="7920" w:type="dxa"/>
            <w:shd w:val="clear" w:color="auto" w:fill="auto"/>
            <w:vAlign w:val="center"/>
          </w:tcPr>
          <w:p w14:paraId="3153D109" w14:textId="59D66AC2" w:rsidR="00FB36FE" w:rsidRDefault="007F38FB" w:rsidP="00DA3202">
            <w:pPr>
              <w:jc w:val="center"/>
            </w:pPr>
            <m:oMathPara>
              <m:oMath>
                <m:sSub>
                  <m:sSubPr>
                    <m:ctrlPr>
                      <w:rPr>
                        <w:rFonts w:ascii="Cambria Math" w:hAnsi="Cambria Math"/>
                        <w:i/>
                      </w:rPr>
                    </m:ctrlPr>
                  </m:sSubPr>
                  <m:e>
                    <m:r>
                      <w:rPr>
                        <w:rFonts w:ascii="Cambria Math" w:hAnsi="Cambria Math"/>
                      </w:rPr>
                      <m:t>φ</m:t>
                    </m:r>
                  </m:e>
                  <m:sub>
                    <m:r>
                      <w:rPr>
                        <w:rFonts w:ascii="Cambria Math" w:hAnsi="Cambria Math"/>
                      </w:rPr>
                      <m:t>NE</m:t>
                    </m:r>
                  </m:sub>
                </m:sSub>
                <m:r>
                  <w:rPr>
                    <w:rFonts w:ascii="Cambria Math" w:hAnsi="Cambria Math"/>
                  </w:rPr>
                  <m:t xml:space="preserve">=C+ </m:t>
                </m:r>
                <m:sSub>
                  <m:sSubPr>
                    <m:ctrlPr>
                      <w:rPr>
                        <w:rFonts w:ascii="Cambria Math" w:hAnsi="Cambria Math"/>
                        <w:i/>
                      </w:rPr>
                    </m:ctrlPr>
                  </m:sSubPr>
                  <m:e>
                    <m:r>
                      <w:rPr>
                        <w:rFonts w:ascii="Cambria Math" w:hAnsi="Cambria Math"/>
                      </w:rPr>
                      <m:t>C</m:t>
                    </m:r>
                  </m:e>
                  <m:sub>
                    <m:r>
                      <w:rPr>
                        <w:rFonts w:ascii="Cambria Math" w:hAnsi="Cambria Math"/>
                      </w:rPr>
                      <m:t>10</m:t>
                    </m:r>
                  </m:sub>
                </m:sSub>
                <m:r>
                  <w:rPr>
                    <w:rFonts w:ascii="Cambria Math" w:hAnsi="Cambria Math"/>
                  </w:rPr>
                  <m:t>x+</m:t>
                </m:r>
                <m:sSub>
                  <m:sSubPr>
                    <m:ctrlPr>
                      <w:rPr>
                        <w:rFonts w:ascii="Cambria Math" w:hAnsi="Cambria Math"/>
                        <w:i/>
                      </w:rPr>
                    </m:ctrlPr>
                  </m:sSubPr>
                  <m:e>
                    <m:r>
                      <w:rPr>
                        <w:rFonts w:ascii="Cambria Math" w:hAnsi="Cambria Math"/>
                      </w:rPr>
                      <m:t>C</m:t>
                    </m:r>
                  </m:e>
                  <m:sub>
                    <m:r>
                      <w:rPr>
                        <w:rFonts w:ascii="Cambria Math" w:hAnsi="Cambria Math"/>
                      </w:rPr>
                      <m:t>11</m:t>
                    </m:r>
                  </m:sub>
                </m:sSub>
                <m:r>
                  <w:rPr>
                    <w:rFonts w:ascii="Cambria Math" w:hAnsi="Cambria Math"/>
                  </w:rPr>
                  <m:t>xy+</m:t>
                </m:r>
                <m:sSub>
                  <m:sSubPr>
                    <m:ctrlPr>
                      <w:rPr>
                        <w:rFonts w:ascii="Cambria Math" w:hAnsi="Cambria Math"/>
                        <w:i/>
                      </w:rPr>
                    </m:ctrlPr>
                  </m:sSubPr>
                  <m:e>
                    <m:r>
                      <w:rPr>
                        <w:rFonts w:ascii="Cambria Math" w:hAnsi="Cambria Math"/>
                      </w:rPr>
                      <m:t>C</m:t>
                    </m:r>
                  </m:e>
                  <m:sub>
                    <m:r>
                      <w:rPr>
                        <w:rFonts w:ascii="Cambria Math" w:hAnsi="Cambria Math"/>
                      </w:rPr>
                      <m:t>01</m:t>
                    </m:r>
                  </m:sub>
                </m:sSub>
                <m:r>
                  <w:rPr>
                    <w:rFonts w:ascii="Cambria Math" w:hAnsi="Cambria Math"/>
                  </w:rPr>
                  <m:t>y</m:t>
                </m:r>
              </m:oMath>
            </m:oMathPara>
          </w:p>
        </w:tc>
        <w:tc>
          <w:tcPr>
            <w:tcW w:w="630" w:type="dxa"/>
            <w:shd w:val="clear" w:color="auto" w:fill="auto"/>
            <w:vAlign w:val="center"/>
          </w:tcPr>
          <w:p w14:paraId="778711A5" w14:textId="56E9BFB0" w:rsidR="00FB36FE" w:rsidRDefault="00FB36FE" w:rsidP="00DB7C42">
            <w:pPr>
              <w:jc w:val="right"/>
            </w:pPr>
            <w:r>
              <w:t>(</w:t>
            </w:r>
            <w:r w:rsidR="00DB7C42">
              <w:t>7</w:t>
            </w:r>
            <w:r>
              <w:t>)</w:t>
            </w:r>
          </w:p>
        </w:tc>
      </w:tr>
    </w:tbl>
    <w:p w14:paraId="699CC404" w14:textId="77777777" w:rsidR="00FB36FE" w:rsidRDefault="00FB36FE" w:rsidP="00FB36FE">
      <w:pPr>
        <w:ind w:firstLine="360"/>
      </w:pPr>
      <w:proofErr w:type="gramStart"/>
      <w:r>
        <w:t>where</w:t>
      </w:r>
      <w:proofErr w:type="gramEnd"/>
      <w:r>
        <w:t xml:space="preserve"> </w:t>
      </w:r>
      <w:r>
        <w:rPr>
          <w:i/>
        </w:rPr>
        <w:t>x</w:t>
      </w:r>
      <w:r>
        <w:t xml:space="preserve"> is the fabrication pressure in kPa, </w:t>
      </w:r>
      <w:r>
        <w:rPr>
          <w:i/>
        </w:rPr>
        <w:t>y</w:t>
      </w:r>
      <w:r>
        <w:t xml:space="preserve"> is the prepreg relative humidity conditioning level in % RH, and </w:t>
      </w:r>
      <w:r>
        <w:rPr>
          <w:i/>
        </w:rPr>
        <w:t xml:space="preserve">C’s </w:t>
      </w:r>
      <w:r>
        <w:t xml:space="preserve">are parameter constants.  </w:t>
      </w:r>
    </w:p>
    <w:p w14:paraId="3EDDAA31" w14:textId="171E6DE2" w:rsidR="00881F4B" w:rsidRDefault="00F07623" w:rsidP="00D57357">
      <w:pPr>
        <w:ind w:firstLine="360"/>
      </w:pPr>
      <w:r>
        <w:t xml:space="preserve">Contour plots of normalized flexural stiffness are shown in </w:t>
      </w:r>
      <w:r w:rsidR="00A3515A">
        <w:fldChar w:fldCharType="begin"/>
      </w:r>
      <w:r w:rsidR="00A3515A">
        <w:instrText xml:space="preserve"> REF _Ref343760551 \h </w:instrText>
      </w:r>
      <w:r w:rsidR="00A3515A">
        <w:fldChar w:fldCharType="separate"/>
      </w:r>
      <w:r w:rsidR="008A1992" w:rsidRPr="00316887">
        <w:t xml:space="preserve">Figure </w:t>
      </w:r>
      <w:r w:rsidR="008A1992">
        <w:rPr>
          <w:noProof/>
        </w:rPr>
        <w:t>4</w:t>
      </w:r>
      <w:r w:rsidR="008A1992">
        <w:t>.</w:t>
      </w:r>
      <w:r w:rsidR="008A1992">
        <w:rPr>
          <w:noProof/>
        </w:rPr>
        <w:t>4</w:t>
      </w:r>
      <w:r w:rsidR="00A3515A">
        <w:fldChar w:fldCharType="end"/>
      </w:r>
      <w:r>
        <w:t xml:space="preserve">a-c. </w:t>
      </w:r>
      <w:r w:rsidR="00B55C80">
        <w:t xml:space="preserve"> From  </w:t>
      </w:r>
      <w:r w:rsidR="00B55C80">
        <w:fldChar w:fldCharType="begin"/>
      </w:r>
      <w:r w:rsidR="00B55C80">
        <w:instrText xml:space="preserve"> REF _Ref343760551 \h </w:instrText>
      </w:r>
      <w:r w:rsidR="00B55C80">
        <w:fldChar w:fldCharType="separate"/>
      </w:r>
      <w:r w:rsidR="008A1992" w:rsidRPr="00316887">
        <w:t xml:space="preserve">Figure </w:t>
      </w:r>
      <w:r w:rsidR="008A1992">
        <w:rPr>
          <w:noProof/>
        </w:rPr>
        <w:t>4</w:t>
      </w:r>
      <w:r w:rsidR="008A1992">
        <w:t>.</w:t>
      </w:r>
      <w:r w:rsidR="008A1992">
        <w:rPr>
          <w:noProof/>
        </w:rPr>
        <w:t>4</w:t>
      </w:r>
      <w:r w:rsidR="00B55C80">
        <w:fldChar w:fldCharType="end"/>
      </w:r>
      <w:r w:rsidR="00B55C80">
        <w:t xml:space="preserve">, it was observed that the flexural stiffness was primarily dependent on the fabrication pressure for all prepreg materials. </w:t>
      </w:r>
      <w:r w:rsidR="00514DC1">
        <w:t xml:space="preserve"> From Section </w:t>
      </w:r>
      <w:r w:rsidR="00514DC1">
        <w:fldChar w:fldCharType="begin"/>
      </w:r>
      <w:r w:rsidR="00514DC1">
        <w:instrText xml:space="preserve"> REF _Ref344128050 \r \h </w:instrText>
      </w:r>
      <w:r w:rsidR="00514DC1">
        <w:fldChar w:fldCharType="separate"/>
      </w:r>
      <w:r w:rsidR="008A1992">
        <w:t>4.3.1</w:t>
      </w:r>
      <w:r w:rsidR="00514DC1">
        <w:fldChar w:fldCharType="end"/>
      </w:r>
      <w:r w:rsidR="00514DC1">
        <w:t>,</w:t>
      </w:r>
      <w:r w:rsidR="00B55C80">
        <w:t xml:space="preserve"> humidity exposure </w:t>
      </w:r>
      <w:r w:rsidR="00514DC1">
        <w:t>was shown to</w:t>
      </w:r>
      <w:r w:rsidR="00B55C80">
        <w:t xml:space="preserve"> not significantly a</w:t>
      </w:r>
      <w:r w:rsidR="00514DC1">
        <w:t xml:space="preserve">ffect the fiber volume fraction. </w:t>
      </w:r>
      <w:r w:rsidR="00B55C80">
        <w:t xml:space="preserve"> </w:t>
      </w:r>
      <w:r w:rsidR="00514DC1">
        <w:t xml:space="preserve">Similarly, </w:t>
      </w:r>
      <w:r w:rsidR="00B55C80">
        <w:t xml:space="preserve">it would be expected that humidity exposure would not </w:t>
      </w:r>
      <w:r w:rsidR="00514DC1">
        <w:t xml:space="preserve">significantly affect the flexural stiffness, because stiffness is primarily a fiber-dominated phenomenon.  This general behavior was confirmed by the near vertical contour lines in </w:t>
      </w:r>
      <w:r w:rsidR="00514DC1">
        <w:fldChar w:fldCharType="begin"/>
      </w:r>
      <w:r w:rsidR="00514DC1">
        <w:instrText xml:space="preserve"> REF _Ref343760551 \h </w:instrText>
      </w:r>
      <w:r w:rsidR="00514DC1">
        <w:fldChar w:fldCharType="separate"/>
      </w:r>
      <w:r w:rsidR="008A1992" w:rsidRPr="00316887">
        <w:t xml:space="preserve">Figure </w:t>
      </w:r>
      <w:r w:rsidR="008A1992">
        <w:rPr>
          <w:noProof/>
        </w:rPr>
        <w:t>4</w:t>
      </w:r>
      <w:r w:rsidR="008A1992">
        <w:t>.</w:t>
      </w:r>
      <w:r w:rsidR="008A1992">
        <w:rPr>
          <w:noProof/>
        </w:rPr>
        <w:t>4</w:t>
      </w:r>
      <w:r w:rsidR="00514DC1">
        <w:fldChar w:fldCharType="end"/>
      </w:r>
      <w:r w:rsidR="00514DC1">
        <w:t xml:space="preserve">, which indicate that humidity exposure had very little influence on the laminate flexural stiffness.  Overall, the spacing between contour lines remained similar throughout the entire fabrication pressure range.  The constant contour line spacing indicates near-linear increases in stiffness as fabrication pressure increases.  </w:t>
      </w:r>
      <w:r w:rsidR="00B5467F">
        <w:t xml:space="preserve">Eventually, It would be expected that the stiffness rate of increase would begin to decline when significantly high cure pressures </w:t>
      </w:r>
      <w:r w:rsidR="00B5467F">
        <w:lastRenderedPageBreak/>
        <w:t xml:space="preserve">are used.  This would be caused by either i) fiber crushing damage due to excessive cure pressure or ii) achieving the upper fiber volume fraction limit for a structural-viable laminate.  </w:t>
      </w:r>
      <w:r w:rsidR="00D57357">
        <w:t>Regardless the resin system, t</w:t>
      </w:r>
      <w:r w:rsidR="00B5467F">
        <w:t xml:space="preserve">he maximum flexural stiffness </w:t>
      </w:r>
      <w:r w:rsidR="00D57357">
        <w:t xml:space="preserve">was 29.3 GPa </w:t>
      </w:r>
      <w:r w:rsidR="00B5467F">
        <w:t xml:space="preserve">for both quartz-reinforced prepreg materials, shown in </w:t>
      </w:r>
      <w:r w:rsidR="00B5467F">
        <w:fldChar w:fldCharType="begin"/>
      </w:r>
      <w:r w:rsidR="00B5467F">
        <w:instrText xml:space="preserve"> REF _Ref343760551 \h </w:instrText>
      </w:r>
      <w:r w:rsidR="00B5467F">
        <w:fldChar w:fldCharType="separate"/>
      </w:r>
      <w:r w:rsidR="008A1992" w:rsidRPr="00316887">
        <w:t xml:space="preserve">Figure </w:t>
      </w:r>
      <w:r w:rsidR="008A1992">
        <w:rPr>
          <w:noProof/>
        </w:rPr>
        <w:t>4</w:t>
      </w:r>
      <w:r w:rsidR="008A1992">
        <w:t>.</w:t>
      </w:r>
      <w:r w:rsidR="008A1992">
        <w:rPr>
          <w:noProof/>
        </w:rPr>
        <w:t>4</w:t>
      </w:r>
      <w:r w:rsidR="00B5467F">
        <w:fldChar w:fldCharType="end"/>
      </w:r>
      <w:proofErr w:type="gramStart"/>
      <w:r w:rsidR="00D57357">
        <w:t>a and</w:t>
      </w:r>
      <w:proofErr w:type="gramEnd"/>
      <w:r w:rsidR="00D57357">
        <w:t xml:space="preserve"> b.  Additionally, each quartz-reinforced prepreg material had a normalized percent reduction of about 25%.  Meanwhile, the flexural stiffness for carbon fiber-reinforcement was significantly higher, with a maximum of 53.3 GPa.  The load-bearing capability of carbon fiber is well known to be superior when compared to quartz fiber, which is reflected by the higher flexural stiffness values.  Carbon fiber-reinforcement also had a much narrower range of flexural stiffness values, as the normalized percent change was less than 20% for all fabricated specimens.</w:t>
      </w:r>
    </w:p>
    <w:p w14:paraId="49E2BDF3" w14:textId="10F8AAD6" w:rsidR="00316887" w:rsidRDefault="003A3E2A" w:rsidP="00D57357">
      <w:pPr>
        <w:keepNext/>
        <w:spacing w:line="240" w:lineRule="auto"/>
        <w:jc w:val="center"/>
      </w:pPr>
      <w:r>
        <w:rPr>
          <w:noProof/>
        </w:rPr>
        <w:lastRenderedPageBreak/>
        <w:drawing>
          <wp:inline distT="0" distB="0" distL="0" distR="0" wp14:anchorId="2EBE8B6A" wp14:editId="4D7039B8">
            <wp:extent cx="5394960" cy="4860925"/>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3.jpg"/>
                    <pic:cNvPicPr/>
                  </pic:nvPicPr>
                  <pic:blipFill>
                    <a:blip r:embed="rId97">
                      <a:extLst>
                        <a:ext uri="{28A0092B-C50C-407E-A947-70E740481C1C}">
                          <a14:useLocalDpi xmlns:a14="http://schemas.microsoft.com/office/drawing/2010/main" val="0"/>
                        </a:ext>
                      </a:extLst>
                    </a:blip>
                    <a:stretch>
                      <a:fillRect/>
                    </a:stretch>
                  </pic:blipFill>
                  <pic:spPr>
                    <a:xfrm>
                      <a:off x="0" y="0"/>
                      <a:ext cx="5394960" cy="4860925"/>
                    </a:xfrm>
                    <a:prstGeom prst="rect">
                      <a:avLst/>
                    </a:prstGeom>
                  </pic:spPr>
                </pic:pic>
              </a:graphicData>
            </a:graphic>
          </wp:inline>
        </w:drawing>
      </w:r>
    </w:p>
    <w:p w14:paraId="063A8778" w14:textId="4A71476C" w:rsidR="00316887" w:rsidRDefault="00316887" w:rsidP="00316887">
      <w:pPr>
        <w:pStyle w:val="Caption"/>
        <w:spacing w:line="240" w:lineRule="auto"/>
        <w:jc w:val="center"/>
        <w:rPr>
          <w:sz w:val="24"/>
        </w:rPr>
      </w:pPr>
      <w:bookmarkStart w:id="194" w:name="_Ref343760551"/>
      <w:bookmarkStart w:id="195" w:name="_Toc346310438"/>
      <w:proofErr w:type="gramStart"/>
      <w:r w:rsidRPr="00316887">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4</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4</w:t>
      </w:r>
      <w:r w:rsidR="00C16D85">
        <w:rPr>
          <w:sz w:val="24"/>
        </w:rPr>
        <w:fldChar w:fldCharType="end"/>
      </w:r>
      <w:bookmarkEnd w:id="194"/>
      <w:r w:rsidRPr="00316887">
        <w:rPr>
          <w:sz w:val="24"/>
        </w:rPr>
        <w:t xml:space="preserve"> Contour </w:t>
      </w:r>
      <w:r w:rsidRPr="00440086">
        <w:rPr>
          <w:sz w:val="24"/>
        </w:rPr>
        <w:t xml:space="preserve">plots </w:t>
      </w:r>
      <w:r w:rsidRPr="00234C16">
        <w:rPr>
          <w:sz w:val="24"/>
        </w:rPr>
        <w:t xml:space="preserve">of </w:t>
      </w:r>
      <w:r>
        <w:rPr>
          <w:sz w:val="24"/>
        </w:rPr>
        <w:t xml:space="preserve">normalized flexural stiffness </w:t>
      </w:r>
      <w:r w:rsidRPr="00234C16">
        <w:rPr>
          <w:sz w:val="24"/>
        </w:rPr>
        <w:t>for (</w:t>
      </w:r>
      <w:r>
        <w:rPr>
          <w:sz w:val="24"/>
        </w:rPr>
        <w:t>a</w:t>
      </w:r>
      <w:r w:rsidRPr="00234C16">
        <w:rPr>
          <w:sz w:val="24"/>
        </w:rPr>
        <w:t>) Quartz/</w:t>
      </w:r>
      <w:r>
        <w:rPr>
          <w:sz w:val="24"/>
        </w:rPr>
        <w:t>Epoxy</w:t>
      </w:r>
      <w:r w:rsidRPr="00234C16">
        <w:rPr>
          <w:sz w:val="24"/>
        </w:rPr>
        <w:t>, (</w:t>
      </w:r>
      <w:r>
        <w:rPr>
          <w:sz w:val="24"/>
        </w:rPr>
        <w:t>b</w:t>
      </w:r>
      <w:r w:rsidRPr="00234C16">
        <w:rPr>
          <w:sz w:val="24"/>
        </w:rPr>
        <w:t>) Quartz/</w:t>
      </w:r>
      <w:r>
        <w:rPr>
          <w:sz w:val="24"/>
        </w:rPr>
        <w:t>BMI</w:t>
      </w:r>
      <w:r w:rsidRPr="00234C16">
        <w:rPr>
          <w:sz w:val="24"/>
        </w:rPr>
        <w:t>, and (</w:t>
      </w:r>
      <w:r>
        <w:rPr>
          <w:sz w:val="24"/>
        </w:rPr>
        <w:t>c</w:t>
      </w:r>
      <w:r w:rsidRPr="00234C16">
        <w:rPr>
          <w:sz w:val="24"/>
        </w:rPr>
        <w:t>) Carbon/Epoxy</w:t>
      </w:r>
      <w:bookmarkEnd w:id="195"/>
    </w:p>
    <w:p w14:paraId="0C30D8F6" w14:textId="77777777" w:rsidR="00A3515A" w:rsidRPr="00A3515A" w:rsidRDefault="00A3515A" w:rsidP="00A3515A"/>
    <w:p w14:paraId="3727B365" w14:textId="5A0807B5" w:rsidR="00316887" w:rsidRDefault="00FB36FE" w:rsidP="00316887">
      <w:pPr>
        <w:pStyle w:val="Heading3"/>
      </w:pPr>
      <w:bookmarkStart w:id="196" w:name="_Ref343860384"/>
      <w:bookmarkStart w:id="197" w:name="_Toc346311001"/>
      <w:r>
        <w:t xml:space="preserve">Contour Plots for </w:t>
      </w:r>
      <w:r w:rsidR="00316887">
        <w:t>Normalized Flexural Strength</w:t>
      </w:r>
      <w:bookmarkEnd w:id="196"/>
      <w:bookmarkEnd w:id="197"/>
    </w:p>
    <w:p w14:paraId="36E0438D" w14:textId="5B794250" w:rsidR="00DB7C42" w:rsidRDefault="00384B0F" w:rsidP="00DB7C42">
      <w:pPr>
        <w:ind w:firstLine="360"/>
      </w:pPr>
      <w:r>
        <w:t xml:space="preserve">The property function equation </w:t>
      </w:r>
      <w:r w:rsidR="00DB7C42">
        <w:t xml:space="preserve">for normalized flexural strength was developed based on the trends associated with changing prepreg humidity exposure and fabrication pressure, which was introduced in Sections </w:t>
      </w:r>
      <w:r w:rsidR="00DB7C42">
        <w:fldChar w:fldCharType="begin"/>
      </w:r>
      <w:r w:rsidR="00DB7C42">
        <w:instrText xml:space="preserve"> REF _Ref344129830 \r \h </w:instrText>
      </w:r>
      <w:r w:rsidR="00DB7C42">
        <w:fldChar w:fldCharType="separate"/>
      </w:r>
      <w:r w:rsidR="008A1992">
        <w:t>3.2.6</w:t>
      </w:r>
      <w:r w:rsidR="00DB7C42">
        <w:fldChar w:fldCharType="end"/>
      </w:r>
      <w:r w:rsidR="00DB7C42">
        <w:t xml:space="preserve"> and </w:t>
      </w:r>
      <w:r w:rsidR="00DB7C42">
        <w:fldChar w:fldCharType="begin"/>
      </w:r>
      <w:r w:rsidR="00DB7C42">
        <w:instrText xml:space="preserve"> REF _Ref344129833 \r \h </w:instrText>
      </w:r>
      <w:r w:rsidR="00DB7C42">
        <w:fldChar w:fldCharType="separate"/>
      </w:r>
      <w:r w:rsidR="008A1992">
        <w:t>3.2.7</w:t>
      </w:r>
      <w:r w:rsidR="00DB7C42">
        <w:fldChar w:fldCharType="end"/>
      </w:r>
      <w:r w:rsidR="00DB7C42">
        <w:t xml:space="preserve">.  A functional equation that considers a </w:t>
      </w:r>
      <w:r w:rsidR="00DA3202" w:rsidRPr="00DA3202">
        <w:t>2</w:t>
      </w:r>
      <w:r w:rsidR="00DA3202" w:rsidRPr="00DA3202">
        <w:rPr>
          <w:vertAlign w:val="superscript"/>
        </w:rPr>
        <w:t>nd</w:t>
      </w:r>
      <w:r w:rsidR="00DA3202" w:rsidRPr="00DA3202">
        <w:t>-order</w:t>
      </w:r>
      <w:r w:rsidR="00DA3202">
        <w:t xml:space="preserve"> polynomial</w:t>
      </w:r>
      <w:r w:rsidR="00DB7C42">
        <w:t xml:space="preserve"> contribution for prepreg humidity exposure and a </w:t>
      </w:r>
      <w:r w:rsidR="00DB7C42" w:rsidRPr="00DA3202">
        <w:t>power</w:t>
      </w:r>
      <w:r w:rsidR="00DB7C42">
        <w:t xml:space="preserve"> contribution for fabrication pressure was selected as the most accurate </w:t>
      </w:r>
      <w:r w:rsidR="00DB7C42">
        <w:lastRenderedPageBreak/>
        <w:t xml:space="preserve">representation of the dependent </w:t>
      </w:r>
      <w:proofErr w:type="gramStart"/>
      <w:r w:rsidR="00DB7C42">
        <w:t>variable,</w:t>
      </w:r>
      <w:proofErr w:type="gramEnd"/>
      <w:r w:rsidR="00DB7C42">
        <w:t xml:space="preserve"> normalized flexural strength.  Therefore, the functional equation for normalized flexural strength (φ</w:t>
      </w:r>
      <w:r w:rsidR="00DB7C42" w:rsidRPr="00DB7C42">
        <w:rPr>
          <w:vertAlign w:val="subscript"/>
        </w:rPr>
        <w:t>N</w:t>
      </w:r>
      <w:r w:rsidR="00DB7C42" w:rsidRPr="00DB7C42">
        <w:rPr>
          <w:color w:val="000000"/>
          <w:vertAlign w:val="subscript"/>
        </w:rPr>
        <w:t>σ</w:t>
      </w:r>
      <w:r w:rsidR="00DB7C42">
        <w:t>) was: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gridCol w:w="630"/>
      </w:tblGrid>
      <w:tr w:rsidR="00DB7C42" w14:paraId="2DB04802" w14:textId="77777777" w:rsidTr="00DB7C42">
        <w:tc>
          <w:tcPr>
            <w:tcW w:w="7920" w:type="dxa"/>
            <w:shd w:val="clear" w:color="auto" w:fill="auto"/>
            <w:vAlign w:val="center"/>
          </w:tcPr>
          <w:p w14:paraId="548C3FDA" w14:textId="4B18A313" w:rsidR="00DB7C42" w:rsidRDefault="007F38FB" w:rsidP="00DA3202">
            <w:pPr>
              <w:jc w:val="center"/>
            </w:pPr>
            <m:oMathPara>
              <m:oMath>
                <m:sSub>
                  <m:sSubPr>
                    <m:ctrlPr>
                      <w:rPr>
                        <w:rFonts w:ascii="Cambria Math" w:hAnsi="Cambria Math"/>
                        <w:i/>
                      </w:rPr>
                    </m:ctrlPr>
                  </m:sSubPr>
                  <m:e>
                    <m:r>
                      <w:rPr>
                        <w:rFonts w:ascii="Cambria Math" w:hAnsi="Cambria Math"/>
                      </w:rPr>
                      <m:t>φ</m:t>
                    </m:r>
                  </m:e>
                  <m:sub>
                    <m:r>
                      <w:rPr>
                        <w:rFonts w:ascii="Cambria Math" w:hAnsi="Cambria Math"/>
                      </w:rPr>
                      <m:t>Nσ</m:t>
                    </m:r>
                  </m:sub>
                </m:sSub>
                <m:r>
                  <w:rPr>
                    <w:rFonts w:ascii="Cambria Math" w:hAnsi="Cambria Math"/>
                  </w:rPr>
                  <m:t>=C+</m:t>
                </m:r>
                <m:sSub>
                  <m:sSubPr>
                    <m:ctrlPr>
                      <w:rPr>
                        <w:rFonts w:ascii="Cambria Math" w:hAnsi="Cambria Math"/>
                        <w:i/>
                      </w:rPr>
                    </m:ctrlPr>
                  </m:sSubPr>
                  <m:e>
                    <m:r>
                      <w:rPr>
                        <w:rFonts w:ascii="Cambria Math" w:hAnsi="Cambria Math"/>
                      </w:rPr>
                      <m:t>C</m:t>
                    </m:r>
                  </m:e>
                  <m:sub>
                    <m:r>
                      <w:rPr>
                        <w:rFonts w:ascii="Cambria Math" w:hAnsi="Cambria Math"/>
                      </w:rPr>
                      <m:t>10</m:t>
                    </m:r>
                  </m:sub>
                </m:sSub>
                <m:sSup>
                  <m:sSupPr>
                    <m:ctrlPr>
                      <w:rPr>
                        <w:rFonts w:ascii="Cambria Math" w:hAnsi="Cambria Math"/>
                        <w:i/>
                      </w:rPr>
                    </m:ctrlPr>
                  </m:sSupPr>
                  <m:e>
                    <m:r>
                      <w:rPr>
                        <w:rFonts w:ascii="Cambria Math" w:hAnsi="Cambria Math"/>
                      </w:rPr>
                      <m:t>x</m:t>
                    </m:r>
                  </m:e>
                  <m:sup>
                    <m:r>
                      <w:rPr>
                        <w:rFonts w:ascii="Cambria Math" w:hAnsi="Cambria Math"/>
                      </w:rPr>
                      <m:t>A</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11</m:t>
                    </m:r>
                  </m:sub>
                </m:sSub>
                <m:r>
                  <w:rPr>
                    <w:rFonts w:ascii="Cambria Math" w:hAnsi="Cambria Math"/>
                  </w:rPr>
                  <m:t>xy+</m:t>
                </m:r>
                <m:sSub>
                  <m:sSubPr>
                    <m:ctrlPr>
                      <w:rPr>
                        <w:rFonts w:ascii="Cambria Math" w:hAnsi="Cambria Math"/>
                        <w:i/>
                      </w:rPr>
                    </m:ctrlPr>
                  </m:sSubPr>
                  <m:e>
                    <m:r>
                      <w:rPr>
                        <w:rFonts w:ascii="Cambria Math" w:hAnsi="Cambria Math"/>
                      </w:rPr>
                      <m:t>C</m:t>
                    </m:r>
                  </m:e>
                  <m:sub>
                    <m:r>
                      <w:rPr>
                        <w:rFonts w:ascii="Cambria Math" w:hAnsi="Cambria Math"/>
                      </w:rPr>
                      <m:t>02</m:t>
                    </m:r>
                  </m:sub>
                </m:sSub>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01</m:t>
                    </m:r>
                  </m:sub>
                </m:sSub>
                <m:r>
                  <w:rPr>
                    <w:rFonts w:ascii="Cambria Math" w:hAnsi="Cambria Math"/>
                  </w:rPr>
                  <m:t>y</m:t>
                </m:r>
              </m:oMath>
            </m:oMathPara>
          </w:p>
        </w:tc>
        <w:tc>
          <w:tcPr>
            <w:tcW w:w="630" w:type="dxa"/>
            <w:shd w:val="clear" w:color="auto" w:fill="auto"/>
            <w:vAlign w:val="center"/>
          </w:tcPr>
          <w:p w14:paraId="237A80EA" w14:textId="7DD1A646" w:rsidR="00DB7C42" w:rsidRDefault="00DB7C42" w:rsidP="00DB7C42">
            <w:pPr>
              <w:jc w:val="right"/>
            </w:pPr>
            <w:r>
              <w:t>(8)</w:t>
            </w:r>
          </w:p>
        </w:tc>
      </w:tr>
    </w:tbl>
    <w:p w14:paraId="4CAAF04A" w14:textId="3A3290B8" w:rsidR="00DB7C42" w:rsidRDefault="00DB7C42" w:rsidP="00DB7C42">
      <w:pPr>
        <w:ind w:firstLine="360"/>
      </w:pPr>
      <w:proofErr w:type="gramStart"/>
      <w:r>
        <w:t>where</w:t>
      </w:r>
      <w:proofErr w:type="gramEnd"/>
      <w:r>
        <w:t xml:space="preserve"> </w:t>
      </w:r>
      <w:r>
        <w:rPr>
          <w:i/>
        </w:rPr>
        <w:t>x</w:t>
      </w:r>
      <w:r>
        <w:t xml:space="preserve"> is the fabrication pressure in kPa, </w:t>
      </w:r>
      <w:r>
        <w:rPr>
          <w:i/>
        </w:rPr>
        <w:t>y</w:t>
      </w:r>
      <w:r>
        <w:t xml:space="preserve"> is the prepreg relative humidity conditioning level in % RH, and </w:t>
      </w:r>
      <w:r w:rsidR="0013387B">
        <w:rPr>
          <w:i/>
        </w:rPr>
        <w:t>A and</w:t>
      </w:r>
      <w:r w:rsidR="00DA3202">
        <w:rPr>
          <w:i/>
        </w:rPr>
        <w:t xml:space="preserve"> </w:t>
      </w:r>
      <w:r>
        <w:rPr>
          <w:i/>
        </w:rPr>
        <w:t xml:space="preserve">C’s </w:t>
      </w:r>
      <w:r>
        <w:t>are parameter constants.</w:t>
      </w:r>
    </w:p>
    <w:p w14:paraId="1B521115" w14:textId="7868E6BF" w:rsidR="00881F4B" w:rsidRDefault="00DB7C42" w:rsidP="00C17755">
      <w:pPr>
        <w:ind w:firstLine="360"/>
      </w:pPr>
      <w:r>
        <w:t xml:space="preserve">Contour plots of normalized flexural strength are shown in </w:t>
      </w:r>
      <w:r>
        <w:fldChar w:fldCharType="begin"/>
      </w:r>
      <w:r>
        <w:instrText xml:space="preserve"> REF _Ref343760724 \h </w:instrText>
      </w:r>
      <w:r>
        <w:fldChar w:fldCharType="separate"/>
      </w:r>
      <w:r w:rsidR="008A1992" w:rsidRPr="00A3515A">
        <w:t xml:space="preserve">Figure </w:t>
      </w:r>
      <w:r w:rsidR="008A1992">
        <w:rPr>
          <w:noProof/>
        </w:rPr>
        <w:t>4</w:t>
      </w:r>
      <w:r w:rsidR="008A1992">
        <w:t>.</w:t>
      </w:r>
      <w:r w:rsidR="008A1992">
        <w:rPr>
          <w:noProof/>
        </w:rPr>
        <w:t>5</w:t>
      </w:r>
      <w:r>
        <w:fldChar w:fldCharType="end"/>
      </w:r>
      <w:r>
        <w:t xml:space="preserve">a-c.  From </w:t>
      </w:r>
      <w:r>
        <w:fldChar w:fldCharType="begin"/>
      </w:r>
      <w:r>
        <w:instrText xml:space="preserve"> REF _Ref343760724 \h </w:instrText>
      </w:r>
      <w:r>
        <w:fldChar w:fldCharType="separate"/>
      </w:r>
      <w:r w:rsidR="008A1992" w:rsidRPr="00A3515A">
        <w:t xml:space="preserve">Figure </w:t>
      </w:r>
      <w:r w:rsidR="008A1992">
        <w:rPr>
          <w:noProof/>
        </w:rPr>
        <w:t>4</w:t>
      </w:r>
      <w:r w:rsidR="008A1992">
        <w:t>.</w:t>
      </w:r>
      <w:r w:rsidR="008A1992">
        <w:rPr>
          <w:noProof/>
        </w:rPr>
        <w:t>5</w:t>
      </w:r>
      <w:r>
        <w:fldChar w:fldCharType="end"/>
      </w:r>
      <w:r>
        <w:t xml:space="preserve">, </w:t>
      </w:r>
      <w:r w:rsidR="00E232AF">
        <w:t xml:space="preserve">it was observed that </w:t>
      </w:r>
      <w:r w:rsidR="0013387B">
        <w:t>both prepreg humidity exposure and fabrication pressure significantly affected flexural strength</w:t>
      </w:r>
      <w:r>
        <w:t xml:space="preserve">.  </w:t>
      </w:r>
      <w:r w:rsidR="00E232AF">
        <w:t>Flexural strength requires a good fiber-matrix interface to transfer loads between plies; therefore any laminate defects can significantly degrade the strength potential of a composite laminate.  Thus, an increase in void fraction should decrease the laminate flexural strength.</w:t>
      </w:r>
      <w:r w:rsidR="00DF0086">
        <w:t xml:space="preserve">  The strength for quartz-reinforced laminates, shown in </w:t>
      </w:r>
      <w:r w:rsidR="00DF0086">
        <w:fldChar w:fldCharType="begin"/>
      </w:r>
      <w:r w:rsidR="00DF0086">
        <w:instrText xml:space="preserve"> REF _Ref343760724 \h </w:instrText>
      </w:r>
      <w:r w:rsidR="00DF0086">
        <w:fldChar w:fldCharType="separate"/>
      </w:r>
      <w:r w:rsidR="008A1992" w:rsidRPr="00A3515A">
        <w:t xml:space="preserve">Figure </w:t>
      </w:r>
      <w:r w:rsidR="008A1992">
        <w:rPr>
          <w:noProof/>
        </w:rPr>
        <w:t>4</w:t>
      </w:r>
      <w:r w:rsidR="008A1992">
        <w:t>.</w:t>
      </w:r>
      <w:r w:rsidR="008A1992">
        <w:rPr>
          <w:noProof/>
        </w:rPr>
        <w:t>5</w:t>
      </w:r>
      <w:r w:rsidR="00DF0086">
        <w:fldChar w:fldCharType="end"/>
      </w:r>
      <w:proofErr w:type="gramStart"/>
      <w:r w:rsidR="00DF0086">
        <w:t>a and</w:t>
      </w:r>
      <w:proofErr w:type="gramEnd"/>
      <w:r w:rsidR="00DF0086">
        <w:t xml:space="preserve"> b, follows this behavior very closely.  The highest flexural strength was observed when humidity exposure was minimized and fabrication pressure was maximized, which resulted in the lowest void volume fraction for the prepreg materials.  Additionally, the </w:t>
      </w:r>
      <w:r w:rsidR="00C07640">
        <w:t xml:space="preserve">gap between contour lines was the closest in the same region when void fraction similarly had the closest intervals, which was at high humidity exposure and low fabrication pressure.  An interesting note is the complex procedure required to improve strength for these laminates.  If starting at a low fabrication cure pressure, a majority of improvement can be achieved simply by increasing the cure pressure.  However, as pressure increases to higher amounts (greater than 350 kPa), it becomes increasingly necessary to reduce to humidity exposure level to continue improving the flexural strength.  Resin type has a significant role on the maximum flexural strength, which is corroborated by BMI being much lower (603 </w:t>
      </w:r>
      <w:r w:rsidR="00C07640">
        <w:lastRenderedPageBreak/>
        <w:t>MPa) when compared to epoxy (967 MPa).</w:t>
      </w:r>
      <w:r w:rsidR="00C17755">
        <w:t xml:space="preserve">  The normalized strength reduction for carbon/epoxy, shown in </w:t>
      </w:r>
      <w:r w:rsidR="00C17755">
        <w:fldChar w:fldCharType="begin"/>
      </w:r>
      <w:r w:rsidR="00C17755">
        <w:instrText xml:space="preserve"> REF _Ref343760724 \h </w:instrText>
      </w:r>
      <w:r w:rsidR="00C17755">
        <w:fldChar w:fldCharType="separate"/>
      </w:r>
      <w:r w:rsidR="008A1992" w:rsidRPr="00A3515A">
        <w:t xml:space="preserve">Figure </w:t>
      </w:r>
      <w:r w:rsidR="008A1992">
        <w:rPr>
          <w:noProof/>
        </w:rPr>
        <w:t>4</w:t>
      </w:r>
      <w:r w:rsidR="008A1992">
        <w:t>.</w:t>
      </w:r>
      <w:r w:rsidR="008A1992">
        <w:rPr>
          <w:noProof/>
        </w:rPr>
        <w:t>5</w:t>
      </w:r>
      <w:r w:rsidR="00C17755">
        <w:fldChar w:fldCharType="end"/>
      </w:r>
      <w:r w:rsidR="00C17755">
        <w:t>c, was much lower than the two quartz-reinforced laminates.  Additionally, the strength for carbon/epoxy laminates demonstrated no significant affect due to humidity changes.  This may be due to the relatively low void fraction levels (4.8% maximum) when compared to the quartz-reinforced laminates (14% maximum).</w:t>
      </w:r>
    </w:p>
    <w:p w14:paraId="78CA118D" w14:textId="057AE69D" w:rsidR="00A3515A" w:rsidRDefault="003A3E2A" w:rsidP="00E232AF">
      <w:pPr>
        <w:keepNext/>
        <w:spacing w:line="240" w:lineRule="auto"/>
        <w:jc w:val="center"/>
      </w:pPr>
      <w:r>
        <w:rPr>
          <w:noProof/>
        </w:rPr>
        <w:drawing>
          <wp:inline distT="0" distB="0" distL="0" distR="0" wp14:anchorId="56EDC55D" wp14:editId="34BF5353">
            <wp:extent cx="5394960" cy="486092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4.jpg"/>
                    <pic:cNvPicPr/>
                  </pic:nvPicPr>
                  <pic:blipFill>
                    <a:blip r:embed="rId98">
                      <a:extLst>
                        <a:ext uri="{28A0092B-C50C-407E-A947-70E740481C1C}">
                          <a14:useLocalDpi xmlns:a14="http://schemas.microsoft.com/office/drawing/2010/main" val="0"/>
                        </a:ext>
                      </a:extLst>
                    </a:blip>
                    <a:stretch>
                      <a:fillRect/>
                    </a:stretch>
                  </pic:blipFill>
                  <pic:spPr>
                    <a:xfrm>
                      <a:off x="0" y="0"/>
                      <a:ext cx="5394960" cy="4860925"/>
                    </a:xfrm>
                    <a:prstGeom prst="rect">
                      <a:avLst/>
                    </a:prstGeom>
                  </pic:spPr>
                </pic:pic>
              </a:graphicData>
            </a:graphic>
          </wp:inline>
        </w:drawing>
      </w:r>
    </w:p>
    <w:p w14:paraId="748C0DB8" w14:textId="33388D7E" w:rsidR="00A3515A" w:rsidRPr="00A3515A" w:rsidRDefault="00A3515A" w:rsidP="00A3515A">
      <w:pPr>
        <w:pStyle w:val="Caption"/>
        <w:spacing w:after="120" w:line="240" w:lineRule="auto"/>
        <w:jc w:val="center"/>
        <w:rPr>
          <w:sz w:val="24"/>
        </w:rPr>
      </w:pPr>
      <w:bookmarkStart w:id="198" w:name="_Ref343760724"/>
      <w:bookmarkStart w:id="199" w:name="_Toc346310439"/>
      <w:proofErr w:type="gramStart"/>
      <w:r w:rsidRPr="00A3515A">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4</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5</w:t>
      </w:r>
      <w:r w:rsidR="00C16D85">
        <w:rPr>
          <w:sz w:val="24"/>
        </w:rPr>
        <w:fldChar w:fldCharType="end"/>
      </w:r>
      <w:bookmarkEnd w:id="198"/>
      <w:r w:rsidRPr="00A3515A">
        <w:rPr>
          <w:sz w:val="24"/>
        </w:rPr>
        <w:t xml:space="preserve"> Contour </w:t>
      </w:r>
      <w:r w:rsidRPr="00440086">
        <w:rPr>
          <w:sz w:val="24"/>
        </w:rPr>
        <w:t xml:space="preserve">plots </w:t>
      </w:r>
      <w:r w:rsidRPr="00234C16">
        <w:rPr>
          <w:sz w:val="24"/>
        </w:rPr>
        <w:t xml:space="preserve">of </w:t>
      </w:r>
      <w:r>
        <w:rPr>
          <w:sz w:val="24"/>
        </w:rPr>
        <w:t xml:space="preserve">normalized flexural strength </w:t>
      </w:r>
      <w:r w:rsidRPr="00234C16">
        <w:rPr>
          <w:sz w:val="24"/>
        </w:rPr>
        <w:t>for (</w:t>
      </w:r>
      <w:r>
        <w:rPr>
          <w:sz w:val="24"/>
        </w:rPr>
        <w:t>a</w:t>
      </w:r>
      <w:r w:rsidRPr="00234C16">
        <w:rPr>
          <w:sz w:val="24"/>
        </w:rPr>
        <w:t>) Quartz/</w:t>
      </w:r>
      <w:r>
        <w:rPr>
          <w:sz w:val="24"/>
        </w:rPr>
        <w:t>Epoxy</w:t>
      </w:r>
      <w:r w:rsidRPr="00234C16">
        <w:rPr>
          <w:sz w:val="24"/>
        </w:rPr>
        <w:t>, (</w:t>
      </w:r>
      <w:r>
        <w:rPr>
          <w:sz w:val="24"/>
        </w:rPr>
        <w:t>b</w:t>
      </w:r>
      <w:r w:rsidRPr="00234C16">
        <w:rPr>
          <w:sz w:val="24"/>
        </w:rPr>
        <w:t>) Quartz/</w:t>
      </w:r>
      <w:r>
        <w:rPr>
          <w:sz w:val="24"/>
        </w:rPr>
        <w:t>BMI</w:t>
      </w:r>
      <w:r w:rsidRPr="00234C16">
        <w:rPr>
          <w:sz w:val="24"/>
        </w:rPr>
        <w:t>, and (</w:t>
      </w:r>
      <w:r>
        <w:rPr>
          <w:sz w:val="24"/>
        </w:rPr>
        <w:t>c</w:t>
      </w:r>
      <w:r w:rsidRPr="00234C16">
        <w:rPr>
          <w:sz w:val="24"/>
        </w:rPr>
        <w:t>) Carbon/Epoxy</w:t>
      </w:r>
      <w:bookmarkEnd w:id="199"/>
    </w:p>
    <w:p w14:paraId="529BDFAA" w14:textId="77777777" w:rsidR="00203EC0" w:rsidRPr="00983613" w:rsidRDefault="00203EC0" w:rsidP="00203EC0">
      <w:pPr>
        <w:pStyle w:val="Heading2"/>
      </w:pPr>
      <w:bookmarkStart w:id="200" w:name="_Toc346311002"/>
      <w:r>
        <w:lastRenderedPageBreak/>
        <w:t>Summary of Contour Plot Chapter</w:t>
      </w:r>
      <w:bookmarkEnd w:id="200"/>
    </w:p>
    <w:p w14:paraId="40E06F79" w14:textId="3C7CD1CF" w:rsidR="00203EC0" w:rsidRPr="00030081" w:rsidRDefault="00A4235B" w:rsidP="00203EC0">
      <w:pPr>
        <w:ind w:firstLine="360"/>
      </w:pPr>
      <w:r w:rsidRPr="003F5EEB">
        <w:t>Contour</w:t>
      </w:r>
      <w:r w:rsidR="00203EC0" w:rsidRPr="003F5EEB">
        <w:t xml:space="preserve"> plots were</w:t>
      </w:r>
      <w:r w:rsidR="00203EC0">
        <w:t xml:space="preserve"> </w:t>
      </w:r>
      <w:r>
        <w:t>used to examine</w:t>
      </w:r>
      <w:r w:rsidR="00C17755">
        <w:t xml:space="preserve"> the synergistic relationship between</w:t>
      </w:r>
      <w:r>
        <w:t xml:space="preserve"> prepreg </w:t>
      </w:r>
      <w:r w:rsidR="00C17755">
        <w:t xml:space="preserve">humidity </w:t>
      </w:r>
      <w:r>
        <w:t>conditioning and fabrication</w:t>
      </w:r>
      <w:r w:rsidR="00C17755">
        <w:t xml:space="preserve"> </w:t>
      </w:r>
      <w:r>
        <w:t xml:space="preserve">pressure on </w:t>
      </w:r>
      <w:r w:rsidR="00296D61">
        <w:t>some key laminate characterization properties, including</w:t>
      </w:r>
      <w:r>
        <w:t xml:space="preserve"> fiber volume fraction, vo</w:t>
      </w:r>
      <w:r w:rsidR="00296D61">
        <w:t xml:space="preserve">id </w:t>
      </w:r>
      <w:r w:rsidR="0013387B">
        <w:t xml:space="preserve">volume </w:t>
      </w:r>
      <w:r w:rsidR="00296D61">
        <w:t>fraction, flexural stiffness</w:t>
      </w:r>
      <w:r>
        <w:t xml:space="preserve">, and </w:t>
      </w:r>
      <w:r w:rsidR="00296D61">
        <w:t>flexural strength</w:t>
      </w:r>
      <w:r>
        <w:t xml:space="preserve">.  </w:t>
      </w:r>
      <w:r w:rsidR="003F5EEB">
        <w:t>Section</w:t>
      </w:r>
      <w:r w:rsidR="005A257D">
        <w:t>s</w:t>
      </w:r>
      <w:r w:rsidR="003F5EEB">
        <w:t xml:space="preserve"> </w:t>
      </w:r>
      <w:r w:rsidR="005A257D">
        <w:fldChar w:fldCharType="begin"/>
      </w:r>
      <w:r w:rsidR="005A257D">
        <w:instrText xml:space="preserve"> REF _Ref343860334 \r \h </w:instrText>
      </w:r>
      <w:r w:rsidR="005A257D">
        <w:fldChar w:fldCharType="separate"/>
      </w:r>
      <w:r w:rsidR="008A1992">
        <w:t>4.3.1</w:t>
      </w:r>
      <w:r w:rsidR="005A257D">
        <w:fldChar w:fldCharType="end"/>
      </w:r>
      <w:r w:rsidR="005A257D">
        <w:t xml:space="preserve"> and </w:t>
      </w:r>
      <w:r w:rsidR="005A257D">
        <w:fldChar w:fldCharType="begin"/>
      </w:r>
      <w:r w:rsidR="005A257D">
        <w:instrText xml:space="preserve"> REF _Ref343860336 \r \h </w:instrText>
      </w:r>
      <w:r w:rsidR="005A257D">
        <w:fldChar w:fldCharType="separate"/>
      </w:r>
      <w:r w:rsidR="008A1992">
        <w:t>4.3.2</w:t>
      </w:r>
      <w:r w:rsidR="005A257D">
        <w:fldChar w:fldCharType="end"/>
      </w:r>
      <w:r w:rsidR="003F5EEB">
        <w:t xml:space="preserve"> introduced the </w:t>
      </w:r>
      <w:r w:rsidR="00384B0F">
        <w:t xml:space="preserve">property function equations </w:t>
      </w:r>
      <w:r w:rsidR="003F5EEB">
        <w:t xml:space="preserve">related to the fiber volume fraction and void </w:t>
      </w:r>
      <w:r w:rsidR="005A257D">
        <w:t xml:space="preserve">volume </w:t>
      </w:r>
      <w:r w:rsidR="003F5EEB">
        <w:t>fraction</w:t>
      </w:r>
      <w:r w:rsidR="005A257D">
        <w:t>, respectively</w:t>
      </w:r>
      <w:r w:rsidR="003F5EEB">
        <w:t xml:space="preserve">.  Fiber volume fraction was primarily dependent on changing fabrication pressure, whereas the void fraction demonstrated a more complex relationship between pressure and relative humidity.  </w:t>
      </w:r>
      <w:r w:rsidR="00384B0F">
        <w:t xml:space="preserve">The property function equations </w:t>
      </w:r>
      <w:r w:rsidR="003F5EEB">
        <w:t xml:space="preserve">associated with flexural stiffness and </w:t>
      </w:r>
      <w:r w:rsidR="00C17755">
        <w:t xml:space="preserve">flexural </w:t>
      </w:r>
      <w:r w:rsidR="003F5EEB">
        <w:t xml:space="preserve">strength </w:t>
      </w:r>
      <w:r w:rsidR="00C17755">
        <w:t>was</w:t>
      </w:r>
      <w:r w:rsidR="003F5EEB">
        <w:t xml:space="preserve"> presented in </w:t>
      </w:r>
      <w:r w:rsidR="00203EC0">
        <w:t>Section</w:t>
      </w:r>
      <w:r w:rsidR="005A257D">
        <w:t xml:space="preserve">s </w:t>
      </w:r>
      <w:r w:rsidR="005A257D">
        <w:fldChar w:fldCharType="begin"/>
      </w:r>
      <w:r w:rsidR="005A257D">
        <w:instrText xml:space="preserve"> REF _Ref343860383 \r \h </w:instrText>
      </w:r>
      <w:r w:rsidR="005A257D">
        <w:fldChar w:fldCharType="separate"/>
      </w:r>
      <w:r w:rsidR="008A1992">
        <w:t>4.3.3</w:t>
      </w:r>
      <w:r w:rsidR="005A257D">
        <w:fldChar w:fldCharType="end"/>
      </w:r>
      <w:r w:rsidR="005A257D">
        <w:t xml:space="preserve"> and </w:t>
      </w:r>
      <w:r w:rsidR="005A257D">
        <w:fldChar w:fldCharType="begin"/>
      </w:r>
      <w:r w:rsidR="005A257D">
        <w:instrText xml:space="preserve"> REF _Ref343860384 \r \h </w:instrText>
      </w:r>
      <w:r w:rsidR="005A257D">
        <w:fldChar w:fldCharType="separate"/>
      </w:r>
      <w:r w:rsidR="008A1992">
        <w:t>4.3.4</w:t>
      </w:r>
      <w:r w:rsidR="005A257D">
        <w:fldChar w:fldCharType="end"/>
      </w:r>
      <w:r w:rsidR="005A257D">
        <w:t>, respectively</w:t>
      </w:r>
      <w:r w:rsidR="00203EC0">
        <w:t xml:space="preserve">.  </w:t>
      </w:r>
      <w:r w:rsidR="005A257D">
        <w:t>Changes in fabrication pressure were the primary influence in varying the laminate flexural stiffness.  Meanwhile, a more complex coupled interaction of both prepreg humidity exposure and fabrication pressure was responsible for varying the laminate flexural strength</w:t>
      </w:r>
      <w:r w:rsidR="00C17755">
        <w:t xml:space="preserve"> for quartz-reinforced laminates.  Flexural strength for carbon fiber-reinforced laminates seemed to be primarily influenced by changing cure pressure.</w:t>
      </w:r>
    </w:p>
    <w:p w14:paraId="7D215250" w14:textId="77777777" w:rsidR="00881F4B" w:rsidRDefault="00881F4B" w:rsidP="00CF5519"/>
    <w:p w14:paraId="025FD3B5" w14:textId="77777777" w:rsidR="00376B29" w:rsidRDefault="00376B29">
      <w:pPr>
        <w:spacing w:line="240" w:lineRule="auto"/>
        <w:jc w:val="left"/>
      </w:pPr>
      <w:r>
        <w:br w:type="page"/>
      </w:r>
    </w:p>
    <w:p w14:paraId="314977FC" w14:textId="0E153225" w:rsidR="00376B29" w:rsidRDefault="00376B29" w:rsidP="00376B29">
      <w:pPr>
        <w:pStyle w:val="Heading1"/>
      </w:pPr>
      <w:bookmarkStart w:id="201" w:name="_Toc346311003"/>
      <w:r>
        <w:lastRenderedPageBreak/>
        <w:t xml:space="preserve">Part B: </w:t>
      </w:r>
      <w:r w:rsidR="003F5EEB">
        <w:t>Hydraulic Fluid</w:t>
      </w:r>
      <w:r>
        <w:t xml:space="preserve"> Contamination Effects</w:t>
      </w:r>
      <w:bookmarkEnd w:id="201"/>
    </w:p>
    <w:p w14:paraId="6A8CBEFC" w14:textId="49AD1A8B" w:rsidR="00376B29" w:rsidRDefault="00376B29" w:rsidP="00376B29">
      <w:pPr>
        <w:ind w:firstLine="360"/>
      </w:pPr>
      <w:r>
        <w:t xml:space="preserve">In this part, the focus is to characterize the effect </w:t>
      </w:r>
      <w:r w:rsidR="00302A58">
        <w:t>that</w:t>
      </w:r>
      <w:r>
        <w:t xml:space="preserve"> </w:t>
      </w:r>
      <w:r w:rsidR="00302A58">
        <w:t>long-term contamination with an aerospace-grade hydraulic fluid has o</w:t>
      </w:r>
      <w:r>
        <w:t xml:space="preserve">n </w:t>
      </w:r>
      <w:r w:rsidR="00302A58">
        <w:t xml:space="preserve">the performance and durability of the </w:t>
      </w:r>
      <w:r>
        <w:t xml:space="preserve">composite </w:t>
      </w:r>
      <w:r w:rsidR="00302A58">
        <w:t>prepregs</w:t>
      </w:r>
      <w:r>
        <w:t xml:space="preserve">.  First, the effect of varying prepreg moisture contents and fabrication pressures on the composite laminates propensity to absorb hydraulic fluid will be discussed.  </w:t>
      </w:r>
      <w:r w:rsidR="00302A58">
        <w:t>Then</w:t>
      </w:r>
      <w:r>
        <w:t xml:space="preserve">, the effect </w:t>
      </w:r>
      <w:r w:rsidR="00302A58">
        <w:t>long-term hydraulic fluid</w:t>
      </w:r>
      <w:r>
        <w:t xml:space="preserve"> contamination on the laminate flexural properties will </w:t>
      </w:r>
      <w:r w:rsidR="00302A58">
        <w:t>be compared to the dry baseline condition presented earlier</w:t>
      </w:r>
      <w:r>
        <w:t>.</w:t>
      </w:r>
    </w:p>
    <w:p w14:paraId="3487C27B" w14:textId="77777777" w:rsidR="00376B29" w:rsidRPr="00F73A56" w:rsidRDefault="00376B29" w:rsidP="00376B29">
      <w:pPr>
        <w:tabs>
          <w:tab w:val="left" w:leader="underscore" w:pos="8496"/>
        </w:tabs>
        <w:spacing w:line="240" w:lineRule="auto"/>
        <w:rPr>
          <w:u w:val="single"/>
        </w:rPr>
      </w:pPr>
      <w:r>
        <w:rPr>
          <w:u w:val="single"/>
        </w:rPr>
        <w:tab/>
      </w:r>
    </w:p>
    <w:p w14:paraId="573CC8F7" w14:textId="77777777" w:rsidR="00376B29" w:rsidRDefault="00376B29" w:rsidP="00376B29">
      <w:r>
        <w:t>Work related to this part of the Dissertation has been published in:</w:t>
      </w:r>
    </w:p>
    <w:p w14:paraId="51F6953B" w14:textId="5CB93EDA" w:rsidR="00376B29" w:rsidRDefault="00376B29" w:rsidP="00376B29">
      <w:pPr>
        <w:pStyle w:val="ListParagraph"/>
        <w:numPr>
          <w:ilvl w:val="0"/>
          <w:numId w:val="19"/>
        </w:numPr>
        <w:spacing w:after="600" w:line="240" w:lineRule="auto"/>
        <w:ind w:left="360"/>
      </w:pPr>
      <w:r>
        <w:t xml:space="preserve">“Prepreg Moisture Content and Fabrication Pressure Effects on Moisture and Hydraulic Fluid Absorption Behavior of Quartz/BMI Laminates”, </w:t>
      </w:r>
      <w:r w:rsidR="0013387B">
        <w:t xml:space="preserve">Manuscript </w:t>
      </w:r>
      <w:r w:rsidR="00A3515A" w:rsidRPr="00A3515A">
        <w:t>under review</w:t>
      </w:r>
      <w:r>
        <w:t xml:space="preserve"> (201</w:t>
      </w:r>
      <w:r w:rsidR="00A3515A">
        <w:t>7</w:t>
      </w:r>
      <w:r>
        <w:t>).</w:t>
      </w:r>
    </w:p>
    <w:p w14:paraId="7BC7C8AE" w14:textId="037E7B50" w:rsidR="00376B29" w:rsidRDefault="00376B29" w:rsidP="00376B29">
      <w:pPr>
        <w:pStyle w:val="ListParagraph"/>
        <w:numPr>
          <w:ilvl w:val="0"/>
          <w:numId w:val="19"/>
        </w:numPr>
        <w:spacing w:after="600" w:line="240" w:lineRule="auto"/>
        <w:ind w:left="360"/>
      </w:pPr>
      <w:r>
        <w:t xml:space="preserve">“Long-term Liquid Contamination Effects on Flexure Properties of Composite Prepregs with Varying Moisture Contents and Fabrication Pressures”, </w:t>
      </w:r>
      <w:r w:rsidR="00302A58">
        <w:rPr>
          <w:i/>
        </w:rPr>
        <w:t>Composite Structures</w:t>
      </w:r>
      <w:r>
        <w:rPr>
          <w:i/>
        </w:rPr>
        <w:t xml:space="preserve">, </w:t>
      </w:r>
      <w:r w:rsidR="0013387B">
        <w:t>M</w:t>
      </w:r>
      <w:r w:rsidR="00302A58">
        <w:t>anuscript in progress</w:t>
      </w:r>
      <w:r>
        <w:t xml:space="preserve"> (201</w:t>
      </w:r>
      <w:r w:rsidR="00A3515A">
        <w:t>7</w:t>
      </w:r>
      <w:r>
        <w:t>).</w:t>
      </w:r>
    </w:p>
    <w:p w14:paraId="3A6AA9A8" w14:textId="77777777" w:rsidR="00376B29" w:rsidRDefault="00376B29" w:rsidP="00376B29">
      <w:pPr>
        <w:pStyle w:val="ListParagraph"/>
        <w:numPr>
          <w:ilvl w:val="0"/>
          <w:numId w:val="19"/>
        </w:numPr>
        <w:spacing w:after="600" w:line="240" w:lineRule="auto"/>
        <w:ind w:left="360"/>
      </w:pPr>
      <w:r>
        <w:t xml:space="preserve"> “The Coupled Effect of Microvoids and Hydraulic Fluid Absorption on Mechanical Properties of Quartz/BMI Laminates”, </w:t>
      </w:r>
      <w:r>
        <w:rPr>
          <w:i/>
        </w:rPr>
        <w:t>American Society of Composites 29</w:t>
      </w:r>
      <w:r w:rsidRPr="00D92188">
        <w:rPr>
          <w:i/>
          <w:vertAlign w:val="superscript"/>
        </w:rPr>
        <w:t>th</w:t>
      </w:r>
      <w:r>
        <w:rPr>
          <w:i/>
        </w:rPr>
        <w:t xml:space="preserve"> Technical Conference, </w:t>
      </w:r>
      <w:r>
        <w:t>(2014). San Diego, CA, 226.</w:t>
      </w:r>
    </w:p>
    <w:p w14:paraId="28FB61FB" w14:textId="77777777" w:rsidR="00376B29" w:rsidRDefault="00376B29" w:rsidP="00376B29">
      <w:pPr>
        <w:pStyle w:val="ListParagraph"/>
        <w:numPr>
          <w:ilvl w:val="0"/>
          <w:numId w:val="19"/>
        </w:numPr>
        <w:spacing w:after="600" w:line="240" w:lineRule="auto"/>
        <w:ind w:left="360"/>
      </w:pPr>
      <w:r>
        <w:t xml:space="preserve">“Processing Effects on Formation of Microvoids and Hydraulic Fluid Absorption of Quartz/BMI Laminates”, </w:t>
      </w:r>
      <w:r w:rsidRPr="00A95E4A">
        <w:rPr>
          <w:i/>
        </w:rPr>
        <w:t xml:space="preserve">ASME International Mechanical Engineering Congress &amp; Exposition, </w:t>
      </w:r>
      <w:r>
        <w:t>(2015). Houston, TX, IMECE2015-53717.</w:t>
      </w:r>
    </w:p>
    <w:p w14:paraId="4EEAACC1" w14:textId="77777777" w:rsidR="00376B29" w:rsidRDefault="00376B29" w:rsidP="00376B29">
      <w:pPr>
        <w:pStyle w:val="ListParagraph"/>
        <w:numPr>
          <w:ilvl w:val="0"/>
          <w:numId w:val="19"/>
        </w:numPr>
        <w:spacing w:after="600" w:line="240" w:lineRule="auto"/>
        <w:ind w:left="360"/>
      </w:pPr>
      <w:r>
        <w:t xml:space="preserve">“Effect of Microvoids on Anomalous Moisture Absorption of Quartz/BMI Composite Laminates”, </w:t>
      </w:r>
      <w:r w:rsidRPr="00A95E4A">
        <w:rPr>
          <w:i/>
        </w:rPr>
        <w:t xml:space="preserve">ASME International Mechanical Engineering Congress &amp; Exposition, </w:t>
      </w:r>
      <w:r>
        <w:t>(2014). Montreal, Canada, IMECE2014-38407.</w:t>
      </w:r>
    </w:p>
    <w:p w14:paraId="1BF24866" w14:textId="77777777" w:rsidR="00376B29" w:rsidRDefault="00376B29" w:rsidP="00376B29">
      <w:pPr>
        <w:pStyle w:val="ListParagraph"/>
        <w:numPr>
          <w:ilvl w:val="0"/>
          <w:numId w:val="19"/>
        </w:numPr>
        <w:spacing w:after="600" w:line="240" w:lineRule="auto"/>
        <w:ind w:left="360"/>
      </w:pPr>
      <w:r>
        <w:t xml:space="preserve">“Laminate Processing Effect on Microvoids and Hydraulic Fluid Absorption of Quartz/BMI Laminates”, </w:t>
      </w:r>
      <w:r>
        <w:rPr>
          <w:i/>
        </w:rPr>
        <w:t>20</w:t>
      </w:r>
      <w:r w:rsidRPr="00B95A43">
        <w:rPr>
          <w:i/>
          <w:vertAlign w:val="superscript"/>
        </w:rPr>
        <w:t>th</w:t>
      </w:r>
      <w:r>
        <w:rPr>
          <w:i/>
        </w:rPr>
        <w:t xml:space="preserve"> International Conference on Composite Materials</w:t>
      </w:r>
      <w:r w:rsidRPr="00A95E4A">
        <w:rPr>
          <w:i/>
        </w:rPr>
        <w:t xml:space="preserve">, </w:t>
      </w:r>
      <w:r>
        <w:t>(2015). Copenhagen, Denmark, ICCM/20-5109-4.</w:t>
      </w:r>
    </w:p>
    <w:p w14:paraId="38D03431" w14:textId="77777777" w:rsidR="00376B29" w:rsidRDefault="00376B29" w:rsidP="00376B29">
      <w:pPr>
        <w:pStyle w:val="ListParagraph"/>
        <w:numPr>
          <w:ilvl w:val="0"/>
          <w:numId w:val="19"/>
        </w:numPr>
        <w:spacing w:after="600" w:line="240" w:lineRule="auto"/>
        <w:ind w:left="360"/>
      </w:pPr>
      <w:r>
        <w:t xml:space="preserve">“The Coupled Effect of Fiber Volume Fraction and Void Content on Hydraulic Fluid Absorption of Quartz/BMI Laminates”, </w:t>
      </w:r>
      <w:r>
        <w:rPr>
          <w:i/>
        </w:rPr>
        <w:t>31</w:t>
      </w:r>
      <w:r w:rsidRPr="00B95A43">
        <w:rPr>
          <w:i/>
          <w:vertAlign w:val="superscript"/>
        </w:rPr>
        <w:t>st</w:t>
      </w:r>
      <w:r>
        <w:rPr>
          <w:i/>
        </w:rPr>
        <w:t xml:space="preserve"> International Conference of the Polymer Processing Society</w:t>
      </w:r>
      <w:r w:rsidRPr="00A95E4A">
        <w:rPr>
          <w:i/>
        </w:rPr>
        <w:t xml:space="preserve">, </w:t>
      </w:r>
      <w:r>
        <w:t>(2015). Jeju Island, Korea, PPS31-S11-325.</w:t>
      </w:r>
    </w:p>
    <w:p w14:paraId="266F0C0D" w14:textId="77777777" w:rsidR="00376B29" w:rsidRDefault="00376B29" w:rsidP="00376B29">
      <w:pPr>
        <w:pStyle w:val="ListParagraph"/>
        <w:numPr>
          <w:ilvl w:val="0"/>
          <w:numId w:val="19"/>
        </w:numPr>
        <w:spacing w:after="600" w:line="240" w:lineRule="auto"/>
        <w:ind w:left="360"/>
      </w:pPr>
      <w:r>
        <w:t xml:space="preserve">“Experimental and Theoretical Investigation of Non-Fickian Moisture Absorption of Quartz/BMI Laminates Fabricated by Preconditioned Prepregs”, </w:t>
      </w:r>
      <w:r w:rsidRPr="00B95A43">
        <w:rPr>
          <w:i/>
        </w:rPr>
        <w:t>31</w:t>
      </w:r>
      <w:r w:rsidRPr="00B95A43">
        <w:rPr>
          <w:i/>
          <w:vertAlign w:val="superscript"/>
        </w:rPr>
        <w:t>st</w:t>
      </w:r>
      <w:r w:rsidRPr="00B95A43">
        <w:rPr>
          <w:i/>
        </w:rPr>
        <w:t xml:space="preserve"> International Conference of the Polymer Processing Society, </w:t>
      </w:r>
      <w:r>
        <w:t>(2015). Jeju Island, Korea, PPS31-S11-342.</w:t>
      </w:r>
      <w:r>
        <w:br w:type="page"/>
      </w:r>
    </w:p>
    <w:p w14:paraId="0D2E16CF" w14:textId="77777777" w:rsidR="0029124B" w:rsidRDefault="0029124B" w:rsidP="0029124B">
      <w:pPr>
        <w:pStyle w:val="Heading1"/>
        <w:numPr>
          <w:ilvl w:val="0"/>
          <w:numId w:val="0"/>
        </w:numPr>
        <w:ind w:left="432"/>
      </w:pPr>
      <w:bookmarkStart w:id="202" w:name="_Toc464644078"/>
      <w:bookmarkStart w:id="203" w:name="_Toc465250301"/>
      <w:bookmarkStart w:id="204" w:name="_Toc345066593"/>
      <w:bookmarkStart w:id="205" w:name="_Toc346311004"/>
      <w:r>
        <w:lastRenderedPageBreak/>
        <w:t xml:space="preserve">chapter </w:t>
      </w:r>
      <w:bookmarkEnd w:id="202"/>
      <w:bookmarkEnd w:id="203"/>
      <w:r w:rsidR="00376B29">
        <w:t>5</w:t>
      </w:r>
      <w:bookmarkEnd w:id="204"/>
      <w:bookmarkEnd w:id="205"/>
    </w:p>
    <w:p w14:paraId="3C2DACA3" w14:textId="264D54C0" w:rsidR="004375A6" w:rsidRDefault="00366AB9" w:rsidP="00376B29">
      <w:pPr>
        <w:pStyle w:val="Heading1"/>
        <w:numPr>
          <w:ilvl w:val="0"/>
          <w:numId w:val="24"/>
        </w:numPr>
      </w:pPr>
      <w:bookmarkStart w:id="206" w:name="_Ref464121241"/>
      <w:bookmarkStart w:id="207" w:name="_Toc346311005"/>
      <w:r>
        <w:t xml:space="preserve">Hydraulic Fluid Absorption Behavior of Aerospace-Grade Laminates: </w:t>
      </w:r>
      <w:r w:rsidR="00983613">
        <w:t xml:space="preserve">Coupled </w:t>
      </w:r>
      <w:r w:rsidR="00683F8D">
        <w:t xml:space="preserve">Effect of </w:t>
      </w:r>
      <w:r w:rsidR="00983613">
        <w:t xml:space="preserve">Prepreg </w:t>
      </w:r>
      <w:r>
        <w:t>Humidity Exposure</w:t>
      </w:r>
      <w:r w:rsidR="00983613">
        <w:t xml:space="preserve"> and Fabrication</w:t>
      </w:r>
      <w:r>
        <w:t xml:space="preserve"> </w:t>
      </w:r>
      <w:r w:rsidR="00983613">
        <w:t>Pressure</w:t>
      </w:r>
      <w:bookmarkEnd w:id="206"/>
      <w:bookmarkEnd w:id="207"/>
    </w:p>
    <w:p w14:paraId="3F44ADD9" w14:textId="77777777" w:rsidR="00D825AE" w:rsidRDefault="00D825AE" w:rsidP="00D825AE"/>
    <w:p w14:paraId="3D6A750E" w14:textId="127D2EC0" w:rsidR="00543481" w:rsidRDefault="005F484A" w:rsidP="00543481">
      <w:pPr>
        <w:ind w:firstLine="360"/>
      </w:pPr>
      <w:r>
        <w:t>High</w:t>
      </w:r>
      <w:r w:rsidR="00543481">
        <w:t xml:space="preserve">-performance aerospace-grade composite materials are frequently exposed to a variety of liquid contaminants through routine </w:t>
      </w:r>
      <w:r w:rsidR="001907C4">
        <w:t>operating</w:t>
      </w:r>
      <w:r w:rsidR="00543481">
        <w:t xml:space="preserve"> conditions.  Absorbed fluids in polymer structures </w:t>
      </w:r>
      <w:r w:rsidR="001907C4">
        <w:t>can</w:t>
      </w:r>
      <w:r w:rsidR="00B57D7E">
        <w:t xml:space="preserve"> have a detrimental effect on </w:t>
      </w:r>
      <w:r w:rsidR="001907C4">
        <w:t>the</w:t>
      </w:r>
      <w:r w:rsidR="00543481">
        <w:t xml:space="preserve"> </w:t>
      </w:r>
      <w:r w:rsidR="001907C4">
        <w:t>durability</w:t>
      </w:r>
      <w:r w:rsidR="00543481">
        <w:t xml:space="preserve"> or </w:t>
      </w:r>
      <w:r w:rsidR="001907C4">
        <w:t xml:space="preserve">affect the reliability of </w:t>
      </w:r>
      <w:r w:rsidR="00543481">
        <w:t>other subsystems</w:t>
      </w:r>
      <w:r w:rsidR="001907C4">
        <w:t xml:space="preserve"> around the structure, such as electronics</w:t>
      </w:r>
      <w:r w:rsidR="00543481">
        <w:t xml:space="preserve"> cal</w:t>
      </w:r>
      <w:r w:rsidR="001907C4">
        <w:t>ibration</w:t>
      </w:r>
      <w:r w:rsidR="00543481">
        <w:t xml:space="preserve">.  </w:t>
      </w:r>
      <w:r w:rsidR="00B57D7E">
        <w:t xml:space="preserve">Therefore it is necessary to accurately characterize the liquid absorption for a polymer system and to ascertain the extent of damage on the composite material.  </w:t>
      </w:r>
      <w:r w:rsidR="00543481">
        <w:t xml:space="preserve">The remainder of this Chapter will </w:t>
      </w:r>
      <w:r>
        <w:t>present</w:t>
      </w:r>
      <w:r w:rsidR="00543481">
        <w:t xml:space="preserve"> the</w:t>
      </w:r>
      <w:r w:rsidR="00B57D7E">
        <w:t xml:space="preserve"> experimental procedure used to contaminate the three prepregs with an aerospace-grade hydraulic fluid.  </w:t>
      </w:r>
      <w:r w:rsidR="001907C4">
        <w:t>A hindered diffusion model approach</w:t>
      </w:r>
      <w:r w:rsidR="0061602F">
        <w:t xml:space="preserve"> [45-47]</w:t>
      </w:r>
      <w:r>
        <w:t xml:space="preserve"> </w:t>
      </w:r>
      <w:r w:rsidR="001907C4">
        <w:t>was used to determine the equilibrium fluid content at</w:t>
      </w:r>
      <w:r w:rsidR="00B57D7E">
        <w:t xml:space="preserve"> each humidity conditioning level and fabrication pressure </w:t>
      </w:r>
      <w:r w:rsidR="001907C4">
        <w:t>for each prepreg material</w:t>
      </w:r>
      <w:r w:rsidR="00B57D7E">
        <w:t>.</w:t>
      </w:r>
    </w:p>
    <w:p w14:paraId="5DDF1A24" w14:textId="794D576A" w:rsidR="00521C0D" w:rsidRDefault="00521C0D" w:rsidP="00521C0D">
      <w:pPr>
        <w:pStyle w:val="Heading2"/>
      </w:pPr>
      <w:bookmarkStart w:id="208" w:name="_Toc346311006"/>
      <w:r>
        <w:t>Literature Review of Modeling Techniques for Fluid Absorption in Composite Materials</w:t>
      </w:r>
      <w:bookmarkEnd w:id="208"/>
    </w:p>
    <w:p w14:paraId="4581C7D0" w14:textId="7A77E1F7" w:rsidR="00521C0D" w:rsidRDefault="00521C0D" w:rsidP="00521C0D">
      <w:pPr>
        <w:ind w:firstLine="360"/>
        <w:rPr>
          <w:rFonts w:eastAsia="MS Mincho"/>
        </w:rPr>
      </w:pPr>
      <w:r w:rsidRPr="00753D0D">
        <w:rPr>
          <w:szCs w:val="20"/>
        </w:rPr>
        <w:t xml:space="preserve">Fiber-reinforced composite laminates are well known to be susceptible to </w:t>
      </w:r>
      <w:r>
        <w:rPr>
          <w:szCs w:val="20"/>
        </w:rPr>
        <w:t>fluid</w:t>
      </w:r>
      <w:r w:rsidRPr="00753D0D">
        <w:rPr>
          <w:szCs w:val="20"/>
        </w:rPr>
        <w:t xml:space="preserve"> intake</w:t>
      </w:r>
      <w:r>
        <w:rPr>
          <w:szCs w:val="20"/>
        </w:rPr>
        <w:t>,</w:t>
      </w:r>
      <w:r w:rsidRPr="00753D0D">
        <w:rPr>
          <w:szCs w:val="20"/>
        </w:rPr>
        <w:t xml:space="preserve"> which </w:t>
      </w:r>
      <w:r>
        <w:rPr>
          <w:szCs w:val="20"/>
        </w:rPr>
        <w:t>can</w:t>
      </w:r>
      <w:r w:rsidRPr="00753D0D">
        <w:rPr>
          <w:szCs w:val="20"/>
        </w:rPr>
        <w:t xml:space="preserve"> potentially degrade their performance and reduce their </w:t>
      </w:r>
      <w:r>
        <w:rPr>
          <w:szCs w:val="20"/>
        </w:rPr>
        <w:t xml:space="preserve">effective </w:t>
      </w:r>
      <w:r w:rsidRPr="00753D0D">
        <w:rPr>
          <w:szCs w:val="20"/>
        </w:rPr>
        <w:t xml:space="preserve">service life.  </w:t>
      </w:r>
      <w:r>
        <w:rPr>
          <w:szCs w:val="20"/>
        </w:rPr>
        <w:t xml:space="preserve">Even a relatively low level of moisture absorption in polymers and </w:t>
      </w:r>
      <w:r>
        <w:rPr>
          <w:szCs w:val="20"/>
        </w:rPr>
        <w:lastRenderedPageBreak/>
        <w:t>composites can result in resin plasticization, swelling, and residual stresses in the material; which are correlated to be the primary sources of material property degradation.  Perez-Pacheco et al.</w:t>
      </w:r>
      <w:r w:rsidR="0061602F">
        <w:rPr>
          <w:szCs w:val="20"/>
        </w:rPr>
        <w:t xml:space="preserve"> [48]</w:t>
      </w:r>
      <w:r>
        <w:rPr>
          <w:szCs w:val="20"/>
        </w:rPr>
        <w:t xml:space="preserve"> reported that 0.75 wt%. </w:t>
      </w:r>
      <w:proofErr w:type="gramStart"/>
      <w:r>
        <w:rPr>
          <w:szCs w:val="20"/>
        </w:rPr>
        <w:t>moisture</w:t>
      </w:r>
      <w:proofErr w:type="gramEnd"/>
      <w:r>
        <w:rPr>
          <w:szCs w:val="20"/>
        </w:rPr>
        <w:t xml:space="preserve"> absorption for a carbon/epoxy composite resulted in a reduction of tensile strength, elastic modulus and interfacial shear strength by 25%, 38% and 11%, respectively.  Pomies and Carlsson</w:t>
      </w:r>
      <w:r w:rsidR="0061602F">
        <w:rPr>
          <w:szCs w:val="20"/>
        </w:rPr>
        <w:t xml:space="preserve"> [49]</w:t>
      </w:r>
      <w:r>
        <w:rPr>
          <w:szCs w:val="20"/>
        </w:rPr>
        <w:t xml:space="preserve"> reported that 1.21% absorbed water in carbon/epoxy and 0.63% absorbed water in carbon/BMI reduced the transverse tensile strength by 66% and 41%, respectively.  Other studies have observed losses in tensile strength </w:t>
      </w:r>
      <w:r w:rsidR="0061602F">
        <w:rPr>
          <w:szCs w:val="20"/>
        </w:rPr>
        <w:t>[50]</w:t>
      </w:r>
      <w:r>
        <w:rPr>
          <w:szCs w:val="20"/>
        </w:rPr>
        <w:t>, interlaminar shear strength</w:t>
      </w:r>
      <w:r w:rsidR="0061602F">
        <w:rPr>
          <w:szCs w:val="20"/>
        </w:rPr>
        <w:t xml:space="preserve"> [51]</w:t>
      </w:r>
      <w:r>
        <w:rPr>
          <w:szCs w:val="20"/>
        </w:rPr>
        <w:t>, and transverse flexural strength</w:t>
      </w:r>
      <w:r w:rsidR="0061602F">
        <w:rPr>
          <w:szCs w:val="20"/>
        </w:rPr>
        <w:t xml:space="preserve"> [52]</w:t>
      </w:r>
      <w:r>
        <w:rPr>
          <w:szCs w:val="20"/>
        </w:rPr>
        <w:t xml:space="preserve"> of different composite structures as a result of absorbed moisture.  Bismaleimide (BMI) is a high-performance </w:t>
      </w:r>
      <w:r w:rsidR="0013387B">
        <w:rPr>
          <w:szCs w:val="20"/>
        </w:rPr>
        <w:t>resin</w:t>
      </w:r>
      <w:r>
        <w:rPr>
          <w:szCs w:val="20"/>
        </w:rPr>
        <w:t xml:space="preserve"> system commonly used in aerospace applications as a radome or engine cowl material.  </w:t>
      </w:r>
      <w:r>
        <w:t>Moisture absorption behavior and laminate degradation of BMI resin has been addressed occasionally in varying detail</w:t>
      </w:r>
      <w:r w:rsidR="0061602F">
        <w:t xml:space="preserve"> [10,11,49]</w:t>
      </w:r>
      <w:r>
        <w:t xml:space="preserve"> but not as extensively as fiber-reinforced epoxy laminates</w:t>
      </w:r>
      <w:r w:rsidR="0061602F">
        <w:t xml:space="preserve"> [</w:t>
      </w:r>
      <w:r w:rsidR="005571C2">
        <w:t>5,48,50-55</w:t>
      </w:r>
      <w:r w:rsidR="0061602F">
        <w:t>]</w:t>
      </w:r>
      <w:r>
        <w:t>.  This is most likely due to the relatively specialized applications of BMI systems when compared to more universally applicable epoxy-based systems.  The effects of hydraulic fluid absorption on BMI systems are even more limited in research</w:t>
      </w:r>
      <w:r w:rsidR="005571C2">
        <w:t xml:space="preserve"> [56</w:t>
      </w:r>
      <w:r w:rsidR="0061602F">
        <w:t>]</w:t>
      </w:r>
      <w:r>
        <w:t>.  Excessive m</w:t>
      </w:r>
      <w:r>
        <w:rPr>
          <w:szCs w:val="20"/>
        </w:rPr>
        <w:t>echanical property degradation due to moisture or hydraulic fluid absorption limits the design and effectiveness of composites in environmentally harsh conditions.  Therefore, it is essential to predict the fluid absorption behavior of a composite laminate so as to account for any losses in performance or durability.</w:t>
      </w:r>
    </w:p>
    <w:p w14:paraId="56E419B3" w14:textId="43F1A1D6" w:rsidR="00E407F3" w:rsidRDefault="00B57D7E" w:rsidP="00E407F3">
      <w:pPr>
        <w:pStyle w:val="Heading2"/>
      </w:pPr>
      <w:bookmarkStart w:id="209" w:name="_Ref464475179"/>
      <w:bookmarkStart w:id="210" w:name="_Toc346311007"/>
      <w:r>
        <w:rPr>
          <w:rFonts w:eastAsia="MS Mincho"/>
        </w:rPr>
        <w:lastRenderedPageBreak/>
        <w:t xml:space="preserve">Experimental Procedure for </w:t>
      </w:r>
      <w:r w:rsidR="00E407F3">
        <w:rPr>
          <w:rFonts w:eastAsia="MS Mincho"/>
        </w:rPr>
        <w:t>Liquid Absorption</w:t>
      </w:r>
      <w:r>
        <w:rPr>
          <w:rFonts w:eastAsia="MS Mincho"/>
        </w:rPr>
        <w:t xml:space="preserve"> Study</w:t>
      </w:r>
      <w:bookmarkEnd w:id="209"/>
      <w:bookmarkEnd w:id="210"/>
    </w:p>
    <w:p w14:paraId="2288F3E7" w14:textId="6424CC2C" w:rsidR="003E68B9" w:rsidRDefault="001907C4" w:rsidP="00E407F3">
      <w:pPr>
        <w:ind w:firstLine="360"/>
      </w:pPr>
      <w:r>
        <w:t>From</w:t>
      </w:r>
      <w:r w:rsidR="00E407F3">
        <w:t xml:space="preserve"> each </w:t>
      </w:r>
      <w:r>
        <w:t>prepreg</w:t>
      </w:r>
      <w:r w:rsidR="00E407F3">
        <w:t xml:space="preserve"> conditioning type and fabrication pressure</w:t>
      </w:r>
      <w:r>
        <w:t>, six specimens with planar dimensions</w:t>
      </w:r>
      <w:r w:rsidR="00E407F3">
        <w:t xml:space="preserve"> 31.5 mm by 31.5 mm were prepared for absorption testing.  Prior to fluid exposure, any initial moisture present in the composite specimens </w:t>
      </w:r>
      <w:r>
        <w:t>was</w:t>
      </w:r>
      <w:r w:rsidR="00E407F3">
        <w:t xml:space="preserve"> removed by drying the specimens in a vacuum-oven at 40°C until an equilibrium weight was achieved.  The dried specimens were immersed in sealed glass containers </w:t>
      </w:r>
      <w:r w:rsidR="00366AB9">
        <w:t>filled with</w:t>
      </w:r>
      <w:r w:rsidR="00E407F3">
        <w:t xml:space="preserve"> hydraulic fluid</w:t>
      </w:r>
      <w:r w:rsidR="00366AB9">
        <w:t>.  The temperature of each glass container was maintained at room temperature (25°C) with a Thermo Scientific water bath,</w:t>
      </w:r>
      <w:r w:rsidR="00302A58">
        <w:t xml:space="preserve"> as shown in</w:t>
      </w:r>
      <w:r w:rsidR="00E407F3">
        <w:t xml:space="preserve"> </w:t>
      </w:r>
      <w:r w:rsidR="00CF0651">
        <w:fldChar w:fldCharType="begin"/>
      </w:r>
      <w:r w:rsidR="00A7588A">
        <w:instrText xml:space="preserve"> REF _Ref464737843 \h </w:instrText>
      </w:r>
      <w:r w:rsidR="00CF0651">
        <w:fldChar w:fldCharType="separate"/>
      </w:r>
      <w:r w:rsidR="008A1992" w:rsidRPr="0035606A">
        <w:t xml:space="preserve">Figure </w:t>
      </w:r>
      <w:r w:rsidR="008A1992">
        <w:rPr>
          <w:noProof/>
        </w:rPr>
        <w:t>5</w:t>
      </w:r>
      <w:r w:rsidR="008A1992">
        <w:t>.</w:t>
      </w:r>
      <w:r w:rsidR="008A1992">
        <w:rPr>
          <w:noProof/>
        </w:rPr>
        <w:t>1</w:t>
      </w:r>
      <w:r w:rsidR="00CF0651">
        <w:fldChar w:fldCharType="end"/>
      </w:r>
      <w:r w:rsidR="00E407F3">
        <w:t xml:space="preserve">.  </w:t>
      </w:r>
      <w:r w:rsidR="00366AB9">
        <w:t>Immersion studies for polymers are routinely conducted at r</w:t>
      </w:r>
      <w:r>
        <w:t>oom</w:t>
      </w:r>
      <w:r w:rsidR="00825540">
        <w:t xml:space="preserve"> temperature because it provides a good baseline </w:t>
      </w:r>
      <w:r w:rsidR="00366AB9">
        <w:t xml:space="preserve">analysis </w:t>
      </w:r>
      <w:r w:rsidR="00825540">
        <w:t xml:space="preserve">on the interactions between the polymer and penetrant.  </w:t>
      </w:r>
      <w:r w:rsidR="00A12501">
        <w:t>Temperatures greater than room temperature</w:t>
      </w:r>
      <w:r w:rsidR="00366AB9">
        <w:t xml:space="preserve"> will </w:t>
      </w:r>
      <w:r w:rsidR="00A12501">
        <w:t>frequently cause more</w:t>
      </w:r>
      <w:r w:rsidR="003E68B9">
        <w:t xml:space="preserve"> rapid diffusion of </w:t>
      </w:r>
      <w:r w:rsidR="0013387B">
        <w:t xml:space="preserve">the </w:t>
      </w:r>
      <w:r w:rsidR="003E68B9">
        <w:t>penetrant.</w:t>
      </w:r>
    </w:p>
    <w:p w14:paraId="2883B78F" w14:textId="77777777" w:rsidR="00521C0D" w:rsidRDefault="00521C0D" w:rsidP="00E407F3">
      <w:pPr>
        <w:ind w:firstLine="360"/>
      </w:pPr>
    </w:p>
    <w:p w14:paraId="265B08E7" w14:textId="77777777" w:rsidR="00E407F3" w:rsidRDefault="00E407F3" w:rsidP="00E407F3">
      <w:pPr>
        <w:keepNext/>
        <w:spacing w:after="120" w:line="240" w:lineRule="auto"/>
        <w:jc w:val="center"/>
      </w:pPr>
      <w:r w:rsidRPr="0035606A">
        <w:rPr>
          <w:noProof/>
        </w:rPr>
        <w:drawing>
          <wp:inline distT="0" distB="0" distL="0" distR="0" wp14:anchorId="14C4CAD8" wp14:editId="0F3BAB30">
            <wp:extent cx="3953255" cy="2971800"/>
            <wp:effectExtent l="25400" t="25400" r="34925" b="25400"/>
            <wp:docPr id="79" name="Picture 1" descr="Photo Jun 04, 15 55 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Photo Jun 04, 15 55 57.jpg"/>
                    <pic:cNvPicPr>
                      <a:picLocks noChangeAspect="1"/>
                    </pic:cNvPicPr>
                  </pic:nvPicPr>
                  <pic:blipFill>
                    <a:blip r:embed="rId99"/>
                    <a:stretch>
                      <a:fillRect/>
                    </a:stretch>
                  </pic:blipFill>
                  <pic:spPr>
                    <a:xfrm rot="10800000">
                      <a:off x="0" y="0"/>
                      <a:ext cx="3953255" cy="2971800"/>
                    </a:xfrm>
                    <a:prstGeom prst="rect">
                      <a:avLst/>
                    </a:prstGeom>
                    <a:ln w="19050">
                      <a:solidFill>
                        <a:schemeClr val="tx1"/>
                      </a:solidFill>
                    </a:ln>
                  </pic:spPr>
                </pic:pic>
              </a:graphicData>
            </a:graphic>
          </wp:inline>
        </w:drawing>
      </w:r>
    </w:p>
    <w:p w14:paraId="0D715652" w14:textId="48F80BE7" w:rsidR="00E407F3" w:rsidRDefault="00E407F3" w:rsidP="00E407F3">
      <w:pPr>
        <w:pStyle w:val="Caption"/>
        <w:spacing w:line="240" w:lineRule="auto"/>
        <w:jc w:val="center"/>
        <w:rPr>
          <w:sz w:val="24"/>
        </w:rPr>
      </w:pPr>
      <w:bookmarkStart w:id="211" w:name="_Ref464737843"/>
      <w:bookmarkStart w:id="212" w:name="_Toc346310440"/>
      <w:proofErr w:type="gramStart"/>
      <w:r w:rsidRPr="0035606A">
        <w:rPr>
          <w:sz w:val="24"/>
          <w:szCs w:val="24"/>
        </w:rPr>
        <w:t xml:space="preserve">Figure </w:t>
      </w:r>
      <w:r w:rsidR="00C16D85">
        <w:rPr>
          <w:sz w:val="24"/>
          <w:szCs w:val="24"/>
        </w:rPr>
        <w:fldChar w:fldCharType="begin"/>
      </w:r>
      <w:r w:rsidR="00C16D85">
        <w:rPr>
          <w:sz w:val="24"/>
          <w:szCs w:val="24"/>
        </w:rPr>
        <w:instrText xml:space="preserve"> STYLEREF 1 \s </w:instrText>
      </w:r>
      <w:r w:rsidR="00C16D85">
        <w:rPr>
          <w:sz w:val="24"/>
          <w:szCs w:val="24"/>
        </w:rPr>
        <w:fldChar w:fldCharType="separate"/>
      </w:r>
      <w:r w:rsidR="008A1992">
        <w:rPr>
          <w:noProof/>
          <w:sz w:val="24"/>
          <w:szCs w:val="24"/>
        </w:rPr>
        <w:t>5</w:t>
      </w:r>
      <w:r w:rsidR="00C16D85">
        <w:rPr>
          <w:sz w:val="24"/>
          <w:szCs w:val="24"/>
        </w:rPr>
        <w:fldChar w:fldCharType="end"/>
      </w:r>
      <w:r w:rsidR="00C16D85">
        <w:rPr>
          <w:sz w:val="24"/>
          <w:szCs w:val="24"/>
        </w:rPr>
        <w:t>.</w:t>
      </w:r>
      <w:proofErr w:type="gramEnd"/>
      <w:r w:rsidR="00C16D85">
        <w:rPr>
          <w:sz w:val="24"/>
          <w:szCs w:val="24"/>
        </w:rPr>
        <w:fldChar w:fldCharType="begin"/>
      </w:r>
      <w:r w:rsidR="00C16D85">
        <w:rPr>
          <w:sz w:val="24"/>
          <w:szCs w:val="24"/>
        </w:rPr>
        <w:instrText xml:space="preserve"> SEQ Figure \* ARABIC \s 1 </w:instrText>
      </w:r>
      <w:r w:rsidR="00C16D85">
        <w:rPr>
          <w:sz w:val="24"/>
          <w:szCs w:val="24"/>
        </w:rPr>
        <w:fldChar w:fldCharType="separate"/>
      </w:r>
      <w:r w:rsidR="008A1992">
        <w:rPr>
          <w:noProof/>
          <w:sz w:val="24"/>
          <w:szCs w:val="24"/>
        </w:rPr>
        <w:t>1</w:t>
      </w:r>
      <w:r w:rsidR="00C16D85">
        <w:rPr>
          <w:sz w:val="24"/>
          <w:szCs w:val="24"/>
        </w:rPr>
        <w:fldChar w:fldCharType="end"/>
      </w:r>
      <w:bookmarkEnd w:id="211"/>
      <w:r w:rsidRPr="0035606A">
        <w:rPr>
          <w:sz w:val="24"/>
          <w:szCs w:val="24"/>
        </w:rPr>
        <w:t xml:space="preserve"> </w:t>
      </w:r>
      <w:r>
        <w:rPr>
          <w:sz w:val="24"/>
          <w:szCs w:val="24"/>
        </w:rPr>
        <w:t xml:space="preserve">Thermo Scientific constant temperature water bath </w:t>
      </w:r>
      <w:r w:rsidRPr="00577CDE">
        <w:rPr>
          <w:sz w:val="24"/>
        </w:rPr>
        <w:t xml:space="preserve">used for </w:t>
      </w:r>
      <w:r w:rsidR="00302A58">
        <w:rPr>
          <w:sz w:val="24"/>
        </w:rPr>
        <w:t>hydraulic fluid</w:t>
      </w:r>
      <w:r>
        <w:rPr>
          <w:sz w:val="24"/>
        </w:rPr>
        <w:t xml:space="preserve"> absorption of composite laminates</w:t>
      </w:r>
      <w:bookmarkEnd w:id="212"/>
    </w:p>
    <w:p w14:paraId="50093771" w14:textId="77777777" w:rsidR="00E407F3" w:rsidRDefault="00E407F3" w:rsidP="00E407F3"/>
    <w:p w14:paraId="0CA0D7F9" w14:textId="02C11915" w:rsidR="00E407F3" w:rsidRDefault="003E68B9" w:rsidP="00E407F3">
      <w:pPr>
        <w:ind w:firstLine="360"/>
      </w:pPr>
      <w:r>
        <w:lastRenderedPageBreak/>
        <w:t xml:space="preserve">The fluid uptake for a given immersion time period was periodically measured with a high-precision analytical balance.  A significant amount of hydraulic fluid remains on the laminate surface after removing the specimen from the immersion container.  Additionally, the level of applied pressure and duration (i.e. hand drying) used to remove the surface fluid significantly affects the measured fluid content.  Therefore, a detailed drying procedure using a lint-free cloth was developed for removing surface fluid that minimizes human contact and was easily repeatable.  The time required to remove surface fluid and weigh specimens was subtracted from the total fluid exposure time.  Typically, less than 10 minutes was necessary to complete the entire procedure of removal, surface drying, weighing, and re-immersion for each series of six specimens.  </w:t>
      </w:r>
      <w:r w:rsidR="00E407F3">
        <w:t>The percentage mass gain of each specimen was calculated by:</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gridCol w:w="630"/>
      </w:tblGrid>
      <w:tr w:rsidR="00E407F3" w14:paraId="472B2565" w14:textId="77777777" w:rsidTr="00E407F3">
        <w:tc>
          <w:tcPr>
            <w:tcW w:w="7920" w:type="dxa"/>
            <w:shd w:val="clear" w:color="auto" w:fill="auto"/>
            <w:vAlign w:val="center"/>
          </w:tcPr>
          <w:p w14:paraId="118A30D8" w14:textId="77777777" w:rsidR="00E407F3" w:rsidRDefault="007F38FB" w:rsidP="00E407F3">
            <w:pPr>
              <w:spacing w:line="240" w:lineRule="auto"/>
              <w:jc w:val="center"/>
            </w:pPr>
            <m:oMathPara>
              <m:oMath>
                <m:sSub>
                  <m:sSubPr>
                    <m:ctrlPr>
                      <w:rPr>
                        <w:rFonts w:ascii="Cambria Math" w:hAnsi="Cambria Math"/>
                        <w:i/>
                      </w:rPr>
                    </m:ctrlPr>
                  </m:sSubPr>
                  <m:e>
                    <m:r>
                      <w:rPr>
                        <w:rFonts w:ascii="Cambria Math" w:hAnsi="Cambria Math"/>
                      </w:rPr>
                      <m:t>M</m:t>
                    </m:r>
                  </m:e>
                  <m:sub>
                    <m:r>
                      <w:rPr>
                        <w:rFonts w:ascii="Cambria Math" w:hAnsi="Cambria Math"/>
                      </w:rPr>
                      <m:t>exp</m:t>
                    </m:r>
                  </m:sub>
                </m:sSub>
                <m:d>
                  <m:dPr>
                    <m:ctrlPr>
                      <w:rPr>
                        <w:rFonts w:ascii="Cambria Math" w:hAnsi="Cambria Math"/>
                        <w:i/>
                      </w:rPr>
                    </m:ctrlPr>
                  </m:dPr>
                  <m:e>
                    <m:r>
                      <w:rPr>
                        <w:rFonts w:ascii="Cambria Math" w:hAnsi="Cambria Math"/>
                      </w:rPr>
                      <m:t>t</m:t>
                    </m:r>
                  </m:e>
                </m:d>
                <m:r>
                  <w:rPr>
                    <w:rFonts w:ascii="Cambria Math" w:hAnsi="Cambria Math"/>
                  </w:rPr>
                  <m:t>=100</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i</m:t>
                            </m:r>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0</m:t>
                            </m:r>
                          </m:sub>
                        </m:sSub>
                      </m:num>
                      <m:den>
                        <m:sSub>
                          <m:sSubPr>
                            <m:ctrlPr>
                              <w:rPr>
                                <w:rFonts w:ascii="Cambria Math" w:hAnsi="Cambria Math"/>
                                <w:i/>
                              </w:rPr>
                            </m:ctrlPr>
                          </m:sSubPr>
                          <m:e>
                            <m:r>
                              <w:rPr>
                                <w:rFonts w:ascii="Cambria Math" w:hAnsi="Cambria Math"/>
                              </w:rPr>
                              <m:t>m</m:t>
                            </m:r>
                          </m:e>
                          <m:sub>
                            <m:r>
                              <w:rPr>
                                <w:rFonts w:ascii="Cambria Math" w:hAnsi="Cambria Math"/>
                              </w:rPr>
                              <m:t>0</m:t>
                            </m:r>
                          </m:sub>
                        </m:sSub>
                      </m:den>
                    </m:f>
                  </m:e>
                </m:d>
              </m:oMath>
            </m:oMathPara>
          </w:p>
        </w:tc>
        <w:tc>
          <w:tcPr>
            <w:tcW w:w="630" w:type="dxa"/>
            <w:shd w:val="clear" w:color="auto" w:fill="auto"/>
            <w:vAlign w:val="center"/>
          </w:tcPr>
          <w:p w14:paraId="7D808995" w14:textId="59BE6AF7" w:rsidR="00E407F3" w:rsidRDefault="00E407F3" w:rsidP="00DF687B">
            <w:pPr>
              <w:spacing w:line="240" w:lineRule="auto"/>
              <w:jc w:val="right"/>
            </w:pPr>
            <w:r>
              <w:t>(</w:t>
            </w:r>
            <w:r w:rsidR="00452EC5">
              <w:t>9</w:t>
            </w:r>
            <w:r>
              <w:t>)</w:t>
            </w:r>
          </w:p>
        </w:tc>
      </w:tr>
    </w:tbl>
    <w:p w14:paraId="5D466EBA" w14:textId="77777777" w:rsidR="00E407F3" w:rsidRDefault="00E407F3" w:rsidP="00E407F3">
      <w:pPr>
        <w:spacing w:line="240" w:lineRule="auto"/>
      </w:pPr>
    </w:p>
    <w:p w14:paraId="7212CA02" w14:textId="55B33D43" w:rsidR="00E407F3" w:rsidRDefault="00E407F3" w:rsidP="00E407F3">
      <w:proofErr w:type="gramStart"/>
      <w:r>
        <w:t>where</w:t>
      </w:r>
      <w:proofErr w:type="gramEnd"/>
      <w:r>
        <w:t xml:space="preserve"> </w:t>
      </w:r>
      <w:r>
        <w:rPr>
          <w:i/>
        </w:rPr>
        <w:t>m</w:t>
      </w:r>
      <w:r w:rsidRPr="009F6057">
        <w:rPr>
          <w:i/>
          <w:vertAlign w:val="subscript"/>
        </w:rPr>
        <w:t>i</w:t>
      </w:r>
      <w:r>
        <w:rPr>
          <w:i/>
        </w:rPr>
        <w:t>(t)</w:t>
      </w:r>
      <w:r>
        <w:t xml:space="preserve"> is the measured instantaneous mass of the specimen, and </w:t>
      </w:r>
      <w:r w:rsidRPr="009F6057">
        <w:rPr>
          <w:i/>
        </w:rPr>
        <w:t>m</w:t>
      </w:r>
      <w:r w:rsidRPr="009F6057">
        <w:rPr>
          <w:i/>
          <w:vertAlign w:val="subscript"/>
        </w:rPr>
        <w:t>0</w:t>
      </w:r>
      <w:r>
        <w:t xml:space="preserve"> is the initial dried mass of the specimen.  </w:t>
      </w:r>
      <w:r w:rsidR="0013387B">
        <w:t>Experimental hydraulic fluid mass gain data</w:t>
      </w:r>
      <w:r w:rsidR="00825540">
        <w:t xml:space="preserve"> was </w:t>
      </w:r>
      <w:r>
        <w:t>collected over a period of 24</w:t>
      </w:r>
      <w:r w:rsidR="00302A58">
        <w:t xml:space="preserve"> months for quartz-reinforced laminates</w:t>
      </w:r>
      <w:r>
        <w:t xml:space="preserve"> and 18 months for carbon</w:t>
      </w:r>
      <w:r w:rsidR="004615D0">
        <w:t xml:space="preserve"> fiber-reinforced laminates</w:t>
      </w:r>
      <w:r w:rsidR="00825540">
        <w:t>.  All gravimetric data reported in this Chapter is an average of six specimens for a specific laminate series with uncertainty levels</w:t>
      </w:r>
      <w:r w:rsidR="003E68B9">
        <w:t xml:space="preserve"> calculated using 95% confidence.</w:t>
      </w:r>
    </w:p>
    <w:p w14:paraId="55DC92E8" w14:textId="7A5A7EC0" w:rsidR="00983607" w:rsidRDefault="00B7360B" w:rsidP="00983607">
      <w:pPr>
        <w:pStyle w:val="Heading2"/>
      </w:pPr>
      <w:bookmarkStart w:id="213" w:name="_Ref462220092"/>
      <w:bookmarkStart w:id="214" w:name="_Toc346311008"/>
      <w:r>
        <w:t xml:space="preserve">Long-Term </w:t>
      </w:r>
      <w:r w:rsidR="004615D0">
        <w:t xml:space="preserve">Hydraulic Fluid </w:t>
      </w:r>
      <w:r>
        <w:t>Absorption</w:t>
      </w:r>
      <w:bookmarkEnd w:id="213"/>
      <w:bookmarkEnd w:id="214"/>
    </w:p>
    <w:p w14:paraId="09FCA294" w14:textId="13D7AD22" w:rsidR="00983607" w:rsidRDefault="00B7360B" w:rsidP="00983607">
      <w:pPr>
        <w:pStyle w:val="Heading3"/>
      </w:pPr>
      <w:bookmarkStart w:id="215" w:name="_Ref344530586"/>
      <w:bookmarkStart w:id="216" w:name="_Toc346311009"/>
      <w:r w:rsidRPr="00827AF7">
        <w:t xml:space="preserve">Quartz/BMI </w:t>
      </w:r>
      <w:r w:rsidR="004615D0" w:rsidRPr="00827AF7">
        <w:t>(AQIII/BMI)</w:t>
      </w:r>
      <w:r w:rsidR="004615D0">
        <w:t xml:space="preserve"> </w:t>
      </w:r>
      <w:r w:rsidR="00983607">
        <w:t>Absorption</w:t>
      </w:r>
      <w:bookmarkEnd w:id="215"/>
      <w:bookmarkEnd w:id="216"/>
    </w:p>
    <w:p w14:paraId="3BF5C881" w14:textId="44A4596E" w:rsidR="001F01D8" w:rsidRDefault="00DF0C55" w:rsidP="001F01D8">
      <w:pPr>
        <w:ind w:firstLine="360"/>
      </w:pPr>
      <w:r>
        <w:t xml:space="preserve">The fluid mass gain </w:t>
      </w:r>
      <w:r w:rsidR="000E54B6">
        <w:t>for Q</w:t>
      </w:r>
      <w:r>
        <w:t>uartz/BMI laminates subjected to long-term exposure to hydraulic fluid is shown in</w:t>
      </w:r>
      <w:r w:rsidR="002B7F83">
        <w:t xml:space="preserve"> </w:t>
      </w:r>
      <w:r w:rsidR="002B7F83">
        <w:fldChar w:fldCharType="begin"/>
      </w:r>
      <w:r w:rsidR="002B7F83">
        <w:instrText xml:space="preserve"> REF _Ref343929253 \h </w:instrText>
      </w:r>
      <w:r w:rsidR="002B7F83">
        <w:fldChar w:fldCharType="separate"/>
      </w:r>
      <w:r w:rsidR="008A1992" w:rsidRPr="00C61F19">
        <w:t xml:space="preserve">Figure </w:t>
      </w:r>
      <w:r w:rsidR="008A1992">
        <w:rPr>
          <w:noProof/>
        </w:rPr>
        <w:t>5</w:t>
      </w:r>
      <w:r w:rsidR="008A1992">
        <w:t>.</w:t>
      </w:r>
      <w:r w:rsidR="008A1992">
        <w:rPr>
          <w:noProof/>
        </w:rPr>
        <w:t>2</w:t>
      </w:r>
      <w:r w:rsidR="002B7F83">
        <w:fldChar w:fldCharType="end"/>
      </w:r>
      <w:r>
        <w:t xml:space="preserve">.  </w:t>
      </w:r>
      <w:r w:rsidR="005F484A">
        <w:t>After two years of immersion, t</w:t>
      </w:r>
      <w:r w:rsidR="00CF5366">
        <w:t xml:space="preserve">he </w:t>
      </w:r>
      <w:r w:rsidR="00D025A9">
        <w:t xml:space="preserve">fluid mass </w:t>
      </w:r>
      <w:r w:rsidR="00D025A9">
        <w:lastRenderedPageBreak/>
        <w:t>gain ranged from 2.7</w:t>
      </w:r>
      <w:r w:rsidR="00CF5366">
        <w:t>-8.</w:t>
      </w:r>
      <w:r w:rsidR="00D025A9">
        <w:t>5</w:t>
      </w:r>
      <w:r w:rsidR="00CF5366">
        <w:t xml:space="preserve"> %wt. for laminates fabricated at low pressure (69 kPa) and reduced to 1.4-4.</w:t>
      </w:r>
      <w:r w:rsidR="00D025A9">
        <w:t>1</w:t>
      </w:r>
      <w:r w:rsidR="00CF5366">
        <w:t xml:space="preserve"> %wt. for laminates fabricated at high pressure (483 kPa).  </w:t>
      </w:r>
      <w:r w:rsidR="00AC5A71">
        <w:t xml:space="preserve">The largest reduction in fluid mass gain was observed when fabrication pressure was increased from 69 kPa to 207 kPa.  </w:t>
      </w:r>
      <w:r w:rsidR="0013387B">
        <w:t>Additional</w:t>
      </w:r>
      <w:r w:rsidR="00AC5A71">
        <w:t xml:space="preserve"> increases in fabrication pressure</w:t>
      </w:r>
      <w:r w:rsidR="005F484A">
        <w:t xml:space="preserve"> above 207 kPa</w:t>
      </w:r>
      <w:r w:rsidR="00AC5A71">
        <w:t xml:space="preserve"> did not reduce the fluid content to the same degree.  This also correlates closely with the fiber volume fraction at each fabrication pressure, in that the largest delta was observed between 69 and 207 kPa.  </w:t>
      </w:r>
      <w:r w:rsidR="00C94E05">
        <w:t xml:space="preserve">For an absorption period up to approximately </w:t>
      </w:r>
      <w:r w:rsidR="00444245">
        <w:t>hr</w:t>
      </w:r>
      <w:r w:rsidR="00444245" w:rsidRPr="00C94E05">
        <w:rPr>
          <w:vertAlign w:val="superscript"/>
        </w:rPr>
        <w:t>0.5</w:t>
      </w:r>
      <w:r w:rsidR="00444245" w:rsidRPr="00C94E05">
        <w:t xml:space="preserve"> </w:t>
      </w:r>
      <w:r w:rsidR="00444245" w:rsidRPr="00C94E05">
        <w:rPr>
          <w:rFonts w:eastAsia="MS Gothic"/>
          <w:color w:val="000000"/>
        </w:rPr>
        <w:t xml:space="preserve">≈ </w:t>
      </w:r>
      <w:r w:rsidR="00C94E05">
        <w:t>25.0</w:t>
      </w:r>
      <w:r>
        <w:t xml:space="preserve">, </w:t>
      </w:r>
      <w:r w:rsidR="00C94E05">
        <w:t xml:space="preserve">the </w:t>
      </w:r>
      <w:r>
        <w:t xml:space="preserve">hydraulic fluid </w:t>
      </w:r>
      <w:r w:rsidR="00C94E05">
        <w:t>diffusion</w:t>
      </w:r>
      <w:r>
        <w:t xml:space="preserve"> </w:t>
      </w:r>
      <w:r w:rsidR="00C94E05">
        <w:t xml:space="preserve">was very rapid </w:t>
      </w:r>
      <w:r>
        <w:t xml:space="preserve">when humidity </w:t>
      </w:r>
      <w:r w:rsidR="00073D4E">
        <w:t>exposure was greater than 40% relative humidity</w:t>
      </w:r>
      <w:r w:rsidR="00C94E05">
        <w:t>, regardless of the fabrication pressure</w:t>
      </w:r>
      <w:r>
        <w:t>.</w:t>
      </w:r>
      <w:r w:rsidR="00D025A9">
        <w:t xml:space="preserve">  </w:t>
      </w:r>
      <w:r w:rsidR="00C94E05">
        <w:t>Longer exposure periods (i.e. greater than hr</w:t>
      </w:r>
      <w:r w:rsidR="00C94E05" w:rsidRPr="00C94E05">
        <w:rPr>
          <w:vertAlign w:val="superscript"/>
        </w:rPr>
        <w:t>0.5</w:t>
      </w:r>
      <w:r w:rsidR="00C94E05" w:rsidRPr="00C94E05">
        <w:t xml:space="preserve"> </w:t>
      </w:r>
      <w:r w:rsidR="00C94E05" w:rsidRPr="00C94E05">
        <w:rPr>
          <w:rFonts w:eastAsia="MS Gothic"/>
          <w:color w:val="000000"/>
        </w:rPr>
        <w:t>≈ 25.0</w:t>
      </w:r>
      <w:r w:rsidR="00C94E05">
        <w:t xml:space="preserve">) resulted in a more gradual fluid uptake profile.  The rate of fluid uptake for the second range of absorption gradually declined as fabrication pressure increased.  </w:t>
      </w:r>
      <w:r w:rsidR="00D025A9">
        <w:t xml:space="preserve">After two years of immersion, three distinct regions were observed in the absorption </w:t>
      </w:r>
      <w:r w:rsidR="003E68B9">
        <w:t>data that</w:t>
      </w:r>
      <w:r w:rsidR="00D025A9">
        <w:t xml:space="preserve"> correlates with the relative humidity exposure level.  Prepregs conditioned in a dry environment (i.e. 2% RH) exhibited the lowest fluid contents, of about 1.2-2.7 %wt.  Prepregs conditioned in a mild environment (i.e. 40% RH) exhibited a mid-range fluid content range, of about 3.1-6.1 %wt.  Prepregs conditioned in a humid environment (i.e. 70% and 99% RH) exhibited the highest fluid content range, of about 4.1-8.5 %wt.</w:t>
      </w:r>
      <w:r w:rsidR="00D216FF">
        <w:t xml:space="preserve">  </w:t>
      </w:r>
      <w:r w:rsidR="00AC5A71">
        <w:t xml:space="preserve">The fluid </w:t>
      </w:r>
      <w:r w:rsidR="00073D4E">
        <w:t xml:space="preserve">mass gain was slightly larger for prepregs conditioned at 70% relative humidity when compared to prepregs conditioned at 99% relative humidity.  This may be due to uncertainties inherent with experimental measurements.  Both of these conditioning levels can be deduced as statistically similar as the 95% confidence intervals intersect the means.  Regardless, the overall trend of an increase in fluid absorption as humidity exposure increases is clearly evident at all </w:t>
      </w:r>
      <w:r w:rsidR="00073D4E">
        <w:lastRenderedPageBreak/>
        <w:t xml:space="preserve">fabrication pressures.  </w:t>
      </w:r>
      <w:r w:rsidR="00E924C8">
        <w:t xml:space="preserve">Higher fabrication pressures resulted in smaller </w:t>
      </w:r>
      <w:proofErr w:type="gramStart"/>
      <w:r w:rsidR="00E924C8">
        <w:t>s</w:t>
      </w:r>
      <w:r w:rsidR="00AC5A71">
        <w:t>ampling variation</w:t>
      </w:r>
      <w:r w:rsidR="00E924C8">
        <w:t>s,</w:t>
      </w:r>
      <w:r w:rsidR="00AC5A71">
        <w:t xml:space="preserve"> which is</w:t>
      </w:r>
      <w:proofErr w:type="gramEnd"/>
      <w:r w:rsidR="00AC5A71">
        <w:t xml:space="preserve"> indicated by the smaller confidence intervals in </w:t>
      </w:r>
      <w:r w:rsidR="00AC5A71">
        <w:fldChar w:fldCharType="begin"/>
      </w:r>
      <w:r w:rsidR="00AC5A71">
        <w:instrText xml:space="preserve"> REF _Ref343929253 \h </w:instrText>
      </w:r>
      <w:r w:rsidR="00AC5A71">
        <w:fldChar w:fldCharType="separate"/>
      </w:r>
      <w:r w:rsidR="008A1992" w:rsidRPr="00C61F19">
        <w:t xml:space="preserve">Figure </w:t>
      </w:r>
      <w:r w:rsidR="008A1992">
        <w:rPr>
          <w:noProof/>
        </w:rPr>
        <w:t>5</w:t>
      </w:r>
      <w:r w:rsidR="008A1992">
        <w:t>.</w:t>
      </w:r>
      <w:r w:rsidR="008A1992">
        <w:rPr>
          <w:noProof/>
        </w:rPr>
        <w:t>2</w:t>
      </w:r>
      <w:r w:rsidR="00AC5A71">
        <w:fldChar w:fldCharType="end"/>
      </w:r>
      <w:r w:rsidR="00AC5A71">
        <w:t>d.</w:t>
      </w:r>
    </w:p>
    <w:p w14:paraId="4CD2EF0C" w14:textId="77777777" w:rsidR="002E291C" w:rsidRDefault="002E291C" w:rsidP="001F01D8">
      <w:pPr>
        <w:ind w:firstLine="360"/>
      </w:pPr>
    </w:p>
    <w:p w14:paraId="644BFF31" w14:textId="33880301" w:rsidR="00C61F19" w:rsidRDefault="00287C1F" w:rsidP="00C61F19">
      <w:pPr>
        <w:keepNext/>
        <w:jc w:val="center"/>
      </w:pPr>
      <w:r>
        <w:rPr>
          <w:noProof/>
        </w:rPr>
        <mc:AlternateContent>
          <mc:Choice Requires="wpg">
            <w:drawing>
              <wp:inline distT="0" distB="0" distL="0" distR="0" wp14:anchorId="03E806A6" wp14:editId="36A8A060">
                <wp:extent cx="5394960" cy="5485109"/>
                <wp:effectExtent l="0" t="0" r="0" b="1905"/>
                <wp:docPr id="78" name="Group 15"/>
                <wp:cNvGraphicFramePr/>
                <a:graphic xmlns:a="http://schemas.openxmlformats.org/drawingml/2006/main">
                  <a:graphicData uri="http://schemas.microsoft.com/office/word/2010/wordprocessingGroup">
                    <wpg:wgp>
                      <wpg:cNvGrpSpPr/>
                      <wpg:grpSpPr>
                        <a:xfrm>
                          <a:off x="0" y="0"/>
                          <a:ext cx="5394960" cy="5485109"/>
                          <a:chOff x="0" y="0"/>
                          <a:chExt cx="5396230" cy="5486401"/>
                        </a:xfrm>
                      </wpg:grpSpPr>
                      <wpg:graphicFrame>
                        <wpg:cNvPr id="80" name="Chart 80"/>
                        <wpg:cNvFrPr>
                          <a:graphicFrameLocks/>
                        </wpg:cNvFrPr>
                        <wpg:xfrm>
                          <a:off x="0" y="0"/>
                          <a:ext cx="2691146" cy="2744453"/>
                        </wpg:xfrm>
                        <a:graphic>
                          <a:graphicData uri="http://schemas.openxmlformats.org/drawingml/2006/chart">
                            <c:chart xmlns:c="http://schemas.openxmlformats.org/drawingml/2006/chart" xmlns:r="http://schemas.openxmlformats.org/officeDocument/2006/relationships" r:id="rId100"/>
                          </a:graphicData>
                        </a:graphic>
                      </wpg:graphicFrame>
                      <wpg:graphicFrame>
                        <wpg:cNvPr id="81" name="Chart 81"/>
                        <wpg:cNvFrPr>
                          <a:graphicFrameLocks/>
                        </wpg:cNvFrPr>
                        <wpg:xfrm>
                          <a:off x="2692413" y="0"/>
                          <a:ext cx="2703817" cy="2744453"/>
                        </wpg:xfrm>
                        <a:graphic>
                          <a:graphicData uri="http://schemas.openxmlformats.org/drawingml/2006/chart">
                            <c:chart xmlns:c="http://schemas.openxmlformats.org/drawingml/2006/chart" xmlns:r="http://schemas.openxmlformats.org/officeDocument/2006/relationships" r:id="rId101"/>
                          </a:graphicData>
                        </a:graphic>
                      </wpg:graphicFrame>
                      <wpg:graphicFrame>
                        <wpg:cNvPr id="84" name="Chart 84"/>
                        <wpg:cNvFrPr>
                          <a:graphicFrameLocks/>
                        </wpg:cNvFrPr>
                        <wpg:xfrm>
                          <a:off x="0" y="2744454"/>
                          <a:ext cx="2691146" cy="2741947"/>
                        </wpg:xfrm>
                        <a:graphic>
                          <a:graphicData uri="http://schemas.openxmlformats.org/drawingml/2006/chart">
                            <c:chart xmlns:c="http://schemas.openxmlformats.org/drawingml/2006/chart" xmlns:r="http://schemas.openxmlformats.org/officeDocument/2006/relationships" r:id="rId102"/>
                          </a:graphicData>
                        </a:graphic>
                      </wpg:graphicFrame>
                      <wpg:graphicFrame>
                        <wpg:cNvPr id="85" name="Chart 85"/>
                        <wpg:cNvFrPr>
                          <a:graphicFrameLocks/>
                        </wpg:cNvFrPr>
                        <wpg:xfrm>
                          <a:off x="2692413" y="2744454"/>
                          <a:ext cx="2703817" cy="2741947"/>
                        </wpg:xfrm>
                        <a:graphic>
                          <a:graphicData uri="http://schemas.openxmlformats.org/drawingml/2006/chart">
                            <c:chart xmlns:c="http://schemas.openxmlformats.org/drawingml/2006/chart" xmlns:r="http://schemas.openxmlformats.org/officeDocument/2006/relationships" r:id="rId103"/>
                          </a:graphicData>
                        </a:graphic>
                      </wpg:graphicFrame>
                    </wpg:wgp>
                  </a:graphicData>
                </a:graphic>
              </wp:inline>
            </w:drawing>
          </mc:Choice>
          <mc:Fallback xmlns:w15="http://schemas.microsoft.com/office/word/2012/wordml">
            <w:pict>
              <v:group w14:anchorId="4830E062" id="Group 15" o:spid="_x0000_s1026" style="width:424.8pt;height:431.9pt;mso-position-horizontal-relative:char;mso-position-vertical-relative:line" coordsize="53962,54864" o:gfxdata="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">
                <v:shape id="Chart 80" o:spid="_x0000_s1027" type="#_x0000_t75" style="position:absolute;width:26950;height:274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">
                  <v:imagedata r:id="rId104" o:title=""/>
                  <o:lock v:ext="edit" aspectratio="f"/>
                </v:shape>
                <v:shape id="Chart 81" o:spid="_x0000_s1028" type="#_x0000_t75" style="position:absolute;left:26889;width:27073;height:274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">
                  <v:imagedata r:id="rId105" o:title=""/>
                  <o:lock v:ext="edit" aspectratio="f"/>
                </v:shape>
                <v:shape id="Chart 84" o:spid="_x0000_s1029" type="#_x0000_t75" style="position:absolute;top:27438;width:26950;height:2743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">
                  <v:imagedata r:id="rId106" o:title=""/>
                  <o:lock v:ext="edit" aspectratio="f"/>
                </v:shape>
                <v:shape id="Chart 85" o:spid="_x0000_s1030" type="#_x0000_t75" style="position:absolute;left:26889;top:27438;width:27073;height:2743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">
                  <v:imagedata r:id="rId107" o:title=""/>
                  <o:lock v:ext="edit" aspectratio="f"/>
                </v:shape>
                <w10:anchorlock/>
              </v:group>
            </w:pict>
          </mc:Fallback>
        </mc:AlternateContent>
      </w:r>
    </w:p>
    <w:p w14:paraId="33E3722A" w14:textId="06CE69A7" w:rsidR="00C61F19" w:rsidRDefault="00C61F19" w:rsidP="00C61F19">
      <w:pPr>
        <w:pStyle w:val="Caption"/>
        <w:spacing w:line="240" w:lineRule="auto"/>
        <w:jc w:val="center"/>
        <w:rPr>
          <w:sz w:val="24"/>
        </w:rPr>
      </w:pPr>
      <w:bookmarkStart w:id="217" w:name="_Ref343929253"/>
      <w:bookmarkStart w:id="218" w:name="_Toc346310441"/>
      <w:proofErr w:type="gramStart"/>
      <w:r w:rsidRPr="00C61F19">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5</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2</w:t>
      </w:r>
      <w:r w:rsidR="00C16D85">
        <w:rPr>
          <w:sz w:val="24"/>
        </w:rPr>
        <w:fldChar w:fldCharType="end"/>
      </w:r>
      <w:bookmarkEnd w:id="217"/>
      <w:r w:rsidRPr="00C61F19">
        <w:rPr>
          <w:sz w:val="24"/>
        </w:rPr>
        <w:t xml:space="preserve"> Long-term (24 months) hydraulic fluid absorption for conditioned AQIII/BMI prepregs cured at fabrication pressures of (a) 69 kPa, (b) 207 kPa, (c) 345 kPa, and (d) 483 kPa. Error bars associated with 95% confidence for </w:t>
      </w:r>
      <w:r w:rsidR="00E924C8">
        <w:rPr>
          <w:sz w:val="24"/>
        </w:rPr>
        <w:t>n=6 samples</w:t>
      </w:r>
      <w:bookmarkEnd w:id="218"/>
    </w:p>
    <w:p w14:paraId="5D7769EE" w14:textId="77777777" w:rsidR="00287C1F" w:rsidRPr="00287C1F" w:rsidRDefault="00287C1F" w:rsidP="00287C1F"/>
    <w:p w14:paraId="65CA04EA" w14:textId="16AFDA42" w:rsidR="00B7360B" w:rsidRDefault="00B7360B" w:rsidP="00B7360B">
      <w:pPr>
        <w:pStyle w:val="Heading3"/>
      </w:pPr>
      <w:bookmarkStart w:id="219" w:name="_Ref344552654"/>
      <w:bookmarkStart w:id="220" w:name="_Toc346311010"/>
      <w:r w:rsidRPr="00123D34">
        <w:lastRenderedPageBreak/>
        <w:t xml:space="preserve">Quartz/Epoxy </w:t>
      </w:r>
      <w:r w:rsidR="00794156" w:rsidRPr="00123D34">
        <w:t>(AQIII/EX-1522)</w:t>
      </w:r>
      <w:r w:rsidR="00794156">
        <w:t xml:space="preserve"> </w:t>
      </w:r>
      <w:r>
        <w:t>Absorption</w:t>
      </w:r>
      <w:bookmarkEnd w:id="219"/>
      <w:bookmarkEnd w:id="220"/>
    </w:p>
    <w:p w14:paraId="122B7242" w14:textId="5EC2A6CF" w:rsidR="00B7360B" w:rsidRDefault="00B7360B" w:rsidP="00B7360B">
      <w:pPr>
        <w:ind w:firstLine="360"/>
      </w:pPr>
      <w:r>
        <w:t>The fluid mass gain for Quartz/Epoxy laminates subjected to long-term exposure to hydraulic fluid is shown in</w:t>
      </w:r>
      <w:r w:rsidR="00EA5229">
        <w:t xml:space="preserve"> </w:t>
      </w:r>
      <w:r w:rsidR="00EA5229">
        <w:fldChar w:fldCharType="begin"/>
      </w:r>
      <w:r w:rsidR="00EA5229">
        <w:instrText xml:space="preserve"> REF _Ref343935434 \h </w:instrText>
      </w:r>
      <w:r w:rsidR="00EA5229">
        <w:fldChar w:fldCharType="separate"/>
      </w:r>
      <w:r w:rsidR="008A1992" w:rsidRPr="00EA5229">
        <w:t xml:space="preserve">Figure </w:t>
      </w:r>
      <w:r w:rsidR="008A1992">
        <w:rPr>
          <w:noProof/>
        </w:rPr>
        <w:t>5</w:t>
      </w:r>
      <w:r w:rsidR="008A1992">
        <w:t>.</w:t>
      </w:r>
      <w:r w:rsidR="008A1992">
        <w:rPr>
          <w:noProof/>
        </w:rPr>
        <w:t>3</w:t>
      </w:r>
      <w:r w:rsidR="00EA5229">
        <w:fldChar w:fldCharType="end"/>
      </w:r>
      <w:r>
        <w:t xml:space="preserve">.  </w:t>
      </w:r>
      <w:r w:rsidR="009954DF">
        <w:t>According to the manufacturers’ data sheet, EX-1522 epoxy resin was modified specifically to reduce fluid absorption.  This is confirmed by t</w:t>
      </w:r>
      <w:r>
        <w:t xml:space="preserve">he fluid mass gain for epoxy </w:t>
      </w:r>
      <w:r w:rsidR="00123D34">
        <w:t>resin</w:t>
      </w:r>
      <w:r>
        <w:t xml:space="preserve"> </w:t>
      </w:r>
      <w:r w:rsidR="009954DF">
        <w:t>being</w:t>
      </w:r>
      <w:r>
        <w:t xml:space="preserve"> significantly lower than BMI </w:t>
      </w:r>
      <w:r w:rsidR="00123D34">
        <w:t>resin</w:t>
      </w:r>
      <w:r>
        <w:t xml:space="preserve"> presented </w:t>
      </w:r>
      <w:r w:rsidR="00123D34">
        <w:t xml:space="preserve">in Section </w:t>
      </w:r>
      <w:r w:rsidR="00123D34">
        <w:fldChar w:fldCharType="begin"/>
      </w:r>
      <w:r w:rsidR="00123D34">
        <w:instrText xml:space="preserve"> REF _Ref344530586 \r \h </w:instrText>
      </w:r>
      <w:r w:rsidR="00123D34">
        <w:fldChar w:fldCharType="separate"/>
      </w:r>
      <w:r w:rsidR="008A1992">
        <w:t>5.3.1</w:t>
      </w:r>
      <w:r w:rsidR="00123D34">
        <w:fldChar w:fldCharType="end"/>
      </w:r>
      <w:r>
        <w:t xml:space="preserve">. </w:t>
      </w:r>
      <w:r w:rsidR="009954DF">
        <w:t xml:space="preserve"> </w:t>
      </w:r>
      <w:r>
        <w:t>The f</w:t>
      </w:r>
      <w:r w:rsidR="009954DF">
        <w:t>luid mass gain ranged from 0.5</w:t>
      </w:r>
      <w:r>
        <w:t>-</w:t>
      </w:r>
      <w:r w:rsidR="009954DF">
        <w:t>1.2</w:t>
      </w:r>
      <w:r>
        <w:t xml:space="preserve"> %wt. for laminates fabricated at a low pressure (69 kP</w:t>
      </w:r>
      <w:r w:rsidR="009954DF">
        <w:t>a) and reduced slightly to 0.4</w:t>
      </w:r>
      <w:r>
        <w:t>-</w:t>
      </w:r>
      <w:r w:rsidR="009954DF">
        <w:t>1.0 %wt. as fabrication pressure increased</w:t>
      </w:r>
      <w:r>
        <w:t xml:space="preserve">.  Generally, hydraulic fluid uptake was more gradual when compared to the </w:t>
      </w:r>
      <w:r w:rsidR="00444245">
        <w:t xml:space="preserve">absorption behavior of </w:t>
      </w:r>
      <w:r>
        <w:t>BMI.</w:t>
      </w:r>
      <w:r w:rsidR="00444245">
        <w:t xml:space="preserve">  Prepregs conditioned at 99% relative humidity had the most apparent two-stage absorption behavior with rapid diffusion up to hr</w:t>
      </w:r>
      <w:r w:rsidR="00444245" w:rsidRPr="00C94E05">
        <w:rPr>
          <w:vertAlign w:val="superscript"/>
        </w:rPr>
        <w:t>0.5</w:t>
      </w:r>
      <w:r w:rsidR="00444245" w:rsidRPr="00C94E05">
        <w:t xml:space="preserve"> </w:t>
      </w:r>
      <w:r w:rsidR="00444245">
        <w:rPr>
          <w:rFonts w:eastAsia="MS Gothic"/>
          <w:color w:val="000000"/>
        </w:rPr>
        <w:t>≈ 20</w:t>
      </w:r>
      <w:r w:rsidR="00444245" w:rsidRPr="00C94E05">
        <w:rPr>
          <w:rFonts w:eastAsia="MS Gothic"/>
          <w:color w:val="000000"/>
        </w:rPr>
        <w:t>.0</w:t>
      </w:r>
      <w:r w:rsidR="00444245">
        <w:rPr>
          <w:rFonts w:eastAsia="MS Gothic"/>
          <w:color w:val="000000"/>
        </w:rPr>
        <w:t>, followed by a more gradual uptake.</w:t>
      </w:r>
      <w:r w:rsidR="00444245">
        <w:t xml:space="preserve"> </w:t>
      </w:r>
      <w:r>
        <w:t xml:space="preserve"> </w:t>
      </w:r>
      <w:r w:rsidR="00444245">
        <w:t xml:space="preserve">Additionally, the fluid content for 99% relative humidity specimens was </w:t>
      </w:r>
      <w:r>
        <w:t xml:space="preserve">significantly higher </w:t>
      </w:r>
      <w:r w:rsidR="00444245">
        <w:t xml:space="preserve">than </w:t>
      </w:r>
      <w:r>
        <w:t>any other conditioning treatment</w:t>
      </w:r>
      <w:r w:rsidR="00444245">
        <w:t xml:space="preserve"> level</w:t>
      </w:r>
      <w:r>
        <w:t xml:space="preserve">.  </w:t>
      </w:r>
      <w:r w:rsidR="00444245">
        <w:t xml:space="preserve">This is most likely due to these specimens having the highest void </w:t>
      </w:r>
      <w:r w:rsidR="00E924C8">
        <w:t xml:space="preserve">volume </w:t>
      </w:r>
      <w:r w:rsidR="00444245">
        <w:t>fracti</w:t>
      </w:r>
      <w:r w:rsidR="00E924C8">
        <w:t>ons</w:t>
      </w:r>
      <w:r w:rsidR="00444245">
        <w:t xml:space="preserve">.  At a given fabrication pressure, the laminate fiber volume fraction was very similar for quartz/epoxy laminates, which was discussed in Section </w:t>
      </w:r>
      <w:r w:rsidR="00444245">
        <w:fldChar w:fldCharType="begin"/>
      </w:r>
      <w:r w:rsidR="00444245">
        <w:instrText xml:space="preserve"> REF _Ref344120734 \r \h </w:instrText>
      </w:r>
      <w:r w:rsidR="00444245">
        <w:fldChar w:fldCharType="separate"/>
      </w:r>
      <w:r w:rsidR="008A1992">
        <w:t>2.5.6</w:t>
      </w:r>
      <w:r w:rsidR="00444245">
        <w:fldChar w:fldCharType="end"/>
      </w:r>
      <w:r w:rsidR="00444245">
        <w:t xml:space="preserve">.  Therefore, the effect of high void fractions, which serve as storage sites for liquid, is clearly illustrated in this case.  Sampling variation increased as prepreg humidity exposure increased, which is indicated by the larger confidence intervals for 99% relative humidity specimens in </w:t>
      </w:r>
      <w:r w:rsidR="00EA5229">
        <w:fldChar w:fldCharType="begin"/>
      </w:r>
      <w:r w:rsidR="00EA5229">
        <w:instrText xml:space="preserve"> REF _Ref343935434 \h </w:instrText>
      </w:r>
      <w:r w:rsidR="00EA5229">
        <w:fldChar w:fldCharType="separate"/>
      </w:r>
      <w:r w:rsidR="008A1992" w:rsidRPr="00EA5229">
        <w:t xml:space="preserve">Figure </w:t>
      </w:r>
      <w:r w:rsidR="008A1992">
        <w:rPr>
          <w:noProof/>
        </w:rPr>
        <w:t>5</w:t>
      </w:r>
      <w:r w:rsidR="008A1992">
        <w:t>.</w:t>
      </w:r>
      <w:r w:rsidR="008A1992">
        <w:rPr>
          <w:noProof/>
        </w:rPr>
        <w:t>3</w:t>
      </w:r>
      <w:r w:rsidR="00EA5229">
        <w:fldChar w:fldCharType="end"/>
      </w:r>
      <w:r>
        <w:t>.</w:t>
      </w:r>
    </w:p>
    <w:p w14:paraId="2405197D" w14:textId="77777777" w:rsidR="00123D34" w:rsidRDefault="00123D34" w:rsidP="00B7360B">
      <w:pPr>
        <w:ind w:firstLine="360"/>
      </w:pPr>
    </w:p>
    <w:p w14:paraId="37EE26B3" w14:textId="13AC5231" w:rsidR="009C50EB" w:rsidRDefault="0027120F" w:rsidP="009C50EB">
      <w:pPr>
        <w:keepNext/>
        <w:jc w:val="center"/>
      </w:pPr>
      <w:r>
        <w:rPr>
          <w:noProof/>
        </w:rPr>
        <w:lastRenderedPageBreak/>
        <mc:AlternateContent>
          <mc:Choice Requires="wpg">
            <w:drawing>
              <wp:inline distT="0" distB="0" distL="0" distR="0" wp14:anchorId="54D9F0A0" wp14:editId="34CE0ABC">
                <wp:extent cx="5394960" cy="5487648"/>
                <wp:effectExtent l="0" t="0" r="0" b="0"/>
                <wp:docPr id="86" name="Group 16"/>
                <wp:cNvGraphicFramePr/>
                <a:graphic xmlns:a="http://schemas.openxmlformats.org/drawingml/2006/main">
                  <a:graphicData uri="http://schemas.microsoft.com/office/word/2010/wordprocessingGroup">
                    <wpg:wgp>
                      <wpg:cNvGrpSpPr/>
                      <wpg:grpSpPr>
                        <a:xfrm>
                          <a:off x="0" y="0"/>
                          <a:ext cx="5394960" cy="5487648"/>
                          <a:chOff x="0" y="0"/>
                          <a:chExt cx="5396230" cy="5488941"/>
                        </a:xfrm>
                      </wpg:grpSpPr>
                      <wpg:graphicFrame>
                        <wpg:cNvPr id="87" name="Chart 87"/>
                        <wpg:cNvFrPr>
                          <a:graphicFrameLocks/>
                        </wpg:cNvFrPr>
                        <wpg:xfrm>
                          <a:off x="0" y="0"/>
                          <a:ext cx="2697480" cy="2745740"/>
                        </wpg:xfrm>
                        <a:graphic>
                          <a:graphicData uri="http://schemas.openxmlformats.org/drawingml/2006/chart">
                            <c:chart xmlns:c="http://schemas.openxmlformats.org/drawingml/2006/chart" xmlns:r="http://schemas.openxmlformats.org/officeDocument/2006/relationships" r:id="rId108"/>
                          </a:graphicData>
                        </a:graphic>
                      </wpg:graphicFrame>
                      <wpg:graphicFrame>
                        <wpg:cNvPr id="88" name="Chart 88"/>
                        <wpg:cNvFrPr>
                          <a:graphicFrameLocks/>
                        </wpg:cNvFrPr>
                        <wpg:xfrm>
                          <a:off x="2698750" y="0"/>
                          <a:ext cx="2697480" cy="2745740"/>
                        </wpg:xfrm>
                        <a:graphic>
                          <a:graphicData uri="http://schemas.openxmlformats.org/drawingml/2006/chart">
                            <c:chart xmlns:c="http://schemas.openxmlformats.org/drawingml/2006/chart" xmlns:r="http://schemas.openxmlformats.org/officeDocument/2006/relationships" r:id="rId109"/>
                          </a:graphicData>
                        </a:graphic>
                      </wpg:graphicFrame>
                      <wpg:graphicFrame>
                        <wpg:cNvPr id="94" name="Chart 94"/>
                        <wpg:cNvFrPr>
                          <a:graphicFrameLocks/>
                        </wpg:cNvFrPr>
                        <wpg:xfrm>
                          <a:off x="0" y="2745741"/>
                          <a:ext cx="2697480" cy="2743200"/>
                        </wpg:xfrm>
                        <a:graphic>
                          <a:graphicData uri="http://schemas.openxmlformats.org/drawingml/2006/chart">
                            <c:chart xmlns:c="http://schemas.openxmlformats.org/drawingml/2006/chart" xmlns:r="http://schemas.openxmlformats.org/officeDocument/2006/relationships" r:id="rId110"/>
                          </a:graphicData>
                        </a:graphic>
                      </wpg:graphicFrame>
                      <wpg:graphicFrame>
                        <wpg:cNvPr id="95" name="Chart 95"/>
                        <wpg:cNvFrPr>
                          <a:graphicFrameLocks/>
                        </wpg:cNvFrPr>
                        <wpg:xfrm>
                          <a:off x="2698750" y="2745741"/>
                          <a:ext cx="2697480" cy="2743200"/>
                        </wpg:xfrm>
                        <a:graphic>
                          <a:graphicData uri="http://schemas.openxmlformats.org/drawingml/2006/chart">
                            <c:chart xmlns:c="http://schemas.openxmlformats.org/drawingml/2006/chart" xmlns:r="http://schemas.openxmlformats.org/officeDocument/2006/relationships" r:id="rId111"/>
                          </a:graphicData>
                        </a:graphic>
                      </wpg:graphicFrame>
                    </wpg:wgp>
                  </a:graphicData>
                </a:graphic>
              </wp:inline>
            </w:drawing>
          </mc:Choice>
          <mc:Fallback xmlns:w15="http://schemas.microsoft.com/office/word/2012/wordml">
            <w:pict>
              <v:group w14:anchorId="1D3741E5" id="Group 16" o:spid="_x0000_s1026" style="width:424.8pt;height:432.1pt;mso-position-horizontal-relative:char;mso-position-vertical-relative:line" coordsize="53962,54889" o:gfxdata="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">
                <v:shape id="Chart 87" o:spid="_x0000_s1027" type="#_x0000_t75" style="position:absolute;width:27011;height:274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">
                  <v:imagedata r:id="rId112" o:title=""/>
                  <o:lock v:ext="edit" aspectratio="f"/>
                </v:shape>
                <v:shape id="Chart 88" o:spid="_x0000_s1028" type="#_x0000_t75" style="position:absolute;left:26950;width:27012;height:274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">
                  <v:imagedata r:id="rId113" o:title=""/>
                  <o:lock v:ext="edit" aspectratio="f"/>
                </v:shape>
                <v:shape id="Chart 94" o:spid="_x0000_s1029" type="#_x0000_t75" style="position:absolute;top:27438;width:27011;height:274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">
                  <v:imagedata r:id="rId114" o:title=""/>
                  <o:lock v:ext="edit" aspectratio="f"/>
                </v:shape>
                <v:shape id="Chart 95" o:spid="_x0000_s1030" type="#_x0000_t75" style="position:absolute;left:26950;top:27438;width:27012;height:274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">
                  <v:imagedata r:id="rId115" o:title=""/>
                  <o:lock v:ext="edit" aspectratio="f"/>
                </v:shape>
                <w10:anchorlock/>
              </v:group>
            </w:pict>
          </mc:Fallback>
        </mc:AlternateContent>
      </w:r>
    </w:p>
    <w:p w14:paraId="737FF498" w14:textId="05F86339" w:rsidR="009C50EB" w:rsidRDefault="009C50EB" w:rsidP="00EA5229">
      <w:pPr>
        <w:pStyle w:val="Caption"/>
        <w:spacing w:line="240" w:lineRule="auto"/>
        <w:jc w:val="center"/>
        <w:rPr>
          <w:sz w:val="24"/>
          <w:szCs w:val="24"/>
        </w:rPr>
      </w:pPr>
      <w:bookmarkStart w:id="221" w:name="_Ref343935434"/>
      <w:bookmarkStart w:id="222" w:name="_Toc346310442"/>
      <w:proofErr w:type="gramStart"/>
      <w:r w:rsidRPr="00EA5229">
        <w:rPr>
          <w:sz w:val="24"/>
          <w:szCs w:val="24"/>
        </w:rPr>
        <w:t xml:space="preserve">Figure </w:t>
      </w:r>
      <w:r w:rsidR="00C16D85">
        <w:rPr>
          <w:sz w:val="24"/>
          <w:szCs w:val="24"/>
        </w:rPr>
        <w:fldChar w:fldCharType="begin"/>
      </w:r>
      <w:r w:rsidR="00C16D85">
        <w:rPr>
          <w:sz w:val="24"/>
          <w:szCs w:val="24"/>
        </w:rPr>
        <w:instrText xml:space="preserve"> STYLEREF 1 \s </w:instrText>
      </w:r>
      <w:r w:rsidR="00C16D85">
        <w:rPr>
          <w:sz w:val="24"/>
          <w:szCs w:val="24"/>
        </w:rPr>
        <w:fldChar w:fldCharType="separate"/>
      </w:r>
      <w:r w:rsidR="008A1992">
        <w:rPr>
          <w:noProof/>
          <w:sz w:val="24"/>
          <w:szCs w:val="24"/>
        </w:rPr>
        <w:t>5</w:t>
      </w:r>
      <w:r w:rsidR="00C16D85">
        <w:rPr>
          <w:sz w:val="24"/>
          <w:szCs w:val="24"/>
        </w:rPr>
        <w:fldChar w:fldCharType="end"/>
      </w:r>
      <w:r w:rsidR="00C16D85">
        <w:rPr>
          <w:sz w:val="24"/>
          <w:szCs w:val="24"/>
        </w:rPr>
        <w:t>.</w:t>
      </w:r>
      <w:proofErr w:type="gramEnd"/>
      <w:r w:rsidR="00C16D85">
        <w:rPr>
          <w:sz w:val="24"/>
          <w:szCs w:val="24"/>
        </w:rPr>
        <w:fldChar w:fldCharType="begin"/>
      </w:r>
      <w:r w:rsidR="00C16D85">
        <w:rPr>
          <w:sz w:val="24"/>
          <w:szCs w:val="24"/>
        </w:rPr>
        <w:instrText xml:space="preserve"> SEQ Figure \* ARABIC \s 1 </w:instrText>
      </w:r>
      <w:r w:rsidR="00C16D85">
        <w:rPr>
          <w:sz w:val="24"/>
          <w:szCs w:val="24"/>
        </w:rPr>
        <w:fldChar w:fldCharType="separate"/>
      </w:r>
      <w:r w:rsidR="008A1992">
        <w:rPr>
          <w:noProof/>
          <w:sz w:val="24"/>
          <w:szCs w:val="24"/>
        </w:rPr>
        <w:t>3</w:t>
      </w:r>
      <w:r w:rsidR="00C16D85">
        <w:rPr>
          <w:sz w:val="24"/>
          <w:szCs w:val="24"/>
        </w:rPr>
        <w:fldChar w:fldCharType="end"/>
      </w:r>
      <w:bookmarkEnd w:id="221"/>
      <w:r w:rsidRPr="00EA5229">
        <w:rPr>
          <w:sz w:val="24"/>
          <w:szCs w:val="24"/>
        </w:rPr>
        <w:t xml:space="preserve"> Long-term (24 months) hydraulic fluid absorption for conditioned AQIII/EX1522 prepregs cured at fabrication pressures at (a) 69 kPa, (b) 207 kPa, (c) 345 kPa, and (d) 483 kPa. Error bars associated with 95% confidence for</w:t>
      </w:r>
      <w:r w:rsidR="00E924C8">
        <w:rPr>
          <w:sz w:val="24"/>
          <w:szCs w:val="24"/>
        </w:rPr>
        <w:t xml:space="preserve"> n=6 samples</w:t>
      </w:r>
      <w:bookmarkEnd w:id="222"/>
    </w:p>
    <w:p w14:paraId="4444FA60" w14:textId="77777777" w:rsidR="00EA5229" w:rsidRDefault="00EA5229" w:rsidP="00EA5229"/>
    <w:p w14:paraId="67DB0370" w14:textId="631AA958" w:rsidR="00B7360B" w:rsidRDefault="00794156" w:rsidP="00B7360B">
      <w:pPr>
        <w:pStyle w:val="Heading3"/>
      </w:pPr>
      <w:bookmarkStart w:id="223" w:name="_Toc346311011"/>
      <w:r>
        <w:t>Carbon/Epoxy (IM7/EX-1522) Absorption</w:t>
      </w:r>
      <w:bookmarkEnd w:id="223"/>
    </w:p>
    <w:p w14:paraId="0A16B299" w14:textId="0BCA06C3" w:rsidR="00444245" w:rsidRDefault="00B7360B" w:rsidP="00B7360B">
      <w:pPr>
        <w:ind w:firstLine="360"/>
      </w:pPr>
      <w:r>
        <w:t>The fluid mass gain for Carbon/Epoxy laminates subjected to long-term exposure to hydraulic fluid is shown in</w:t>
      </w:r>
      <w:r w:rsidR="009B44CC">
        <w:t xml:space="preserve"> </w:t>
      </w:r>
      <w:r w:rsidR="009B44CC">
        <w:fldChar w:fldCharType="begin"/>
      </w:r>
      <w:r w:rsidR="009B44CC">
        <w:instrText xml:space="preserve"> REF _Ref344533390 \h </w:instrText>
      </w:r>
      <w:r w:rsidR="009B44CC">
        <w:fldChar w:fldCharType="separate"/>
      </w:r>
      <w:r w:rsidR="008A1992" w:rsidRPr="002E291C">
        <w:t xml:space="preserve">Figure </w:t>
      </w:r>
      <w:r w:rsidR="008A1992">
        <w:rPr>
          <w:noProof/>
        </w:rPr>
        <w:t>5</w:t>
      </w:r>
      <w:r w:rsidR="008A1992">
        <w:t>.</w:t>
      </w:r>
      <w:r w:rsidR="008A1992">
        <w:rPr>
          <w:noProof/>
        </w:rPr>
        <w:t>4</w:t>
      </w:r>
      <w:r w:rsidR="009B44CC">
        <w:fldChar w:fldCharType="end"/>
      </w:r>
      <w:r>
        <w:t xml:space="preserve">.  The fluid mass gain for </w:t>
      </w:r>
      <w:r w:rsidR="00692764">
        <w:t>IM7/EX-1522</w:t>
      </w:r>
      <w:r>
        <w:t xml:space="preserve"> laminates </w:t>
      </w:r>
      <w:r w:rsidR="00692764">
        <w:lastRenderedPageBreak/>
        <w:t>was</w:t>
      </w:r>
      <w:r>
        <w:t xml:space="preserve"> similar to </w:t>
      </w:r>
      <w:r w:rsidR="00692764">
        <w:t>that for quartz-reinforced epoxy laminates (AQIII/EX-1522)</w:t>
      </w:r>
      <w:r>
        <w:t xml:space="preserve">.  </w:t>
      </w:r>
      <w:r w:rsidR="00692764">
        <w:t>Again, this was expected as the EX-1522 resin was designed to inhibit fluid absorption.  When humidity exposure was less than 70% relative humidity, t</w:t>
      </w:r>
      <w:r>
        <w:t xml:space="preserve">he </w:t>
      </w:r>
      <w:r w:rsidR="00692764">
        <w:t>fluid mass gain ranged from 1.1-1.8</w:t>
      </w:r>
      <w:r>
        <w:t xml:space="preserve"> %wt. for laminates fabricated at a low pressure (69 </w:t>
      </w:r>
      <w:r w:rsidR="00692764">
        <w:t>kPa) and reduced to 0.7-1.1</w:t>
      </w:r>
      <w:r>
        <w:t xml:space="preserve"> %wt. for laminates fabricated at a high pressure (483 kPa).  </w:t>
      </w:r>
      <w:r w:rsidR="00692764">
        <w:t xml:space="preserve">The fluid mass gain for laminates fabricated from 99% relative humidity prepregs was similar (1.8-2.1 %wt.) and had large sampling variance, regardless of the fabrication pressure.  </w:t>
      </w:r>
      <w:r w:rsidR="009B44CC">
        <w:t>As humidity exposure increased, the two-stage hydraulic fluid absorption behavior became more prevalent.  Generally, rapid diffusion took place up to hr</w:t>
      </w:r>
      <w:r w:rsidR="009B44CC" w:rsidRPr="00C94E05">
        <w:rPr>
          <w:vertAlign w:val="superscript"/>
        </w:rPr>
        <w:t>0.5</w:t>
      </w:r>
      <w:r w:rsidR="009B44CC" w:rsidRPr="00C94E05">
        <w:t xml:space="preserve"> </w:t>
      </w:r>
      <w:r w:rsidR="009B44CC">
        <w:rPr>
          <w:rFonts w:eastAsia="MS Gothic"/>
          <w:color w:val="000000"/>
        </w:rPr>
        <w:t>≈ 14</w:t>
      </w:r>
      <w:r w:rsidR="009B44CC" w:rsidRPr="00C94E05">
        <w:rPr>
          <w:rFonts w:eastAsia="MS Gothic"/>
          <w:color w:val="000000"/>
        </w:rPr>
        <w:t>.0</w:t>
      </w:r>
      <w:r w:rsidR="009B44CC">
        <w:rPr>
          <w:rFonts w:eastAsia="MS Gothic"/>
          <w:color w:val="000000"/>
        </w:rPr>
        <w:t>, followed by consistent fluid uptake at lower rate.</w:t>
      </w:r>
      <w:r w:rsidR="009B44CC">
        <w:t xml:space="preserve">  From </w:t>
      </w:r>
      <w:r w:rsidR="009B44CC">
        <w:fldChar w:fldCharType="begin"/>
      </w:r>
      <w:r w:rsidR="009B44CC">
        <w:instrText xml:space="preserve"> REF _Ref344533390 \h </w:instrText>
      </w:r>
      <w:r w:rsidR="009B44CC">
        <w:fldChar w:fldCharType="separate"/>
      </w:r>
      <w:r w:rsidR="008A1992" w:rsidRPr="002E291C">
        <w:t xml:space="preserve">Figure </w:t>
      </w:r>
      <w:r w:rsidR="008A1992">
        <w:rPr>
          <w:noProof/>
        </w:rPr>
        <w:t>5</w:t>
      </w:r>
      <w:r w:rsidR="008A1992">
        <w:t>.</w:t>
      </w:r>
      <w:r w:rsidR="008A1992">
        <w:rPr>
          <w:noProof/>
        </w:rPr>
        <w:t>4</w:t>
      </w:r>
      <w:r w:rsidR="009B44CC">
        <w:fldChar w:fldCharType="end"/>
      </w:r>
      <w:r w:rsidR="009B44CC">
        <w:t>, c</w:t>
      </w:r>
      <w:r>
        <w:t>arbon-reinforced epoxy laminates continue to absorb hydraulic fluid</w:t>
      </w:r>
      <w:r w:rsidR="009B44CC">
        <w:t xml:space="preserve"> after 18 months exposure</w:t>
      </w:r>
      <w:r>
        <w:t xml:space="preserve"> and does not appear to be approaching </w:t>
      </w:r>
      <w:r w:rsidR="009B44CC">
        <w:t>saturation</w:t>
      </w:r>
      <w:r>
        <w:t>.</w:t>
      </w:r>
    </w:p>
    <w:p w14:paraId="48919765" w14:textId="576B6264" w:rsidR="002E291C" w:rsidRDefault="0027120F" w:rsidP="002E291C">
      <w:pPr>
        <w:keepNext/>
        <w:jc w:val="center"/>
      </w:pPr>
      <w:r>
        <w:rPr>
          <w:noProof/>
        </w:rPr>
        <w:lastRenderedPageBreak/>
        <mc:AlternateContent>
          <mc:Choice Requires="wpg">
            <w:drawing>
              <wp:inline distT="0" distB="0" distL="0" distR="0" wp14:anchorId="4DAA702B" wp14:editId="2F58D27A">
                <wp:extent cx="5375910" cy="5562601"/>
                <wp:effectExtent l="0" t="0" r="8890" b="0"/>
                <wp:docPr id="288" name="Group 40"/>
                <wp:cNvGraphicFramePr/>
                <a:graphic xmlns:a="http://schemas.openxmlformats.org/drawingml/2006/main">
                  <a:graphicData uri="http://schemas.microsoft.com/office/word/2010/wordprocessingGroup">
                    <wpg:wgp>
                      <wpg:cNvGrpSpPr/>
                      <wpg:grpSpPr>
                        <a:xfrm>
                          <a:off x="0" y="0"/>
                          <a:ext cx="5375910" cy="5562601"/>
                          <a:chOff x="0" y="0"/>
                          <a:chExt cx="5375910" cy="5562601"/>
                        </a:xfrm>
                      </wpg:grpSpPr>
                      <wpg:graphicFrame>
                        <wpg:cNvPr id="289" name="Chart 289"/>
                        <wpg:cNvFrPr>
                          <a:graphicFrameLocks/>
                        </wpg:cNvFrPr>
                        <wpg:xfrm>
                          <a:off x="0" y="0"/>
                          <a:ext cx="2687320" cy="2781300"/>
                        </wpg:xfrm>
                        <a:graphic>
                          <a:graphicData uri="http://schemas.openxmlformats.org/drawingml/2006/chart">
                            <c:chart xmlns:c="http://schemas.openxmlformats.org/drawingml/2006/chart" xmlns:r="http://schemas.openxmlformats.org/officeDocument/2006/relationships" r:id="rId116"/>
                          </a:graphicData>
                        </a:graphic>
                      </wpg:graphicFrame>
                      <wpg:graphicFrame>
                        <wpg:cNvPr id="290" name="Chart 290"/>
                        <wpg:cNvFrPr>
                          <a:graphicFrameLocks/>
                        </wpg:cNvFrPr>
                        <wpg:xfrm>
                          <a:off x="2688590" y="0"/>
                          <a:ext cx="2687320" cy="2781300"/>
                        </wpg:xfrm>
                        <a:graphic>
                          <a:graphicData uri="http://schemas.openxmlformats.org/drawingml/2006/chart">
                            <c:chart xmlns:c="http://schemas.openxmlformats.org/drawingml/2006/chart" xmlns:r="http://schemas.openxmlformats.org/officeDocument/2006/relationships" r:id="rId117"/>
                          </a:graphicData>
                        </a:graphic>
                      </wpg:graphicFrame>
                      <wpg:graphicFrame>
                        <wpg:cNvPr id="291" name="Chart 291"/>
                        <wpg:cNvFrPr>
                          <a:graphicFrameLocks/>
                        </wpg:cNvFrPr>
                        <wpg:xfrm>
                          <a:off x="0" y="2781301"/>
                          <a:ext cx="2687320" cy="2781300"/>
                        </wpg:xfrm>
                        <a:graphic>
                          <a:graphicData uri="http://schemas.openxmlformats.org/drawingml/2006/chart">
                            <c:chart xmlns:c="http://schemas.openxmlformats.org/drawingml/2006/chart" xmlns:r="http://schemas.openxmlformats.org/officeDocument/2006/relationships" r:id="rId118"/>
                          </a:graphicData>
                        </a:graphic>
                      </wpg:graphicFrame>
                      <wpg:graphicFrame>
                        <wpg:cNvPr id="292" name="Chart 292"/>
                        <wpg:cNvFrPr>
                          <a:graphicFrameLocks/>
                        </wpg:cNvFrPr>
                        <wpg:xfrm>
                          <a:off x="2688590" y="2781301"/>
                          <a:ext cx="2687320" cy="2781300"/>
                        </wpg:xfrm>
                        <a:graphic>
                          <a:graphicData uri="http://schemas.openxmlformats.org/drawingml/2006/chart">
                            <c:chart xmlns:c="http://schemas.openxmlformats.org/drawingml/2006/chart" xmlns:r="http://schemas.openxmlformats.org/officeDocument/2006/relationships" r:id="rId119"/>
                          </a:graphicData>
                        </a:graphic>
                      </wpg:graphicFrame>
                    </wpg:wgp>
                  </a:graphicData>
                </a:graphic>
              </wp:inline>
            </w:drawing>
          </mc:Choice>
          <mc:Fallback xmlns:w15="http://schemas.microsoft.com/office/word/2012/wordml">
            <w:pict>
              <v:group w14:anchorId="672296C1" id="Group 40" o:spid="_x0000_s1026" style="width:423.3pt;height:438pt;mso-position-horizontal-relative:char;mso-position-vertical-relative:line" coordsize="53759,55626" o:gfxdata="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">
                <v:shape id="Chart 289" o:spid="_x0000_s1027" type="#_x0000_t75" style="position:absolute;width:26883;height:2785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">
                  <v:imagedata r:id="rId120" o:title=""/>
                  <o:lock v:ext="edit" aspectratio="f"/>
                </v:shape>
                <v:shape id="Chart 290" o:spid="_x0000_s1028" type="#_x0000_t75" style="position:absolute;left:26883;width:26883;height:2785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">
                  <v:imagedata r:id="rId121" o:title=""/>
                  <o:lock v:ext="edit" aspectratio="f"/>
                </v:shape>
                <v:shape id="Chart 291" o:spid="_x0000_s1029" type="#_x0000_t75" style="position:absolute;top:27797;width:26883;height:2785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">
                  <v:imagedata r:id="rId122" o:title=""/>
                  <o:lock v:ext="edit" aspectratio="f"/>
                </v:shape>
                <v:shape id="Chart 292" o:spid="_x0000_s1030" type="#_x0000_t75" style="position:absolute;left:26883;top:27797;width:26883;height:2785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">
                  <v:imagedata r:id="rId123" o:title=""/>
                  <o:lock v:ext="edit" aspectratio="f"/>
                </v:shape>
                <w10:anchorlock/>
              </v:group>
            </w:pict>
          </mc:Fallback>
        </mc:AlternateContent>
      </w:r>
    </w:p>
    <w:p w14:paraId="184C3223" w14:textId="026166DD" w:rsidR="002E291C" w:rsidRDefault="002E291C" w:rsidP="002E291C">
      <w:pPr>
        <w:pStyle w:val="Caption"/>
        <w:spacing w:line="240" w:lineRule="auto"/>
        <w:jc w:val="center"/>
        <w:rPr>
          <w:sz w:val="24"/>
        </w:rPr>
      </w:pPr>
      <w:bookmarkStart w:id="224" w:name="_Ref344533390"/>
      <w:bookmarkStart w:id="225" w:name="_Toc346310443"/>
      <w:proofErr w:type="gramStart"/>
      <w:r w:rsidRPr="002E291C">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5</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4</w:t>
      </w:r>
      <w:r w:rsidR="00C16D85">
        <w:rPr>
          <w:sz w:val="24"/>
        </w:rPr>
        <w:fldChar w:fldCharType="end"/>
      </w:r>
      <w:bookmarkEnd w:id="224"/>
      <w:r w:rsidRPr="002E291C">
        <w:rPr>
          <w:sz w:val="24"/>
        </w:rPr>
        <w:t xml:space="preserve"> Long-term (18 months) hydraulic fluid absorption for conditioned IM7/EX1522 prepregs cured at fabrication pressures of (a) 69 kPa, (b) 207 kPa, (c) 345 kPa, and (d) 483 kPa. Error bars associated with 95% confidence for</w:t>
      </w:r>
      <w:r w:rsidR="00E924C8">
        <w:rPr>
          <w:sz w:val="24"/>
        </w:rPr>
        <w:t xml:space="preserve"> n=6 samples</w:t>
      </w:r>
      <w:bookmarkEnd w:id="225"/>
    </w:p>
    <w:p w14:paraId="361EAE73" w14:textId="77777777" w:rsidR="002E291C" w:rsidRDefault="002E291C" w:rsidP="002E291C"/>
    <w:p w14:paraId="46D1D738" w14:textId="77777777" w:rsidR="00521C0D" w:rsidRDefault="00521C0D" w:rsidP="00521C0D">
      <w:pPr>
        <w:pStyle w:val="Heading2"/>
      </w:pPr>
      <w:bookmarkStart w:id="226" w:name="_Ref346289024"/>
      <w:bookmarkStart w:id="227" w:name="_Toc346311012"/>
      <w:bookmarkStart w:id="228" w:name="_Ref340842774"/>
      <w:r>
        <w:t>Foundation for applying the Hindered Diffusion Model to Hydraulic Fluid Absorption</w:t>
      </w:r>
      <w:bookmarkEnd w:id="226"/>
      <w:bookmarkEnd w:id="227"/>
    </w:p>
    <w:p w14:paraId="3F854727" w14:textId="1B13A322" w:rsidR="00B57D7E" w:rsidRDefault="00B57D7E" w:rsidP="00B57D7E">
      <w:pPr>
        <w:ind w:firstLine="360"/>
        <w:rPr>
          <w:rFonts w:eastAsia="MS Mincho"/>
        </w:rPr>
      </w:pPr>
      <w:r w:rsidRPr="00293764">
        <w:rPr>
          <w:rFonts w:eastAsia="MS Mincho"/>
        </w:rPr>
        <w:t>Significant efforts have be</w:t>
      </w:r>
      <w:r w:rsidR="00E924C8">
        <w:rPr>
          <w:rFonts w:eastAsia="MS Mincho"/>
        </w:rPr>
        <w:t xml:space="preserve">en made to accurately model liquid </w:t>
      </w:r>
      <w:r w:rsidRPr="00293764">
        <w:rPr>
          <w:rFonts w:eastAsia="MS Mincho"/>
        </w:rPr>
        <w:t>absorption behavior of polymers.  The most common absorption model applied to composites laminates is th</w:t>
      </w:r>
      <w:r>
        <w:rPr>
          <w:rFonts w:eastAsia="MS Mincho"/>
        </w:rPr>
        <w:t>e one-dimensional case of Fickian</w:t>
      </w:r>
      <w:r w:rsidRPr="00293764">
        <w:rPr>
          <w:rFonts w:eastAsia="MS Mincho"/>
        </w:rPr>
        <w:t xml:space="preserve"> second law of diffusion</w:t>
      </w:r>
      <w:r>
        <w:rPr>
          <w:rFonts w:eastAsia="MS Mincho"/>
        </w:rPr>
        <w:t xml:space="preserve"> </w:t>
      </w:r>
      <w:r>
        <w:t>with</w:t>
      </w:r>
      <w:r w:rsidRPr="00DE742D">
        <w:t xml:space="preserve"> </w:t>
      </w:r>
      <w:r>
        <w:t>appropriate</w:t>
      </w:r>
      <w:r w:rsidRPr="00DE742D">
        <w:t xml:space="preserve"> correction factors </w:t>
      </w:r>
      <w:r>
        <w:t xml:space="preserve">to account </w:t>
      </w:r>
      <w:r w:rsidRPr="00DE742D">
        <w:t xml:space="preserve">for edge effects. </w:t>
      </w:r>
      <w:r>
        <w:t xml:space="preserve"> </w:t>
      </w:r>
      <w:r w:rsidRPr="00DE742D">
        <w:t>The widespread use of Fickian-based models partially stems from their ease of use as the ASTM D30 committee recommends the Fickian-based characterization, outlined in the D5229 standard.  This approach is suitable when characterizing through-the-thickness absorption for single-phase, Fickian solid materials.  In many cases, these methods can be insufficient when investigating anisotropic materials or samples with finite dimensions</w:t>
      </w:r>
      <w:r w:rsidR="005571C2">
        <w:t xml:space="preserve"> [57</w:t>
      </w:r>
      <w:r w:rsidR="0061602F">
        <w:t>]</w:t>
      </w:r>
      <w:r w:rsidRPr="00DE742D">
        <w:t>.</w:t>
      </w:r>
      <w:r w:rsidRPr="00293764">
        <w:rPr>
          <w:rFonts w:eastAsia="MS Mincho"/>
        </w:rPr>
        <w:t xml:space="preserve">  Moisture absorption behavior reported in literature often varies widely among different polymer systems and conditions, which often necessitates the use of non-Fickian diffusion models</w:t>
      </w:r>
      <w:r w:rsidR="005571C2">
        <w:rPr>
          <w:rFonts w:eastAsia="MS Mincho"/>
        </w:rPr>
        <w:t xml:space="preserve"> [45-47,58-61</w:t>
      </w:r>
      <w:r w:rsidR="0061602F">
        <w:rPr>
          <w:rFonts w:eastAsia="MS Mincho"/>
        </w:rPr>
        <w:t>]</w:t>
      </w:r>
      <w:r w:rsidRPr="00293764">
        <w:rPr>
          <w:rFonts w:eastAsia="MS Mincho"/>
        </w:rPr>
        <w:t>.  Among the most common non-Fickian models are the “Langmuir-type” model of diffusion</w:t>
      </w:r>
      <w:r w:rsidR="005571C2">
        <w:rPr>
          <w:rFonts w:eastAsia="MS Mincho"/>
        </w:rPr>
        <w:t xml:space="preserve"> [59</w:t>
      </w:r>
      <w:r w:rsidR="0061602F">
        <w:rPr>
          <w:rFonts w:eastAsia="MS Mincho"/>
        </w:rPr>
        <w:t>]</w:t>
      </w:r>
      <w:r>
        <w:rPr>
          <w:rFonts w:eastAsia="MS Mincho"/>
        </w:rPr>
        <w:t xml:space="preserve"> </w:t>
      </w:r>
      <w:r w:rsidRPr="00293764">
        <w:rPr>
          <w:rFonts w:eastAsia="MS Mincho"/>
        </w:rPr>
        <w:t>and time-varying diffusivity models</w:t>
      </w:r>
      <w:r w:rsidR="005571C2">
        <w:rPr>
          <w:rFonts w:eastAsia="MS Mincho"/>
        </w:rPr>
        <w:t xml:space="preserve"> [58,60,61</w:t>
      </w:r>
      <w:r w:rsidR="0061602F">
        <w:rPr>
          <w:rFonts w:eastAsia="MS Mincho"/>
        </w:rPr>
        <w:t>]</w:t>
      </w:r>
      <w:r w:rsidRPr="00293764">
        <w:rPr>
          <w:rFonts w:eastAsia="MS Mincho"/>
        </w:rPr>
        <w:t xml:space="preserve">.  </w:t>
      </w:r>
      <w:r w:rsidRPr="00DE742D">
        <w:t>Grace and Altan</w:t>
      </w:r>
      <w:r w:rsidR="0061602F">
        <w:t xml:space="preserve"> [45,46]</w:t>
      </w:r>
      <w:r w:rsidRPr="00DE742D">
        <w:t xml:space="preserve"> recently developed a three-dimensional hindered diffusion model (HDM) that considers material anisotropy by proposing an alternative mechanism for anomalous moisture uptake behavior based on polymer-penetrant interaction.  </w:t>
      </w:r>
      <w:r w:rsidRPr="00293764">
        <w:rPr>
          <w:rFonts w:eastAsia="MS Mincho"/>
        </w:rPr>
        <w:t xml:space="preserve">This interaction has the effect of hindering diffusion of mobile molecules.  Given the same maximum moisture content, moisture uptake in the presence of diffusion hindrance lags behind the absorption in a purely Fickian diffusion process.  Previously, this model has been used successfully to model anomalous moisture uptake for </w:t>
      </w:r>
      <w:r>
        <w:rPr>
          <w:rFonts w:eastAsia="MS Mincho"/>
        </w:rPr>
        <w:t>quartz/</w:t>
      </w:r>
      <w:r w:rsidRPr="00293764">
        <w:rPr>
          <w:rFonts w:eastAsia="MS Mincho"/>
        </w:rPr>
        <w:t>BMI systems</w:t>
      </w:r>
      <w:r w:rsidR="0061602F">
        <w:rPr>
          <w:rFonts w:eastAsia="MS Mincho"/>
        </w:rPr>
        <w:t xml:space="preserve"> [47]</w:t>
      </w:r>
      <w:r w:rsidRPr="00293764">
        <w:rPr>
          <w:rFonts w:eastAsia="MS Mincho"/>
        </w:rPr>
        <w:t>.</w:t>
      </w:r>
    </w:p>
    <w:bookmarkEnd w:id="228"/>
    <w:p w14:paraId="75BDC9A6" w14:textId="33C4CB3D" w:rsidR="00295597" w:rsidRDefault="00B7360B" w:rsidP="00295597">
      <w:pPr>
        <w:ind w:firstLine="360"/>
      </w:pPr>
      <w:r>
        <w:t xml:space="preserve">Fickian second law of diffusion has often been used to characterize the absorption of liquid penetrants into polymers and composites. </w:t>
      </w:r>
      <w:r w:rsidR="00C215F1">
        <w:t xml:space="preserve"> However, there are several limitations that can affect the accuracy of this approach.  Limitations of Fickian diffusion can include considering specimens with finite dimensions, anisotropic materials, variations in laminate microstructural features and possible chemical interactions between the liquid p</w:t>
      </w:r>
      <w:r w:rsidR="00295597">
        <w:t>enetrants and polymer molecules.  Therefore, the hindered diffusion m</w:t>
      </w:r>
      <w:r>
        <w:t>odel (HDM) proposed by Grace and Altan</w:t>
      </w:r>
      <w:r w:rsidR="0061602F">
        <w:t xml:space="preserve"> [45]</w:t>
      </w:r>
      <w:r>
        <w:t xml:space="preserve"> </w:t>
      </w:r>
      <w:r w:rsidR="00295597">
        <w:t xml:space="preserve">was developed for applications considering </w:t>
      </w:r>
      <w:r>
        <w:t xml:space="preserve">anisotropic, three-dimensional cases </w:t>
      </w:r>
      <w:r w:rsidR="00295597">
        <w:t>of</w:t>
      </w:r>
      <w:r>
        <w:t xml:space="preserve"> liquid absorption of thermosetting composites</w:t>
      </w:r>
      <w:r w:rsidR="00295597">
        <w:t xml:space="preserve">.  The hindered diffusion model </w:t>
      </w:r>
      <w:r>
        <w:t>extend</w:t>
      </w:r>
      <w:r w:rsidR="00295597">
        <w:t>s</w:t>
      </w:r>
      <w:r>
        <w:t xml:space="preserve"> the one-dimensional, Langmuir-type diffusion model</w:t>
      </w:r>
      <w:r w:rsidR="005571C2">
        <w:t xml:space="preserve"> [59</w:t>
      </w:r>
      <w:r w:rsidR="0061602F">
        <w:t>]</w:t>
      </w:r>
      <w:r>
        <w:t xml:space="preserve">.  </w:t>
      </w:r>
      <w:r w:rsidR="00295597">
        <w:t>Details regarding the formulation of the hindered diffusion model and method for recovering liquid</w:t>
      </w:r>
      <w:r>
        <w:t xml:space="preserve"> absorption parameters have been investigated in recent publications</w:t>
      </w:r>
      <w:r w:rsidR="0061602F">
        <w:t xml:space="preserve"> [45-47]</w:t>
      </w:r>
      <w:r>
        <w:t>.</w:t>
      </w:r>
      <w:r w:rsidR="003A6B26">
        <w:t xml:space="preserve">  The following contains a brief overview of the hindered diffusion model approach and its application within this study.</w:t>
      </w:r>
    </w:p>
    <w:p w14:paraId="2AC66376" w14:textId="5B660958" w:rsidR="00B7360B" w:rsidRDefault="003A6B26" w:rsidP="003A6B26">
      <w:pPr>
        <w:ind w:firstLine="360"/>
      </w:pPr>
      <w:r>
        <w:t>An analytical solution for the hindered diffusion model can be obtained for three-dimensional, anisotropic composite laminates.  The analytical solution yields</w:t>
      </w:r>
      <w:r w:rsidR="00B7360B">
        <w:t xml:space="preserve"> temporal and spatial evolution of unbound and bound moisture concentrations, </w:t>
      </w:r>
      <w:proofErr w:type="gramStart"/>
      <w:r w:rsidR="00B7360B">
        <w:rPr>
          <w:i/>
        </w:rPr>
        <w:t>n(</w:t>
      </w:r>
      <w:proofErr w:type="gramEnd"/>
      <w:r w:rsidR="00B7360B">
        <w:rPr>
          <w:i/>
        </w:rPr>
        <w:t>x, y, z, t)</w:t>
      </w:r>
      <w:r w:rsidR="00B7360B">
        <w:t xml:space="preserve"> and </w:t>
      </w:r>
      <w:r w:rsidR="00B7360B">
        <w:rPr>
          <w:i/>
        </w:rPr>
        <w:t>N(x, y, z, t)</w:t>
      </w:r>
      <w:r w:rsidR="00B7360B" w:rsidRPr="00E376BB">
        <w:t xml:space="preserve">, respectively.  </w:t>
      </w:r>
      <w:r>
        <w:t>The total mass gain</w:t>
      </w:r>
      <w:r w:rsidR="00961E76">
        <w:t xml:space="preserve">, </w:t>
      </w:r>
      <w:proofErr w:type="gramStart"/>
      <w:r w:rsidR="00961E76">
        <w:rPr>
          <w:i/>
        </w:rPr>
        <w:t>M(</w:t>
      </w:r>
      <w:proofErr w:type="gramEnd"/>
      <w:r w:rsidR="00961E76">
        <w:rPr>
          <w:i/>
        </w:rPr>
        <w:t>t)</w:t>
      </w:r>
      <w:r w:rsidR="00961E76">
        <w:t xml:space="preserve">, </w:t>
      </w:r>
      <w:r>
        <w:t>of a three-dimensional composite can be determined by integrating the u</w:t>
      </w:r>
      <w:r w:rsidR="00B7360B">
        <w:t xml:space="preserve">nbound and bound concentrations over the </w:t>
      </w:r>
      <w:r w:rsidR="00961E76">
        <w:t xml:space="preserve">specimen </w:t>
      </w:r>
      <w:r w:rsidR="00B7360B">
        <w:t>volume</w:t>
      </w:r>
      <w:r w:rsidR="00961E76">
        <w:t>.  The hindered diffusion model approach used in this study was a one-dimensional case because one specimen size with an aspect ratio of 1.0 was used.  Additionally, the research objective for this study was to evaluate the equilibrium fluid content for varying prepreg humidity exposures and fabrication pressures, which can be determined using a one-dimensional approach</w:t>
      </w:r>
      <w:r w:rsidR="003902D4">
        <w:t>.  T</w:t>
      </w:r>
      <w:r w:rsidR="00B7360B">
        <w:t xml:space="preserve">he </w:t>
      </w:r>
      <w:r w:rsidR="003902D4">
        <w:t>one</w:t>
      </w:r>
      <w:r w:rsidR="00B7360B">
        <w:t xml:space="preserve">-dimensional </w:t>
      </w:r>
      <w:r w:rsidR="003902D4">
        <w:t>expression for</w:t>
      </w:r>
      <w:r w:rsidR="00B7360B">
        <w:t xml:space="preserve"> total mass gain, </w:t>
      </w:r>
      <w:proofErr w:type="gramStart"/>
      <w:r w:rsidR="00B7360B">
        <w:rPr>
          <w:i/>
        </w:rPr>
        <w:t>M(</w:t>
      </w:r>
      <w:proofErr w:type="gramEnd"/>
      <w:r w:rsidR="00B7360B">
        <w:rPr>
          <w:i/>
        </w:rPr>
        <w:t>t)</w:t>
      </w:r>
      <w:r w:rsidR="003902D4">
        <w:t>, i</w:t>
      </w:r>
      <w:r w:rsidR="00B7360B">
        <w: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38"/>
        <w:gridCol w:w="720"/>
      </w:tblGrid>
      <w:tr w:rsidR="003902D4" w14:paraId="587A4765" w14:textId="77777777" w:rsidTr="00CB308F">
        <w:tc>
          <w:tcPr>
            <w:tcW w:w="7938" w:type="dxa"/>
          </w:tcPr>
          <w:p w14:paraId="476517FC" w14:textId="3CC41E3F" w:rsidR="003902D4" w:rsidRPr="008B4D47" w:rsidRDefault="00F57DFF" w:rsidP="00AE10B8">
            <w:pPr>
              <w:spacing w:line="240" w:lineRule="auto"/>
              <w:jc w:val="center"/>
            </w:pPr>
            <m:oMathPara>
              <m:oMath>
                <m:r>
                  <w:rPr>
                    <w:rFonts w:ascii="Cambria Math" w:hAnsi="Cambria Math"/>
                  </w:rPr>
                  <m:t>M</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m:t>
                    </m:r>
                  </m:sub>
                </m:sSub>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1-</m:t>
                        </m:r>
                        <m:f>
                          <m:fPr>
                            <m:ctrlPr>
                              <w:rPr>
                                <w:rFonts w:ascii="Cambria Math" w:hAnsi="Cambria Math"/>
                                <w:i/>
                              </w:rPr>
                            </m:ctrlPr>
                          </m:fPr>
                          <m:num>
                            <m:r>
                              <w:rPr>
                                <w:rFonts w:ascii="Cambria Math" w:hAnsi="Cambria Math"/>
                              </w:rPr>
                              <m:t>8</m:t>
                            </m:r>
                          </m:num>
                          <m:den>
                            <m:sSup>
                              <m:sSupPr>
                                <m:ctrlPr>
                                  <w:rPr>
                                    <w:rFonts w:ascii="Cambria Math" w:hAnsi="Cambria Math"/>
                                    <w:i/>
                                  </w:rPr>
                                </m:ctrlPr>
                              </m:sSupPr>
                              <m:e>
                                <m:r>
                                  <w:rPr>
                                    <w:rFonts w:ascii="Cambria Math" w:hAnsi="Cambria Math"/>
                                  </w:rPr>
                                  <m:t>π</m:t>
                                </m:r>
                              </m:e>
                              <m:sup>
                                <m:r>
                                  <w:rPr>
                                    <w:rFonts w:ascii="Cambria Math" w:hAnsi="Cambria Math"/>
                                  </w:rPr>
                                  <m:t>2</m:t>
                                </m:r>
                              </m:sup>
                            </m:sSup>
                          </m:den>
                        </m:f>
                        <m:nary>
                          <m:naryPr>
                            <m:chr m:val="∑"/>
                            <m:limLoc m:val="undOvr"/>
                            <m:ctrlPr>
                              <w:rPr>
                                <w:rFonts w:ascii="Cambria Math" w:hAnsi="Cambria Math"/>
                                <w:i/>
                              </w:rPr>
                            </m:ctrlPr>
                          </m:naryPr>
                          <m:sub>
                            <m:r>
                              <w:rPr>
                                <w:rFonts w:ascii="Cambria Math" w:hAnsi="Cambria Math"/>
                              </w:rPr>
                              <m:t>p=1</m:t>
                            </m:r>
                          </m:sub>
                          <m:sup>
                            <m:r>
                              <w:rPr>
                                <w:rFonts w:ascii="Cambria Math" w:hAnsi="Cambria Math"/>
                              </w:rPr>
                              <m:t>∞</m:t>
                            </m:r>
                            <m:d>
                              <m:dPr>
                                <m:ctrlPr>
                                  <w:rPr>
                                    <w:rFonts w:ascii="Cambria Math" w:hAnsi="Cambria Math"/>
                                    <w:i/>
                                  </w:rPr>
                                </m:ctrlPr>
                              </m:dPr>
                              <m:e>
                                <m:r>
                                  <w:rPr>
                                    <w:rFonts w:ascii="Cambria Math" w:hAnsi="Cambria Math"/>
                                  </w:rPr>
                                  <m:t>odd</m:t>
                                </m:r>
                              </m:e>
                            </m:d>
                          </m:sup>
                          <m:e>
                            <m:f>
                              <m:fPr>
                                <m:ctrlPr>
                                  <w:rPr>
                                    <w:rFonts w:ascii="Cambria Math" w:hAnsi="Cambria Math"/>
                                    <w:i/>
                                  </w:rPr>
                                </m:ctrlPr>
                              </m:fPr>
                              <m:num>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r</m:t>
                                        </m:r>
                                      </m:e>
                                      <m:sub>
                                        <m:r>
                                          <w:rPr>
                                            <w:rFonts w:ascii="Cambria Math" w:hAnsi="Cambria Math"/>
                                          </w:rPr>
                                          <m:t>p</m:t>
                                        </m:r>
                                      </m:sub>
                                      <m:sup>
                                        <m:r>
                                          <w:rPr>
                                            <w:rFonts w:ascii="Cambria Math" w:hAnsi="Cambria Math"/>
                                          </w:rPr>
                                          <m:t>+</m:t>
                                        </m:r>
                                      </m:sup>
                                    </m:sSubSup>
                                    <m:r>
                                      <w:rPr>
                                        <w:rFonts w:ascii="Cambria Math" w:hAnsi="Cambria Math"/>
                                      </w:rPr>
                                      <m:t>exp</m:t>
                                    </m:r>
                                    <m:d>
                                      <m:dPr>
                                        <m:ctrlPr>
                                          <w:rPr>
                                            <w:rFonts w:ascii="Cambria Math" w:hAnsi="Cambria Math"/>
                                            <w:i/>
                                          </w:rPr>
                                        </m:ctrlPr>
                                      </m:dPr>
                                      <m:e>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p</m:t>
                                            </m:r>
                                          </m:sub>
                                          <m:sup>
                                            <m:r>
                                              <w:rPr>
                                                <w:rFonts w:ascii="Cambria Math" w:hAnsi="Cambria Math"/>
                                              </w:rPr>
                                              <m:t>-</m:t>
                                            </m:r>
                                          </m:sup>
                                        </m:sSubSup>
                                        <m:r>
                                          <w:rPr>
                                            <w:rFonts w:ascii="Cambria Math" w:hAnsi="Cambria Math"/>
                                          </w:rPr>
                                          <m:t>t</m:t>
                                        </m:r>
                                      </m:e>
                                    </m:d>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p</m:t>
                                        </m:r>
                                      </m:sub>
                                      <m:sup>
                                        <m:r>
                                          <w:rPr>
                                            <w:rFonts w:ascii="Cambria Math" w:hAnsi="Cambria Math"/>
                                          </w:rPr>
                                          <m:t>-</m:t>
                                        </m:r>
                                      </m:sup>
                                    </m:sSubSup>
                                    <m:r>
                                      <w:rPr>
                                        <w:rFonts w:ascii="Cambria Math" w:hAnsi="Cambria Math"/>
                                      </w:rPr>
                                      <m:t>exp</m:t>
                                    </m:r>
                                    <m:d>
                                      <m:dPr>
                                        <m:ctrlPr>
                                          <w:rPr>
                                            <w:rFonts w:ascii="Cambria Math" w:hAnsi="Cambria Math"/>
                                            <w:i/>
                                          </w:rPr>
                                        </m:ctrlPr>
                                      </m:dPr>
                                      <m:e>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p</m:t>
                                            </m:r>
                                          </m:sub>
                                          <m:sup>
                                            <m:r>
                                              <w:rPr>
                                                <w:rFonts w:ascii="Cambria Math" w:hAnsi="Cambria Math"/>
                                              </w:rPr>
                                              <m:t>+</m:t>
                                            </m:r>
                                          </m:sup>
                                        </m:sSubSup>
                                        <m:r>
                                          <w:rPr>
                                            <w:rFonts w:ascii="Cambria Math" w:hAnsi="Cambria Math"/>
                                          </w:rPr>
                                          <m:t>t</m:t>
                                        </m:r>
                                      </m:e>
                                    </m:d>
                                  </m:e>
                                </m:d>
                              </m:num>
                              <m:den>
                                <m:sSup>
                                  <m:sSupPr>
                                    <m:ctrlPr>
                                      <w:rPr>
                                        <w:rFonts w:ascii="Cambria Math" w:hAnsi="Cambria Math"/>
                                        <w:i/>
                                      </w:rPr>
                                    </m:ctrlPr>
                                  </m:sSupPr>
                                  <m:e>
                                    <m:r>
                                      <w:rPr>
                                        <w:rFonts w:ascii="Cambria Math" w:hAnsi="Cambria Math"/>
                                      </w:rPr>
                                      <m:t>p</m:t>
                                    </m:r>
                                  </m:e>
                                  <m:sup>
                                    <m:r>
                                      <w:rPr>
                                        <w:rFonts w:ascii="Cambria Math" w:hAnsi="Cambria Math"/>
                                      </w:rPr>
                                      <m:t>2</m:t>
                                    </m:r>
                                  </m:sup>
                                </m:sSup>
                                <m:d>
                                  <m:dPr>
                                    <m:ctrlPr>
                                      <w:rPr>
                                        <w:rFonts w:ascii="Cambria Math" w:hAnsi="Cambria Math"/>
                                        <w:i/>
                                      </w:rPr>
                                    </m:ctrlPr>
                                  </m:dPr>
                                  <m:e>
                                    <m:sSubSup>
                                      <m:sSubSupPr>
                                        <m:ctrlPr>
                                          <w:rPr>
                                            <w:rFonts w:ascii="Cambria Math" w:hAnsi="Cambria Math"/>
                                            <w:i/>
                                          </w:rPr>
                                        </m:ctrlPr>
                                      </m:sSubSupPr>
                                      <m:e>
                                        <m:r>
                                          <w:rPr>
                                            <w:rFonts w:ascii="Cambria Math" w:hAnsi="Cambria Math"/>
                                          </w:rPr>
                                          <m:t>r</m:t>
                                        </m:r>
                                      </m:e>
                                      <m:sub>
                                        <m:r>
                                          <w:rPr>
                                            <w:rFonts w:ascii="Cambria Math" w:hAnsi="Cambria Math"/>
                                          </w:rPr>
                                          <m:t>p</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p</m:t>
                                        </m:r>
                                      </m:sub>
                                      <m:sup>
                                        <m:r>
                                          <w:rPr>
                                            <w:rFonts w:ascii="Cambria Math" w:hAnsi="Cambria Math"/>
                                          </w:rPr>
                                          <m:t>-</m:t>
                                        </m:r>
                                      </m:sup>
                                    </m:sSubSup>
                                  </m:e>
                                </m:d>
                              </m:den>
                            </m:f>
                          </m:e>
                        </m:nary>
                        <m:r>
                          <w:rPr>
                            <w:rFonts w:ascii="Cambria Math" w:hAnsi="Cambria Math"/>
                          </w:rPr>
                          <m:t>+</m:t>
                        </m:r>
                      </m:e>
                      <m:e>
                        <m:f>
                          <m:fPr>
                            <m:ctrlPr>
                              <w:rPr>
                                <w:rFonts w:ascii="Cambria Math" w:hAnsi="Cambria Math"/>
                                <w:i/>
                              </w:rPr>
                            </m:ctrlPr>
                          </m:fPr>
                          <m:num>
                            <m:r>
                              <w:rPr>
                                <w:rFonts w:ascii="Cambria Math" w:hAnsi="Cambria Math"/>
                              </w:rPr>
                              <m:t>8</m:t>
                            </m:r>
                          </m:num>
                          <m:den>
                            <m:sSup>
                              <m:sSupPr>
                                <m:ctrlPr>
                                  <w:rPr>
                                    <w:rFonts w:ascii="Cambria Math" w:hAnsi="Cambria Math"/>
                                    <w:i/>
                                  </w:rPr>
                                </m:ctrlPr>
                              </m:sSupPr>
                              <m:e>
                                <m:r>
                                  <w:rPr>
                                    <w:rFonts w:ascii="Cambria Math" w:hAnsi="Cambria Math"/>
                                  </w:rPr>
                                  <m:t>π</m:t>
                                </m:r>
                              </m:e>
                              <m:sup>
                                <m:r>
                                  <w:rPr>
                                    <w:rFonts w:ascii="Cambria Math" w:hAnsi="Cambria Math"/>
                                  </w:rPr>
                                  <m:t>2</m:t>
                                </m:r>
                              </m:sup>
                            </m:sSup>
                          </m:den>
                        </m:f>
                        <m:d>
                          <m:dPr>
                            <m:ctrlPr>
                              <w:rPr>
                                <w:rFonts w:ascii="Cambria Math" w:hAnsi="Cambria Math"/>
                                <w:i/>
                              </w:rPr>
                            </m:ctrlPr>
                          </m:dPr>
                          <m:e>
                            <m:f>
                              <m:fPr>
                                <m:ctrlPr>
                                  <w:rPr>
                                    <w:rFonts w:ascii="Cambria Math" w:hAnsi="Cambria Math"/>
                                    <w:i/>
                                  </w:rPr>
                                </m:ctrlPr>
                              </m:fPr>
                              <m:num>
                                <m:r>
                                  <w:rPr>
                                    <w:rFonts w:ascii="Cambria Math" w:hAnsi="Cambria Math"/>
                                  </w:rPr>
                                  <m:t>kβ</m:t>
                                </m:r>
                              </m:num>
                              <m:den>
                                <m:d>
                                  <m:dPr>
                                    <m:begChr m:val=""/>
                                    <m:endChr m:val=""/>
                                    <m:ctrlPr>
                                      <w:rPr>
                                        <w:rFonts w:ascii="Cambria Math" w:hAnsi="Cambria Math"/>
                                        <w:i/>
                                      </w:rPr>
                                    </m:ctrlPr>
                                  </m:dPr>
                                  <m:e>
                                    <m:r>
                                      <w:rPr>
                                        <w:rFonts w:ascii="Cambria Math" w:hAnsi="Cambria Math"/>
                                      </w:rPr>
                                      <m:t>γ+β</m:t>
                                    </m:r>
                                  </m:e>
                                </m:d>
                              </m:den>
                            </m:f>
                          </m:e>
                        </m:d>
                        <m:nary>
                          <m:naryPr>
                            <m:chr m:val="∑"/>
                            <m:limLoc m:val="undOvr"/>
                            <m:ctrlPr>
                              <w:rPr>
                                <w:rFonts w:ascii="Cambria Math" w:hAnsi="Cambria Math"/>
                                <w:i/>
                              </w:rPr>
                            </m:ctrlPr>
                          </m:naryPr>
                          <m:sub>
                            <m:r>
                              <w:rPr>
                                <w:rFonts w:ascii="Cambria Math" w:hAnsi="Cambria Math"/>
                              </w:rPr>
                              <m:t>p=1</m:t>
                            </m:r>
                          </m:sub>
                          <m:sup>
                            <m:r>
                              <w:rPr>
                                <w:rFonts w:ascii="Cambria Math" w:hAnsi="Cambria Math"/>
                              </w:rPr>
                              <m:t>∞</m:t>
                            </m:r>
                            <m:d>
                              <m:dPr>
                                <m:ctrlPr>
                                  <w:rPr>
                                    <w:rFonts w:ascii="Cambria Math" w:hAnsi="Cambria Math"/>
                                    <w:i/>
                                  </w:rPr>
                                </m:ctrlPr>
                              </m:dPr>
                              <m:e>
                                <m:r>
                                  <w:rPr>
                                    <w:rFonts w:ascii="Cambria Math" w:hAnsi="Cambria Math"/>
                                  </w:rPr>
                                  <m:t>odd</m:t>
                                </m:r>
                              </m:e>
                            </m:d>
                          </m:sup>
                          <m:e>
                            <m:f>
                              <m:fPr>
                                <m:ctrlPr>
                                  <w:rPr>
                                    <w:rFonts w:ascii="Cambria Math" w:hAnsi="Cambria Math"/>
                                    <w:i/>
                                  </w:rPr>
                                </m:ctrlPr>
                              </m:fPr>
                              <m:num>
                                <m:d>
                                  <m:dPr>
                                    <m:begChr m:val="["/>
                                    <m:endChr m:val="]"/>
                                    <m:ctrlPr>
                                      <w:rPr>
                                        <w:rFonts w:ascii="Cambria Math" w:hAnsi="Cambria Math"/>
                                        <w:i/>
                                      </w:rPr>
                                    </m:ctrlPr>
                                  </m:dPr>
                                  <m:e>
                                    <m:r>
                                      <w:rPr>
                                        <w:rFonts w:ascii="Cambria Math" w:hAnsi="Cambria Math"/>
                                      </w:rPr>
                                      <m:t>exp</m:t>
                                    </m:r>
                                    <m:d>
                                      <m:dPr>
                                        <m:ctrlPr>
                                          <w:rPr>
                                            <w:rFonts w:ascii="Cambria Math" w:hAnsi="Cambria Math"/>
                                            <w:i/>
                                          </w:rPr>
                                        </m:ctrlPr>
                                      </m:dPr>
                                      <m:e>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p</m:t>
                                            </m:r>
                                          </m:sub>
                                          <m:sup>
                                            <m:r>
                                              <w:rPr>
                                                <w:rFonts w:ascii="Cambria Math" w:hAnsi="Cambria Math"/>
                                              </w:rPr>
                                              <m:t>-</m:t>
                                            </m:r>
                                          </m:sup>
                                        </m:sSubSup>
                                        <m:r>
                                          <w:rPr>
                                            <w:rFonts w:ascii="Cambria Math" w:hAnsi="Cambria Math"/>
                                          </w:rPr>
                                          <m:t>t</m:t>
                                        </m:r>
                                      </m:e>
                                    </m:d>
                                    <m:r>
                                      <w:rPr>
                                        <w:rFonts w:ascii="Cambria Math" w:hAnsi="Cambria Math"/>
                                      </w:rPr>
                                      <m:t>-exp</m:t>
                                    </m:r>
                                    <m:d>
                                      <m:dPr>
                                        <m:ctrlPr>
                                          <w:rPr>
                                            <w:rFonts w:ascii="Cambria Math" w:hAnsi="Cambria Math"/>
                                            <w:i/>
                                          </w:rPr>
                                        </m:ctrlPr>
                                      </m:dPr>
                                      <m:e>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p</m:t>
                                            </m:r>
                                          </m:sub>
                                          <m:sup>
                                            <m:r>
                                              <w:rPr>
                                                <w:rFonts w:ascii="Cambria Math" w:hAnsi="Cambria Math"/>
                                              </w:rPr>
                                              <m:t>+</m:t>
                                            </m:r>
                                          </m:sup>
                                        </m:sSubSup>
                                        <m:r>
                                          <w:rPr>
                                            <w:rFonts w:ascii="Cambria Math" w:hAnsi="Cambria Math"/>
                                          </w:rPr>
                                          <m:t>t</m:t>
                                        </m:r>
                                      </m:e>
                                    </m:d>
                                  </m:e>
                                </m:d>
                              </m:num>
                              <m:den>
                                <m:sSubSup>
                                  <m:sSubSupPr>
                                    <m:ctrlPr>
                                      <w:rPr>
                                        <w:rFonts w:ascii="Cambria Math" w:hAnsi="Cambria Math"/>
                                        <w:i/>
                                      </w:rPr>
                                    </m:ctrlPr>
                                  </m:sSubSupPr>
                                  <m:e>
                                    <m:r>
                                      <w:rPr>
                                        <w:rFonts w:ascii="Cambria Math" w:hAnsi="Cambria Math"/>
                                      </w:rPr>
                                      <m:t>r</m:t>
                                    </m:r>
                                  </m:e>
                                  <m:sub>
                                    <m:r>
                                      <w:rPr>
                                        <w:rFonts w:ascii="Cambria Math" w:hAnsi="Cambria Math"/>
                                      </w:rPr>
                                      <m:t>p</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p</m:t>
                                    </m:r>
                                  </m:sub>
                                  <m:sup>
                                    <m:r>
                                      <w:rPr>
                                        <w:rFonts w:ascii="Cambria Math" w:hAnsi="Cambria Math"/>
                                      </w:rPr>
                                      <m:t>-</m:t>
                                    </m:r>
                                  </m:sup>
                                </m:sSubSup>
                              </m:den>
                            </m:f>
                          </m:e>
                        </m:nary>
                      </m:e>
                    </m:eqArr>
                  </m:e>
                </m:d>
              </m:oMath>
            </m:oMathPara>
          </w:p>
        </w:tc>
        <w:tc>
          <w:tcPr>
            <w:tcW w:w="720" w:type="dxa"/>
            <w:vAlign w:val="center"/>
          </w:tcPr>
          <w:p w14:paraId="0C55F3E5" w14:textId="77777777" w:rsidR="003902D4" w:rsidRPr="008B4D47" w:rsidRDefault="003902D4" w:rsidP="00AE10B8">
            <w:pPr>
              <w:spacing w:line="240" w:lineRule="auto"/>
              <w:jc w:val="right"/>
            </w:pPr>
            <w:r w:rsidRPr="008B4D47">
              <w:t>(</w:t>
            </w:r>
            <w:r>
              <w:t>10</w:t>
            </w:r>
            <w:r w:rsidRPr="008B4D47">
              <w:t>)</w:t>
            </w:r>
          </w:p>
        </w:tc>
      </w:tr>
    </w:tbl>
    <w:p w14:paraId="43059098" w14:textId="77777777" w:rsidR="00B7360B" w:rsidRDefault="00B7360B" w:rsidP="00B7360B">
      <w:pPr>
        <w:spacing w:before="120" w:line="240" w:lineRule="auto"/>
      </w:pPr>
      <w:proofErr w:type="gramStart"/>
      <w:r>
        <w:t>where</w:t>
      </w:r>
      <w:proofErr w:type="gramEnd"/>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6"/>
        <w:gridCol w:w="736"/>
      </w:tblGrid>
      <w:tr w:rsidR="00B7360B" w14:paraId="3D7CE37B" w14:textId="77777777" w:rsidTr="00D9316D">
        <w:tc>
          <w:tcPr>
            <w:tcW w:w="7976" w:type="dxa"/>
            <w:vAlign w:val="center"/>
          </w:tcPr>
          <w:p w14:paraId="4788F33B" w14:textId="7F2C555F" w:rsidR="00B7360B" w:rsidRPr="008B4D47" w:rsidRDefault="007F38FB" w:rsidP="00AE10B8">
            <w:pPr>
              <w:spacing w:after="120" w:line="240" w:lineRule="auto"/>
              <w:jc w:val="center"/>
            </w:pPr>
            <m:oMathPara>
              <m:oMath>
                <m:sSubSup>
                  <m:sSubSupPr>
                    <m:ctrlPr>
                      <w:rPr>
                        <w:rFonts w:ascii="Cambria Math" w:hAnsi="Cambria Math"/>
                        <w:i/>
                      </w:rPr>
                    </m:ctrlPr>
                  </m:sSubSupPr>
                  <m:e>
                    <m:r>
                      <w:rPr>
                        <w:rFonts w:ascii="Cambria Math" w:hAnsi="Cambria Math"/>
                      </w:rPr>
                      <m:t>r</m:t>
                    </m:r>
                  </m:e>
                  <m:sub>
                    <m:r>
                      <w:rPr>
                        <w:rFonts w:ascii="Cambria Math" w:hAnsi="Cambria Math"/>
                      </w:rPr>
                      <m:t>p</m:t>
                    </m:r>
                  </m:sub>
                  <m:sup>
                    <m:r>
                      <w:rPr>
                        <w:rFonts w:ascii="Cambria Math" w:hAnsi="Cambria Math"/>
                      </w:rPr>
                      <m:t>±</m:t>
                    </m:r>
                  </m:sup>
                </m:sSub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d>
                  <m:dPr>
                    <m:begChr m:val="["/>
                    <m:endChr m:val="]"/>
                    <m:ctrlPr>
                      <w:rPr>
                        <w:rFonts w:ascii="Cambria Math" w:hAnsi="Cambria Math"/>
                        <w:i/>
                      </w:rPr>
                    </m:ctrlPr>
                  </m:dPr>
                  <m:e>
                    <m:d>
                      <m:dPr>
                        <m:ctrlPr>
                          <w:rPr>
                            <w:rFonts w:ascii="Cambria Math" w:hAnsi="Cambria Math"/>
                            <w:i/>
                          </w:rPr>
                        </m:ctrlPr>
                      </m:dPr>
                      <m:e>
                        <m:r>
                          <w:rPr>
                            <w:rFonts w:ascii="Cambria Math" w:hAnsi="Cambria Math"/>
                          </w:rPr>
                          <m:t>k</m:t>
                        </m:r>
                        <m:sSup>
                          <m:sSupPr>
                            <m:ctrlPr>
                              <w:rPr>
                                <w:rFonts w:ascii="Cambria Math" w:hAnsi="Cambria Math"/>
                                <w:i/>
                              </w:rPr>
                            </m:ctrlPr>
                          </m:sSupPr>
                          <m:e>
                            <m:r>
                              <w:rPr>
                                <w:rFonts w:ascii="Cambria Math" w:hAnsi="Cambria Math"/>
                              </w:rPr>
                              <m:t>p</m:t>
                            </m:r>
                          </m:e>
                          <m:sup>
                            <m:r>
                              <w:rPr>
                                <w:rFonts w:ascii="Cambria Math" w:hAnsi="Cambria Math"/>
                              </w:rPr>
                              <m:t>2</m:t>
                            </m:r>
                          </m:sup>
                        </m:sSup>
                        <m:r>
                          <w:rPr>
                            <w:rFonts w:ascii="Cambria Math" w:hAnsi="Cambria Math"/>
                          </w:rPr>
                          <m:t>+γ+β</m:t>
                        </m:r>
                      </m:e>
                    </m:d>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w:rPr>
                                    <w:rFonts w:ascii="Cambria Math" w:hAnsi="Cambria Math"/>
                                  </w:rPr>
                                  <m:t>k</m:t>
                                </m:r>
                                <m:sSup>
                                  <m:sSupPr>
                                    <m:ctrlPr>
                                      <w:rPr>
                                        <w:rFonts w:ascii="Cambria Math" w:hAnsi="Cambria Math"/>
                                        <w:i/>
                                      </w:rPr>
                                    </m:ctrlPr>
                                  </m:sSupPr>
                                  <m:e>
                                    <m:r>
                                      <w:rPr>
                                        <w:rFonts w:ascii="Cambria Math" w:hAnsi="Cambria Math"/>
                                      </w:rPr>
                                      <m:t>p</m:t>
                                    </m:r>
                                  </m:e>
                                  <m:sup>
                                    <m:r>
                                      <w:rPr>
                                        <w:rFonts w:ascii="Cambria Math" w:hAnsi="Cambria Math"/>
                                      </w:rPr>
                                      <m:t>2</m:t>
                                    </m:r>
                                  </m:sup>
                                </m:sSup>
                                <m:r>
                                  <w:rPr>
                                    <w:rFonts w:ascii="Cambria Math" w:hAnsi="Cambria Math"/>
                                  </w:rPr>
                                  <m:t>+γ+β</m:t>
                                </m:r>
                              </m:e>
                            </m:d>
                          </m:e>
                          <m:sup>
                            <m:r>
                              <w:rPr>
                                <w:rFonts w:ascii="Cambria Math" w:hAnsi="Cambria Math"/>
                              </w:rPr>
                              <m:t>2</m:t>
                            </m:r>
                          </m:sup>
                        </m:sSup>
                        <m:r>
                          <w:rPr>
                            <w:rFonts w:ascii="Cambria Math" w:hAnsi="Cambria Math"/>
                          </w:rPr>
                          <m:t>-4kβ</m:t>
                        </m:r>
                        <m:sSup>
                          <m:sSupPr>
                            <m:ctrlPr>
                              <w:rPr>
                                <w:rFonts w:ascii="Cambria Math" w:hAnsi="Cambria Math"/>
                                <w:i/>
                              </w:rPr>
                            </m:ctrlPr>
                          </m:sSupPr>
                          <m:e>
                            <m:r>
                              <w:rPr>
                                <w:rFonts w:ascii="Cambria Math" w:hAnsi="Cambria Math"/>
                              </w:rPr>
                              <m:t>p</m:t>
                            </m:r>
                          </m:e>
                          <m:sup>
                            <m:r>
                              <w:rPr>
                                <w:rFonts w:ascii="Cambria Math" w:hAnsi="Cambria Math"/>
                              </w:rPr>
                              <m:t>2</m:t>
                            </m:r>
                          </m:sup>
                        </m:sSup>
                      </m:e>
                    </m:rad>
                  </m:e>
                </m:d>
              </m:oMath>
            </m:oMathPara>
          </w:p>
        </w:tc>
        <w:tc>
          <w:tcPr>
            <w:tcW w:w="736" w:type="dxa"/>
            <w:vAlign w:val="center"/>
          </w:tcPr>
          <w:p w14:paraId="6BE7FA5E" w14:textId="3E8C4242" w:rsidR="00B7360B" w:rsidRPr="008B4D47" w:rsidRDefault="00B7360B" w:rsidP="002E3F3B">
            <w:pPr>
              <w:spacing w:after="120" w:line="240" w:lineRule="auto"/>
              <w:jc w:val="right"/>
            </w:pPr>
            <w:r w:rsidRPr="008B4D47">
              <w:t>(</w:t>
            </w:r>
            <w:r>
              <w:t>1</w:t>
            </w:r>
            <w:r w:rsidR="00AE10B8">
              <w:t>1</w:t>
            </w:r>
            <w:r>
              <w:t>a</w:t>
            </w:r>
            <w:r w:rsidRPr="008B4D47">
              <w:t>)</w:t>
            </w:r>
          </w:p>
        </w:tc>
      </w:tr>
      <w:tr w:rsidR="00B7360B" w14:paraId="5F7E8C1C" w14:textId="77777777" w:rsidTr="00D9316D">
        <w:tc>
          <w:tcPr>
            <w:tcW w:w="7976" w:type="dxa"/>
            <w:vAlign w:val="center"/>
          </w:tcPr>
          <w:p w14:paraId="7B2FBEEB" w14:textId="41D09425" w:rsidR="00B7360B" w:rsidRPr="008B4D47" w:rsidRDefault="00AE10B8" w:rsidP="00AE10B8">
            <w:pPr>
              <w:spacing w:before="120" w:after="120" w:line="240" w:lineRule="auto"/>
              <w:jc w:val="center"/>
            </w:pPr>
            <m:oMathPara>
              <m:oMath>
                <m:r>
                  <w:rPr>
                    <w:rFonts w:ascii="Cambria Math" w:hAnsi="Cambria Math"/>
                  </w:rPr>
                  <m:t>k=</m:t>
                </m:r>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sSub>
                      <m:sSubPr>
                        <m:ctrlPr>
                          <w:rPr>
                            <w:rFonts w:ascii="Cambria Math" w:hAnsi="Cambria Math"/>
                            <w:i/>
                          </w:rPr>
                        </m:ctrlPr>
                      </m:sSubPr>
                      <m:e>
                        <m:r>
                          <w:rPr>
                            <w:rFonts w:ascii="Cambria Math" w:hAnsi="Cambria Math"/>
                          </w:rPr>
                          <m:t>D</m:t>
                        </m:r>
                      </m:e>
                      <m:sub>
                        <m:r>
                          <w:rPr>
                            <w:rFonts w:ascii="Cambria Math" w:hAnsi="Cambria Math"/>
                          </w:rPr>
                          <m:t>Z</m:t>
                        </m:r>
                      </m:sub>
                    </m:sSub>
                  </m:num>
                  <m:den>
                    <m:sSup>
                      <m:sSupPr>
                        <m:ctrlPr>
                          <w:rPr>
                            <w:rFonts w:ascii="Cambria Math" w:hAnsi="Cambria Math"/>
                            <w:i/>
                          </w:rPr>
                        </m:ctrlPr>
                      </m:sSupPr>
                      <m:e>
                        <m:r>
                          <w:rPr>
                            <w:rFonts w:ascii="Cambria Math" w:hAnsi="Cambria Math"/>
                          </w:rPr>
                          <m:t>H</m:t>
                        </m:r>
                      </m:e>
                      <m:sup>
                        <m:r>
                          <w:rPr>
                            <w:rFonts w:ascii="Cambria Math" w:hAnsi="Cambria Math"/>
                          </w:rPr>
                          <m:t>2</m:t>
                        </m:r>
                      </m:sup>
                    </m:sSup>
                  </m:den>
                </m:f>
              </m:oMath>
            </m:oMathPara>
          </w:p>
        </w:tc>
        <w:tc>
          <w:tcPr>
            <w:tcW w:w="736" w:type="dxa"/>
            <w:vAlign w:val="center"/>
          </w:tcPr>
          <w:p w14:paraId="71BC4A62" w14:textId="3B92A4DD" w:rsidR="00B7360B" w:rsidRPr="008B4D47" w:rsidRDefault="00B7360B" w:rsidP="002E3F3B">
            <w:pPr>
              <w:spacing w:before="120" w:after="120" w:line="240" w:lineRule="auto"/>
              <w:jc w:val="right"/>
            </w:pPr>
            <w:r w:rsidRPr="008B4D47">
              <w:t>(</w:t>
            </w:r>
            <w:r>
              <w:t>1</w:t>
            </w:r>
            <w:r w:rsidR="00AE10B8">
              <w:t>1</w:t>
            </w:r>
            <w:r>
              <w:t>b</w:t>
            </w:r>
            <w:r w:rsidRPr="008B4D47">
              <w:t>)</w:t>
            </w:r>
          </w:p>
        </w:tc>
      </w:tr>
    </w:tbl>
    <w:p w14:paraId="7F9F9A08" w14:textId="77777777" w:rsidR="00B7360B" w:rsidRDefault="00B7360B" w:rsidP="00B7360B">
      <w:pPr>
        <w:spacing w:line="240" w:lineRule="auto"/>
        <w:ind w:firstLine="360"/>
      </w:pPr>
    </w:p>
    <w:p w14:paraId="28E53332" w14:textId="02576989" w:rsidR="00B7360B" w:rsidRDefault="00CB308F" w:rsidP="00B7360B">
      <w:pPr>
        <w:ind w:firstLine="360"/>
      </w:pPr>
      <w:r>
        <w:t>One critical parameter of interest in Equation</w:t>
      </w:r>
      <w:r w:rsidR="00B7360B">
        <w:t xml:space="preserve"> 1</w:t>
      </w:r>
      <w:r>
        <w:t>0</w:t>
      </w:r>
      <w:r w:rsidR="00B7360B">
        <w:t xml:space="preserve"> that describe</w:t>
      </w:r>
      <w:r>
        <w:t>s</w:t>
      </w:r>
      <w:r w:rsidR="00B7360B">
        <w:t xml:space="preserve"> the absorption behavior of composites </w:t>
      </w:r>
      <w:r>
        <w:t>is</w:t>
      </w:r>
      <w:r w:rsidR="00B7360B">
        <w:t xml:space="preserve"> the equilibrium fluid content, </w:t>
      </w:r>
      <w:r w:rsidR="00B7360B" w:rsidRPr="00AA5418">
        <w:rPr>
          <w:i/>
        </w:rPr>
        <w:t>M</w:t>
      </w:r>
      <w:r w:rsidR="00B7360B" w:rsidRPr="00AA5418">
        <w:rPr>
          <w:rFonts w:cstheme="minorHAnsi"/>
          <w:i/>
          <w:vertAlign w:val="subscript"/>
        </w:rPr>
        <w:t>∞</w:t>
      </w:r>
      <w:r>
        <w:t>.</w:t>
      </w:r>
      <w:r w:rsidR="00B7360B">
        <w:t xml:space="preserve"> </w:t>
      </w:r>
      <w:r>
        <w:t xml:space="preserve"> </w:t>
      </w:r>
      <w:r w:rsidR="00B10994">
        <w:t>The equilibrium fluid content can be used to determine the extent of damage due to varying prepreg humidity exposure and fabrication pressure.  A</w:t>
      </w:r>
      <w:r w:rsidR="00DA02B3">
        <w:t>bsorption parameters were determined by the steepest descent optimization method, which minimizes the least square error function, or the summation of square of the difference between the model prediction</w:t>
      </w:r>
      <w:r w:rsidR="00B10994">
        <w:t xml:space="preserve"> that contains the equilibrium fluid content</w:t>
      </w:r>
      <w:r w:rsidR="00DA02B3">
        <w:t xml:space="preserve"> and the experimental mass gain data.</w:t>
      </w:r>
      <w:r w:rsidR="00B10994">
        <w:t xml:space="preserve">  The equilibrium fluid content for all hindered diffusion model fits presented in the next Sections will be determined from an absorption period of five years, or hr</w:t>
      </w:r>
      <w:r w:rsidR="00B10994" w:rsidRPr="00D504C1">
        <w:rPr>
          <w:vertAlign w:val="superscript"/>
        </w:rPr>
        <w:t>0.5</w:t>
      </w:r>
      <w:r w:rsidR="00B10994">
        <w:t xml:space="preserve"> ≈ 210.</w:t>
      </w:r>
    </w:p>
    <w:p w14:paraId="7BE9DC9A" w14:textId="77777777" w:rsidR="00B7360B" w:rsidRDefault="00B7360B" w:rsidP="00B7360B">
      <w:pPr>
        <w:pStyle w:val="Heading2"/>
      </w:pPr>
      <w:bookmarkStart w:id="229" w:name="_Ref465252073"/>
      <w:bookmarkStart w:id="230" w:name="_Toc346311013"/>
      <w:r>
        <w:t>Hindered Diffusion Model Prediction</w:t>
      </w:r>
      <w:bookmarkEnd w:id="229"/>
      <w:bookmarkEnd w:id="230"/>
    </w:p>
    <w:p w14:paraId="55C0FF2C" w14:textId="1C10244B" w:rsidR="00983607" w:rsidRDefault="00B7360B" w:rsidP="00983607">
      <w:pPr>
        <w:pStyle w:val="Heading3"/>
      </w:pPr>
      <w:bookmarkStart w:id="231" w:name="_Ref344552630"/>
      <w:bookmarkStart w:id="232" w:name="_Toc346311014"/>
      <w:r>
        <w:t>Quartz/BMI</w:t>
      </w:r>
      <w:r w:rsidR="00983607" w:rsidRPr="00D504C1">
        <w:t xml:space="preserve"> </w:t>
      </w:r>
      <w:r w:rsidR="00B10994">
        <w:t xml:space="preserve">(AQIII/BMI) </w:t>
      </w:r>
      <w:r w:rsidR="00983607" w:rsidRPr="00D504C1">
        <w:t>Absorption</w:t>
      </w:r>
      <w:r w:rsidR="00983607">
        <w:t xml:space="preserve"> </w:t>
      </w:r>
      <w:r>
        <w:t xml:space="preserve">Model and </w:t>
      </w:r>
      <w:r w:rsidR="00B10994">
        <w:t>Equilibrium Fluid Content</w:t>
      </w:r>
      <w:bookmarkEnd w:id="231"/>
      <w:bookmarkEnd w:id="232"/>
    </w:p>
    <w:p w14:paraId="3772A503" w14:textId="5335C9D7" w:rsidR="008E027A" w:rsidRDefault="00DF0C55" w:rsidP="00D9316D">
      <w:pPr>
        <w:ind w:firstLine="360"/>
      </w:pPr>
      <w:r>
        <w:t>The</w:t>
      </w:r>
      <w:r w:rsidR="00D504C1">
        <w:t xml:space="preserve"> hindered diffusion absorption prediction </w:t>
      </w:r>
      <w:r w:rsidR="00B10994">
        <w:t>and</w:t>
      </w:r>
      <w:r w:rsidR="00D504C1">
        <w:t xml:space="preserve"> experimental </w:t>
      </w:r>
      <w:r w:rsidR="00B10994">
        <w:t>mass gain</w:t>
      </w:r>
      <w:r w:rsidR="00D504C1">
        <w:t xml:space="preserve"> </w:t>
      </w:r>
      <w:r w:rsidR="00B10994">
        <w:t>data</w:t>
      </w:r>
      <w:r w:rsidR="001A26DC">
        <w:t xml:space="preserve"> for q</w:t>
      </w:r>
      <w:r w:rsidR="00D504C1">
        <w:t>uartz/BMI laminates is shown in</w:t>
      </w:r>
      <w:r w:rsidR="00B10994">
        <w:t xml:space="preserve"> </w:t>
      </w:r>
      <w:r w:rsidR="00B10994">
        <w:fldChar w:fldCharType="begin"/>
      </w:r>
      <w:r w:rsidR="00B10994">
        <w:instrText xml:space="preserve"> REF _Ref344539772 \h </w:instrText>
      </w:r>
      <w:r w:rsidR="00B10994">
        <w:fldChar w:fldCharType="separate"/>
      </w:r>
      <w:r w:rsidR="008A1992" w:rsidRPr="001A5C26">
        <w:t xml:space="preserve">Figure </w:t>
      </w:r>
      <w:r w:rsidR="008A1992">
        <w:rPr>
          <w:noProof/>
        </w:rPr>
        <w:t>5</w:t>
      </w:r>
      <w:r w:rsidR="008A1992">
        <w:t>.</w:t>
      </w:r>
      <w:r w:rsidR="008A1992">
        <w:rPr>
          <w:noProof/>
        </w:rPr>
        <w:t>5</w:t>
      </w:r>
      <w:r w:rsidR="00B10994">
        <w:fldChar w:fldCharType="end"/>
      </w:r>
      <w:r w:rsidR="00D504C1">
        <w:t xml:space="preserve">. </w:t>
      </w:r>
      <w:r w:rsidR="00B10994">
        <w:t xml:space="preserve"> </w:t>
      </w:r>
      <w:r w:rsidR="00D504C1">
        <w:t xml:space="preserve">The </w:t>
      </w:r>
      <w:r w:rsidR="00B10994">
        <w:t>equilibrium fluid contents</w:t>
      </w:r>
      <w:r w:rsidR="00D504C1">
        <w:t xml:space="preserve"> associated with the model fits </w:t>
      </w:r>
      <w:r w:rsidR="001A26DC">
        <w:t xml:space="preserve">for quartz/BMI laminates </w:t>
      </w:r>
      <w:r w:rsidR="00D504C1">
        <w:t>are provided in</w:t>
      </w:r>
      <w:r w:rsidR="00B10994">
        <w:t xml:space="preserve"> </w:t>
      </w:r>
      <w:r w:rsidR="00B10994">
        <w:fldChar w:fldCharType="begin"/>
      </w:r>
      <w:r w:rsidR="00B10994">
        <w:instrText xml:space="preserve"> REF _Ref344539949 \h </w:instrText>
      </w:r>
      <w:r w:rsidR="00B10994">
        <w:fldChar w:fldCharType="separate"/>
      </w:r>
      <w:r w:rsidR="008A1992" w:rsidRPr="00707D23">
        <w:t xml:space="preserve">Table </w:t>
      </w:r>
      <w:r w:rsidR="008A1992">
        <w:rPr>
          <w:noProof/>
        </w:rPr>
        <w:t>5</w:t>
      </w:r>
      <w:r w:rsidR="008A1992" w:rsidRPr="00707D23">
        <w:t>.</w:t>
      </w:r>
      <w:r w:rsidR="008A1992">
        <w:rPr>
          <w:noProof/>
        </w:rPr>
        <w:t>1</w:t>
      </w:r>
      <w:r w:rsidR="00B10994">
        <w:fldChar w:fldCharType="end"/>
      </w:r>
      <w:r w:rsidR="00D504C1">
        <w:t xml:space="preserve">.  </w:t>
      </w:r>
      <w:r w:rsidR="004828CD">
        <w:t xml:space="preserve">The hindered diffusion model had good correlation with the experimental mass gain data for all prepreg humidity exposure levels and fabrication pressures.  </w:t>
      </w:r>
      <w:r w:rsidR="003C70BD">
        <w:t>Generally, the equilibrium fluid content reduced in a power function like behavior a</w:t>
      </w:r>
      <w:r>
        <w:t>s</w:t>
      </w:r>
      <w:r w:rsidR="003C70BD">
        <w:t xml:space="preserve"> the</w:t>
      </w:r>
      <w:r>
        <w:t xml:space="preserve"> fabrication pressure increased</w:t>
      </w:r>
      <w:r w:rsidR="003C70BD">
        <w:t xml:space="preserve">.  This is evident by the largest incremental reduction in equilibrium fluid content occurring when fabrication pressure increased from 69 kPa to 207 kPa.  The hindered diffusion model fits indicate that the experimental mass gain data have achieved near saturation for nearly all humidity </w:t>
      </w:r>
      <w:r w:rsidR="00A6674F">
        <w:t xml:space="preserve">exposure levels and fabrication pressures.  The lone exceptions was observed for prepregs conditioned at 2% relative humidity and fabricated at 69 kPa, and to a lesser degree at 483 kPa.  After two years, the experimental mass gain for 2% RH – 69 kPa specimens was at 2.7 %wt.  Meanwhile, the equilibrium fluid content prediction was 3.1 %wt., or a further increase of approximately 13%.  However, a closer examination of the experimental mass gain data revealed that the measured fluid contents have been within 0.05 %wt. for </w:t>
      </w:r>
      <w:r w:rsidR="0069133D">
        <w:t xml:space="preserve">over </w:t>
      </w:r>
      <w:r w:rsidR="005869CC">
        <w:t>eight</w:t>
      </w:r>
      <w:r w:rsidR="0069133D">
        <w:t xml:space="preserve"> months.  Therefore, it can be deduced that this specimen series is also nearing equilibrium and a few more months of consistent mass gain data will correct the over-prediction currently being observed with the hindered diffusion model prediction.</w:t>
      </w:r>
    </w:p>
    <w:p w14:paraId="39C52D24" w14:textId="77777777" w:rsidR="001A5C26" w:rsidRDefault="008E027A" w:rsidP="001A5C26">
      <w:pPr>
        <w:keepNext/>
        <w:jc w:val="center"/>
      </w:pPr>
      <w:r>
        <w:rPr>
          <w:noProof/>
        </w:rPr>
        <mc:AlternateContent>
          <mc:Choice Requires="wpg">
            <w:drawing>
              <wp:inline distT="0" distB="0" distL="0" distR="0" wp14:anchorId="5E45883C" wp14:editId="2C884063">
                <wp:extent cx="5389893" cy="5486400"/>
                <wp:effectExtent l="0" t="0" r="0" b="0"/>
                <wp:docPr id="293" name="Group 2"/>
                <wp:cNvGraphicFramePr/>
                <a:graphic xmlns:a="http://schemas.openxmlformats.org/drawingml/2006/main">
                  <a:graphicData uri="http://schemas.microsoft.com/office/word/2010/wordprocessingGroup">
                    <wpg:wgp>
                      <wpg:cNvGrpSpPr/>
                      <wpg:grpSpPr>
                        <a:xfrm>
                          <a:off x="0" y="0"/>
                          <a:ext cx="5389893" cy="5486400"/>
                          <a:chOff x="0" y="0"/>
                          <a:chExt cx="5389893" cy="5486400"/>
                        </a:xfrm>
                      </wpg:grpSpPr>
                      <wpg:graphicFrame>
                        <wpg:cNvPr id="294" name="Chart 294"/>
                        <wpg:cNvFrPr>
                          <a:graphicFrameLocks/>
                        </wpg:cNvFrPr>
                        <wpg:xfrm>
                          <a:off x="0" y="0"/>
                          <a:ext cx="2697480" cy="2743200"/>
                        </wpg:xfrm>
                        <a:graphic>
                          <a:graphicData uri="http://schemas.openxmlformats.org/drawingml/2006/chart">
                            <c:chart xmlns:c="http://schemas.openxmlformats.org/drawingml/2006/chart" xmlns:r="http://schemas.openxmlformats.org/officeDocument/2006/relationships" r:id="rId124"/>
                          </a:graphicData>
                        </a:graphic>
                      </wpg:graphicFrame>
                      <wpg:graphicFrame>
                        <wpg:cNvPr id="295" name="Chart 295"/>
                        <wpg:cNvFrPr>
                          <a:graphicFrameLocks/>
                        </wpg:cNvFrPr>
                        <wpg:xfrm>
                          <a:off x="2692413" y="0"/>
                          <a:ext cx="2697480" cy="2743200"/>
                        </wpg:xfrm>
                        <a:graphic>
                          <a:graphicData uri="http://schemas.openxmlformats.org/drawingml/2006/chart">
                            <c:chart xmlns:c="http://schemas.openxmlformats.org/drawingml/2006/chart" xmlns:r="http://schemas.openxmlformats.org/officeDocument/2006/relationships" r:id="rId125"/>
                          </a:graphicData>
                        </a:graphic>
                      </wpg:graphicFrame>
                      <wpg:graphicFrame>
                        <wpg:cNvPr id="304" name="Chart 304"/>
                        <wpg:cNvFrPr>
                          <a:graphicFrameLocks/>
                        </wpg:cNvFrPr>
                        <wpg:xfrm>
                          <a:off x="0" y="2743200"/>
                          <a:ext cx="2697480" cy="2743200"/>
                        </wpg:xfrm>
                        <a:graphic>
                          <a:graphicData uri="http://schemas.openxmlformats.org/drawingml/2006/chart">
                            <c:chart xmlns:c="http://schemas.openxmlformats.org/drawingml/2006/chart" xmlns:r="http://schemas.openxmlformats.org/officeDocument/2006/relationships" r:id="rId126"/>
                          </a:graphicData>
                        </a:graphic>
                      </wpg:graphicFrame>
                      <wpg:graphicFrame>
                        <wpg:cNvPr id="305" name="Chart 305"/>
                        <wpg:cNvFrPr>
                          <a:graphicFrameLocks/>
                        </wpg:cNvFrPr>
                        <wpg:xfrm>
                          <a:off x="2692413" y="2743200"/>
                          <a:ext cx="2697480" cy="2743200"/>
                        </wpg:xfrm>
                        <a:graphic>
                          <a:graphicData uri="http://schemas.openxmlformats.org/drawingml/2006/chart">
                            <c:chart xmlns:c="http://schemas.openxmlformats.org/drawingml/2006/chart" xmlns:r="http://schemas.openxmlformats.org/officeDocument/2006/relationships" r:id="rId127"/>
                          </a:graphicData>
                        </a:graphic>
                      </wpg:graphicFrame>
                    </wpg:wgp>
                  </a:graphicData>
                </a:graphic>
              </wp:inline>
            </w:drawing>
          </mc:Choice>
          <mc:Fallback xmlns:w15="http://schemas.microsoft.com/office/word/2012/wordml">
            <w:pict>
              <v:group w14:anchorId="650A8D06" id="Group 2" o:spid="_x0000_s1026" style="width:424.4pt;height:6in;mso-position-horizontal-relative:char;mso-position-vertical-relative:line" coordsize="53898,54864" o:gfxdata="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">
                <v:shape id="Chart 294" o:spid="_x0000_s1027" type="#_x0000_t75" style="position:absolute;width:27005;height:27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">
                  <v:imagedata r:id="rId128" o:title=""/>
                  <o:lock v:ext="edit" aspectratio="f"/>
                </v:shape>
                <v:shape id="Chart 295" o:spid="_x0000_s1028" type="#_x0000_t75" style="position:absolute;left:26883;width:27066;height:27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">
                  <v:imagedata r:id="rId129" o:title=""/>
                  <o:lock v:ext="edit" aspectratio="f"/>
                </v:shape>
                <v:shape id="Chart 304" o:spid="_x0000_s1029" type="#_x0000_t75" style="position:absolute;top:27432;width:27005;height:27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">
                  <v:imagedata r:id="rId130" o:title=""/>
                  <o:lock v:ext="edit" aspectratio="f"/>
                </v:shape>
                <v:shape id="Chart 305" o:spid="_x0000_s1030" type="#_x0000_t75" style="position:absolute;left:26883;top:27432;width:27066;height:27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">
                  <v:imagedata r:id="rId131" o:title=""/>
                  <o:lock v:ext="edit" aspectratio="f"/>
                </v:shape>
                <w10:anchorlock/>
              </v:group>
            </w:pict>
          </mc:Fallback>
        </mc:AlternateContent>
      </w:r>
    </w:p>
    <w:p w14:paraId="2F10916C" w14:textId="431D5EB5" w:rsidR="008E027A" w:rsidRDefault="001A5C26" w:rsidP="001A5C26">
      <w:pPr>
        <w:pStyle w:val="Caption"/>
        <w:spacing w:line="240" w:lineRule="auto"/>
        <w:jc w:val="center"/>
        <w:rPr>
          <w:sz w:val="24"/>
        </w:rPr>
      </w:pPr>
      <w:bookmarkStart w:id="233" w:name="_Ref344539772"/>
      <w:bookmarkStart w:id="234" w:name="_Toc346310444"/>
      <w:proofErr w:type="gramStart"/>
      <w:r w:rsidRPr="001A5C26">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5</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5</w:t>
      </w:r>
      <w:r w:rsidR="00C16D85">
        <w:rPr>
          <w:sz w:val="24"/>
        </w:rPr>
        <w:fldChar w:fldCharType="end"/>
      </w:r>
      <w:bookmarkEnd w:id="233"/>
      <w:r w:rsidRPr="001A5C26">
        <w:rPr>
          <w:sz w:val="24"/>
        </w:rPr>
        <w:t xml:space="preserve"> Five-year hindered diffusion model prediction for conditioned AQIII/BMI prepregs cured at fabrication pressures of (a) 69 kPa, (b) 207 kPa, (c) 345 kPa, and (d) 483 kPa</w:t>
      </w:r>
      <w:bookmarkEnd w:id="234"/>
    </w:p>
    <w:p w14:paraId="750DB470" w14:textId="77777777" w:rsidR="001A5C26" w:rsidRDefault="001A5C26" w:rsidP="001A5C26"/>
    <w:p w14:paraId="62FC65F9" w14:textId="77912B88" w:rsidR="00707D23" w:rsidRPr="00707D23" w:rsidRDefault="00707D23" w:rsidP="00707D23">
      <w:pPr>
        <w:pStyle w:val="Caption"/>
        <w:keepNext/>
        <w:spacing w:after="120" w:line="240" w:lineRule="auto"/>
        <w:jc w:val="center"/>
        <w:rPr>
          <w:sz w:val="24"/>
        </w:rPr>
      </w:pPr>
      <w:bookmarkStart w:id="235" w:name="_Ref344539949"/>
      <w:bookmarkStart w:id="236" w:name="_Toc346310856"/>
      <w:proofErr w:type="gramStart"/>
      <w:r w:rsidRPr="00707D23">
        <w:rPr>
          <w:sz w:val="24"/>
        </w:rPr>
        <w:t xml:space="preserve">Table </w:t>
      </w:r>
      <w:r w:rsidRPr="00707D23">
        <w:rPr>
          <w:sz w:val="24"/>
        </w:rPr>
        <w:fldChar w:fldCharType="begin"/>
      </w:r>
      <w:r w:rsidRPr="00707D23">
        <w:rPr>
          <w:sz w:val="24"/>
        </w:rPr>
        <w:instrText xml:space="preserve"> STYLEREF 1 \s </w:instrText>
      </w:r>
      <w:r w:rsidRPr="00707D23">
        <w:rPr>
          <w:sz w:val="24"/>
        </w:rPr>
        <w:fldChar w:fldCharType="separate"/>
      </w:r>
      <w:r w:rsidR="008A1992">
        <w:rPr>
          <w:noProof/>
          <w:sz w:val="24"/>
        </w:rPr>
        <w:t>5</w:t>
      </w:r>
      <w:r w:rsidRPr="00707D23">
        <w:rPr>
          <w:sz w:val="24"/>
        </w:rPr>
        <w:fldChar w:fldCharType="end"/>
      </w:r>
      <w:r w:rsidRPr="00707D23">
        <w:rPr>
          <w:sz w:val="24"/>
        </w:rPr>
        <w:t>.</w:t>
      </w:r>
      <w:proofErr w:type="gramEnd"/>
      <w:r w:rsidRPr="00707D23">
        <w:rPr>
          <w:sz w:val="24"/>
        </w:rPr>
        <w:fldChar w:fldCharType="begin"/>
      </w:r>
      <w:r w:rsidRPr="00707D23">
        <w:rPr>
          <w:sz w:val="24"/>
        </w:rPr>
        <w:instrText xml:space="preserve"> SEQ Table \* ARABIC \s 1 </w:instrText>
      </w:r>
      <w:r w:rsidRPr="00707D23">
        <w:rPr>
          <w:sz w:val="24"/>
        </w:rPr>
        <w:fldChar w:fldCharType="separate"/>
      </w:r>
      <w:r w:rsidR="008A1992">
        <w:rPr>
          <w:noProof/>
          <w:sz w:val="24"/>
        </w:rPr>
        <w:t>1</w:t>
      </w:r>
      <w:r w:rsidRPr="00707D23">
        <w:rPr>
          <w:sz w:val="24"/>
        </w:rPr>
        <w:fldChar w:fldCharType="end"/>
      </w:r>
      <w:bookmarkEnd w:id="235"/>
      <w:r w:rsidRPr="00707D23">
        <w:rPr>
          <w:sz w:val="24"/>
        </w:rPr>
        <w:t xml:space="preserve"> Equilibrium fluid content for AQIII/BMI hydraulic fluid absorption</w:t>
      </w:r>
      <w:bookmarkEnd w:id="236"/>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1152"/>
        <w:gridCol w:w="1080"/>
        <w:gridCol w:w="1080"/>
        <w:gridCol w:w="1080"/>
        <w:gridCol w:w="1080"/>
      </w:tblGrid>
      <w:tr w:rsidR="00CE0EB4" w14:paraId="35FDD7A9" w14:textId="77777777" w:rsidTr="004828CD">
        <w:trPr>
          <w:jc w:val="center"/>
        </w:trPr>
        <w:tc>
          <w:tcPr>
            <w:tcW w:w="1080" w:type="dxa"/>
            <w:tcBorders>
              <w:top w:val="single" w:sz="8" w:space="0" w:color="auto"/>
              <w:left w:val="single" w:sz="4" w:space="0" w:color="auto"/>
            </w:tcBorders>
          </w:tcPr>
          <w:p w14:paraId="1E7590E2" w14:textId="77777777" w:rsidR="00CE0EB4" w:rsidRDefault="00CE0EB4" w:rsidP="001A5C26">
            <w:pPr>
              <w:spacing w:line="240" w:lineRule="auto"/>
              <w:jc w:val="center"/>
            </w:pPr>
          </w:p>
        </w:tc>
        <w:tc>
          <w:tcPr>
            <w:tcW w:w="1152" w:type="dxa"/>
            <w:tcBorders>
              <w:top w:val="single" w:sz="8" w:space="0" w:color="auto"/>
            </w:tcBorders>
          </w:tcPr>
          <w:p w14:paraId="1F43DE5C" w14:textId="77777777" w:rsidR="00CE0EB4" w:rsidRDefault="00CE0EB4" w:rsidP="001A5C26">
            <w:pPr>
              <w:spacing w:line="240" w:lineRule="auto"/>
              <w:jc w:val="center"/>
            </w:pPr>
          </w:p>
        </w:tc>
        <w:tc>
          <w:tcPr>
            <w:tcW w:w="4320" w:type="dxa"/>
            <w:gridSpan w:val="4"/>
            <w:tcBorders>
              <w:top w:val="single" w:sz="8" w:space="0" w:color="auto"/>
              <w:right w:val="single" w:sz="4" w:space="0" w:color="auto"/>
            </w:tcBorders>
          </w:tcPr>
          <w:p w14:paraId="49E6CAC6" w14:textId="74DCFA09" w:rsidR="00CE0EB4" w:rsidRPr="00CE0EB4" w:rsidRDefault="00CE0EB4" w:rsidP="001A5C26">
            <w:pPr>
              <w:spacing w:line="240" w:lineRule="auto"/>
              <w:jc w:val="center"/>
              <w:rPr>
                <w:b/>
              </w:rPr>
            </w:pPr>
            <w:r w:rsidRPr="00CE0EB4">
              <w:rPr>
                <w:b/>
              </w:rPr>
              <w:t>Fabrication Pressure</w:t>
            </w:r>
          </w:p>
        </w:tc>
      </w:tr>
      <w:tr w:rsidR="0012258B" w14:paraId="44DA5947" w14:textId="77777777" w:rsidTr="004828CD">
        <w:trPr>
          <w:jc w:val="center"/>
        </w:trPr>
        <w:tc>
          <w:tcPr>
            <w:tcW w:w="1080" w:type="dxa"/>
            <w:tcBorders>
              <w:left w:val="single" w:sz="4" w:space="0" w:color="auto"/>
            </w:tcBorders>
          </w:tcPr>
          <w:p w14:paraId="66473E0B" w14:textId="77777777" w:rsidR="0012258B" w:rsidRDefault="0012258B" w:rsidP="001A5C26">
            <w:pPr>
              <w:spacing w:line="240" w:lineRule="auto"/>
              <w:jc w:val="center"/>
            </w:pPr>
          </w:p>
        </w:tc>
        <w:tc>
          <w:tcPr>
            <w:tcW w:w="1152" w:type="dxa"/>
          </w:tcPr>
          <w:p w14:paraId="5624090E" w14:textId="77777777" w:rsidR="0012258B" w:rsidRDefault="0012258B" w:rsidP="001A5C26">
            <w:pPr>
              <w:spacing w:line="240" w:lineRule="auto"/>
              <w:jc w:val="center"/>
            </w:pPr>
          </w:p>
        </w:tc>
        <w:tc>
          <w:tcPr>
            <w:tcW w:w="1080" w:type="dxa"/>
            <w:tcBorders>
              <w:bottom w:val="single" w:sz="4" w:space="0" w:color="auto"/>
            </w:tcBorders>
          </w:tcPr>
          <w:p w14:paraId="156E46BD" w14:textId="6908D4AD" w:rsidR="0012258B" w:rsidRPr="00CE0EB4" w:rsidRDefault="00CE0EB4" w:rsidP="001A5C26">
            <w:pPr>
              <w:spacing w:line="240" w:lineRule="auto"/>
              <w:jc w:val="center"/>
              <w:rPr>
                <w:i/>
              </w:rPr>
            </w:pPr>
            <w:r w:rsidRPr="00CE0EB4">
              <w:rPr>
                <w:i/>
              </w:rPr>
              <w:t>69 kPa</w:t>
            </w:r>
          </w:p>
        </w:tc>
        <w:tc>
          <w:tcPr>
            <w:tcW w:w="1080" w:type="dxa"/>
            <w:tcBorders>
              <w:bottom w:val="single" w:sz="4" w:space="0" w:color="auto"/>
            </w:tcBorders>
          </w:tcPr>
          <w:p w14:paraId="3F7C4EDA" w14:textId="12D3E43E" w:rsidR="0012258B" w:rsidRPr="00CE0EB4" w:rsidRDefault="00CE0EB4" w:rsidP="001A5C26">
            <w:pPr>
              <w:spacing w:line="240" w:lineRule="auto"/>
              <w:jc w:val="center"/>
              <w:rPr>
                <w:i/>
              </w:rPr>
            </w:pPr>
            <w:r w:rsidRPr="00CE0EB4">
              <w:rPr>
                <w:i/>
              </w:rPr>
              <w:t>207 kPa</w:t>
            </w:r>
          </w:p>
        </w:tc>
        <w:tc>
          <w:tcPr>
            <w:tcW w:w="1080" w:type="dxa"/>
            <w:tcBorders>
              <w:bottom w:val="single" w:sz="4" w:space="0" w:color="auto"/>
            </w:tcBorders>
          </w:tcPr>
          <w:p w14:paraId="1EE9E933" w14:textId="65E7C782" w:rsidR="0012258B" w:rsidRPr="00CE0EB4" w:rsidRDefault="00CE0EB4" w:rsidP="001A5C26">
            <w:pPr>
              <w:spacing w:line="240" w:lineRule="auto"/>
              <w:jc w:val="center"/>
              <w:rPr>
                <w:i/>
              </w:rPr>
            </w:pPr>
            <w:r w:rsidRPr="00CE0EB4">
              <w:rPr>
                <w:i/>
              </w:rPr>
              <w:t>345 kPa</w:t>
            </w:r>
          </w:p>
        </w:tc>
        <w:tc>
          <w:tcPr>
            <w:tcW w:w="1080" w:type="dxa"/>
            <w:tcBorders>
              <w:bottom w:val="single" w:sz="4" w:space="0" w:color="auto"/>
              <w:right w:val="single" w:sz="4" w:space="0" w:color="auto"/>
            </w:tcBorders>
          </w:tcPr>
          <w:p w14:paraId="0EA40181" w14:textId="07DDADC8" w:rsidR="0012258B" w:rsidRPr="00CE0EB4" w:rsidRDefault="00CE0EB4" w:rsidP="001A5C26">
            <w:pPr>
              <w:spacing w:line="240" w:lineRule="auto"/>
              <w:jc w:val="center"/>
              <w:rPr>
                <w:i/>
              </w:rPr>
            </w:pPr>
            <w:r w:rsidRPr="00CE0EB4">
              <w:rPr>
                <w:i/>
              </w:rPr>
              <w:t>483 kPa</w:t>
            </w:r>
          </w:p>
        </w:tc>
      </w:tr>
      <w:tr w:rsidR="00CE0EB4" w14:paraId="69A3C4DF" w14:textId="77777777" w:rsidTr="004828CD">
        <w:trPr>
          <w:trHeight w:val="360"/>
          <w:jc w:val="center"/>
        </w:trPr>
        <w:tc>
          <w:tcPr>
            <w:tcW w:w="1080" w:type="dxa"/>
            <w:vMerge w:val="restart"/>
            <w:tcBorders>
              <w:left w:val="single" w:sz="4" w:space="0" w:color="auto"/>
            </w:tcBorders>
            <w:textDirection w:val="btLr"/>
            <w:vAlign w:val="bottom"/>
          </w:tcPr>
          <w:p w14:paraId="2C46B502" w14:textId="77777777" w:rsidR="00CE0EB4" w:rsidRPr="00CE0EB4" w:rsidRDefault="00CE0EB4" w:rsidP="00CE0EB4">
            <w:pPr>
              <w:spacing w:line="240" w:lineRule="auto"/>
              <w:ind w:left="113" w:right="113"/>
              <w:jc w:val="center"/>
              <w:rPr>
                <w:b/>
              </w:rPr>
            </w:pPr>
            <w:r w:rsidRPr="00CE0EB4">
              <w:rPr>
                <w:b/>
              </w:rPr>
              <w:t>Prepreg</w:t>
            </w:r>
          </w:p>
          <w:p w14:paraId="079FC11A" w14:textId="6508B377" w:rsidR="00CE0EB4" w:rsidRDefault="00CE0EB4" w:rsidP="00CE0EB4">
            <w:pPr>
              <w:spacing w:line="240" w:lineRule="auto"/>
              <w:ind w:left="113" w:right="113"/>
              <w:jc w:val="center"/>
            </w:pPr>
            <w:r w:rsidRPr="00CE0EB4">
              <w:rPr>
                <w:b/>
              </w:rPr>
              <w:t>Humidity Exposure</w:t>
            </w:r>
          </w:p>
        </w:tc>
        <w:tc>
          <w:tcPr>
            <w:tcW w:w="1152" w:type="dxa"/>
            <w:tcBorders>
              <w:right w:val="single" w:sz="4" w:space="0" w:color="auto"/>
            </w:tcBorders>
            <w:vAlign w:val="center"/>
          </w:tcPr>
          <w:p w14:paraId="16BFC0CA" w14:textId="41AF0990" w:rsidR="00CE0EB4" w:rsidRPr="00CE0EB4" w:rsidRDefault="00CE0EB4" w:rsidP="00707D23">
            <w:pPr>
              <w:spacing w:line="240" w:lineRule="auto"/>
              <w:jc w:val="center"/>
              <w:rPr>
                <w:i/>
              </w:rPr>
            </w:pPr>
            <w:r w:rsidRPr="00CE0EB4">
              <w:rPr>
                <w:i/>
              </w:rPr>
              <w:t>2% RH</w:t>
            </w:r>
          </w:p>
        </w:tc>
        <w:tc>
          <w:tcPr>
            <w:tcW w:w="1080" w:type="dxa"/>
            <w:tcBorders>
              <w:top w:val="single" w:sz="4" w:space="0" w:color="auto"/>
              <w:left w:val="single" w:sz="4" w:space="0" w:color="auto"/>
            </w:tcBorders>
            <w:shd w:val="clear" w:color="auto" w:fill="B8CCE4" w:themeFill="accent1" w:themeFillTint="66"/>
            <w:vAlign w:val="center"/>
          </w:tcPr>
          <w:p w14:paraId="0728D401" w14:textId="5E60862E" w:rsidR="00CE0EB4" w:rsidRDefault="00CE0EB4" w:rsidP="00CE0EB4">
            <w:pPr>
              <w:spacing w:line="240" w:lineRule="auto"/>
              <w:jc w:val="center"/>
            </w:pPr>
            <w:r>
              <w:t>3.10</w:t>
            </w:r>
          </w:p>
        </w:tc>
        <w:tc>
          <w:tcPr>
            <w:tcW w:w="1080" w:type="dxa"/>
            <w:tcBorders>
              <w:top w:val="single" w:sz="4" w:space="0" w:color="auto"/>
            </w:tcBorders>
            <w:shd w:val="clear" w:color="auto" w:fill="B8CCE4" w:themeFill="accent1" w:themeFillTint="66"/>
            <w:vAlign w:val="center"/>
          </w:tcPr>
          <w:p w14:paraId="5553BDA7" w14:textId="20077C4A" w:rsidR="00CE0EB4" w:rsidRDefault="00707D23" w:rsidP="00CE0EB4">
            <w:pPr>
              <w:spacing w:line="240" w:lineRule="auto"/>
              <w:jc w:val="center"/>
            </w:pPr>
            <w:r>
              <w:t>1.76</w:t>
            </w:r>
          </w:p>
        </w:tc>
        <w:tc>
          <w:tcPr>
            <w:tcW w:w="1080" w:type="dxa"/>
            <w:tcBorders>
              <w:top w:val="single" w:sz="4" w:space="0" w:color="auto"/>
            </w:tcBorders>
            <w:shd w:val="clear" w:color="auto" w:fill="B8CCE4" w:themeFill="accent1" w:themeFillTint="66"/>
            <w:vAlign w:val="center"/>
          </w:tcPr>
          <w:p w14:paraId="089F9952" w14:textId="23B068AC" w:rsidR="00CE0EB4" w:rsidRDefault="00707D23" w:rsidP="00CE0EB4">
            <w:pPr>
              <w:spacing w:line="240" w:lineRule="auto"/>
              <w:jc w:val="center"/>
            </w:pPr>
            <w:r>
              <w:t>1.20</w:t>
            </w:r>
          </w:p>
        </w:tc>
        <w:tc>
          <w:tcPr>
            <w:tcW w:w="1080" w:type="dxa"/>
            <w:tcBorders>
              <w:top w:val="single" w:sz="4" w:space="0" w:color="auto"/>
              <w:right w:val="single" w:sz="4" w:space="0" w:color="auto"/>
            </w:tcBorders>
            <w:shd w:val="clear" w:color="auto" w:fill="B8CCE4" w:themeFill="accent1" w:themeFillTint="66"/>
            <w:vAlign w:val="center"/>
          </w:tcPr>
          <w:p w14:paraId="6DC9969C" w14:textId="45D5DF95" w:rsidR="00CE0EB4" w:rsidRDefault="00707D23" w:rsidP="00CE0EB4">
            <w:pPr>
              <w:spacing w:line="240" w:lineRule="auto"/>
              <w:jc w:val="center"/>
            </w:pPr>
            <w:r>
              <w:t>1.58</w:t>
            </w:r>
          </w:p>
        </w:tc>
      </w:tr>
      <w:tr w:rsidR="00CE0EB4" w14:paraId="056FC06B" w14:textId="77777777" w:rsidTr="004828CD">
        <w:trPr>
          <w:trHeight w:val="360"/>
          <w:jc w:val="center"/>
        </w:trPr>
        <w:tc>
          <w:tcPr>
            <w:tcW w:w="1080" w:type="dxa"/>
            <w:vMerge/>
            <w:tcBorders>
              <w:left w:val="single" w:sz="4" w:space="0" w:color="auto"/>
            </w:tcBorders>
          </w:tcPr>
          <w:p w14:paraId="4AC495EC" w14:textId="77777777" w:rsidR="00CE0EB4" w:rsidRDefault="00CE0EB4" w:rsidP="001A5C26">
            <w:pPr>
              <w:spacing w:line="240" w:lineRule="auto"/>
              <w:jc w:val="center"/>
            </w:pPr>
          </w:p>
        </w:tc>
        <w:tc>
          <w:tcPr>
            <w:tcW w:w="1152" w:type="dxa"/>
            <w:tcBorders>
              <w:right w:val="single" w:sz="4" w:space="0" w:color="auto"/>
            </w:tcBorders>
            <w:vAlign w:val="center"/>
          </w:tcPr>
          <w:p w14:paraId="72B862B0" w14:textId="730EC056" w:rsidR="00CE0EB4" w:rsidRPr="00CE0EB4" w:rsidRDefault="00CE0EB4" w:rsidP="00707D23">
            <w:pPr>
              <w:spacing w:line="240" w:lineRule="auto"/>
              <w:jc w:val="center"/>
              <w:rPr>
                <w:i/>
              </w:rPr>
            </w:pPr>
            <w:r w:rsidRPr="00CE0EB4">
              <w:rPr>
                <w:i/>
              </w:rPr>
              <w:t>40% RH</w:t>
            </w:r>
          </w:p>
        </w:tc>
        <w:tc>
          <w:tcPr>
            <w:tcW w:w="1080" w:type="dxa"/>
            <w:tcBorders>
              <w:left w:val="single" w:sz="4" w:space="0" w:color="auto"/>
            </w:tcBorders>
            <w:shd w:val="clear" w:color="auto" w:fill="E5B8B7" w:themeFill="accent2" w:themeFillTint="66"/>
            <w:vAlign w:val="center"/>
          </w:tcPr>
          <w:p w14:paraId="44B4C8E4" w14:textId="1744C81B" w:rsidR="00CE0EB4" w:rsidRDefault="00CE0EB4" w:rsidP="00CE0EB4">
            <w:pPr>
              <w:spacing w:line="240" w:lineRule="auto"/>
              <w:jc w:val="center"/>
            </w:pPr>
            <w:r>
              <w:t>6.19</w:t>
            </w:r>
          </w:p>
        </w:tc>
        <w:tc>
          <w:tcPr>
            <w:tcW w:w="1080" w:type="dxa"/>
            <w:shd w:val="clear" w:color="auto" w:fill="E5B8B7" w:themeFill="accent2" w:themeFillTint="66"/>
            <w:vAlign w:val="center"/>
          </w:tcPr>
          <w:p w14:paraId="26AEDF9E" w14:textId="5A37F8D3" w:rsidR="00CE0EB4" w:rsidRDefault="00707D23" w:rsidP="00CE0EB4">
            <w:pPr>
              <w:spacing w:line="240" w:lineRule="auto"/>
              <w:jc w:val="center"/>
            </w:pPr>
            <w:r>
              <w:t>3.32</w:t>
            </w:r>
          </w:p>
        </w:tc>
        <w:tc>
          <w:tcPr>
            <w:tcW w:w="1080" w:type="dxa"/>
            <w:shd w:val="clear" w:color="auto" w:fill="E5B8B7" w:themeFill="accent2" w:themeFillTint="66"/>
            <w:vAlign w:val="center"/>
          </w:tcPr>
          <w:p w14:paraId="1DC5769C" w14:textId="41AC518C" w:rsidR="00CE0EB4" w:rsidRDefault="00707D23" w:rsidP="00CE0EB4">
            <w:pPr>
              <w:spacing w:line="240" w:lineRule="auto"/>
              <w:jc w:val="center"/>
            </w:pPr>
            <w:r>
              <w:t>3.31</w:t>
            </w:r>
          </w:p>
        </w:tc>
        <w:tc>
          <w:tcPr>
            <w:tcW w:w="1080" w:type="dxa"/>
            <w:tcBorders>
              <w:right w:val="single" w:sz="4" w:space="0" w:color="auto"/>
            </w:tcBorders>
            <w:shd w:val="clear" w:color="auto" w:fill="E5B8B7" w:themeFill="accent2" w:themeFillTint="66"/>
            <w:vAlign w:val="center"/>
          </w:tcPr>
          <w:p w14:paraId="3B63F9B7" w14:textId="38EF1F49" w:rsidR="00CE0EB4" w:rsidRDefault="00707D23" w:rsidP="00CE0EB4">
            <w:pPr>
              <w:spacing w:line="240" w:lineRule="auto"/>
              <w:jc w:val="center"/>
            </w:pPr>
            <w:r>
              <w:t>3.07</w:t>
            </w:r>
          </w:p>
        </w:tc>
      </w:tr>
      <w:tr w:rsidR="00CE0EB4" w14:paraId="570BFDC1" w14:textId="77777777" w:rsidTr="004828CD">
        <w:trPr>
          <w:trHeight w:val="360"/>
          <w:jc w:val="center"/>
        </w:trPr>
        <w:tc>
          <w:tcPr>
            <w:tcW w:w="1080" w:type="dxa"/>
            <w:vMerge/>
            <w:tcBorders>
              <w:left w:val="single" w:sz="4" w:space="0" w:color="auto"/>
            </w:tcBorders>
          </w:tcPr>
          <w:p w14:paraId="2B3581AB" w14:textId="77777777" w:rsidR="00CE0EB4" w:rsidRDefault="00CE0EB4" w:rsidP="001A5C26">
            <w:pPr>
              <w:spacing w:line="240" w:lineRule="auto"/>
              <w:jc w:val="center"/>
            </w:pPr>
          </w:p>
        </w:tc>
        <w:tc>
          <w:tcPr>
            <w:tcW w:w="1152" w:type="dxa"/>
            <w:tcBorders>
              <w:right w:val="single" w:sz="4" w:space="0" w:color="auto"/>
            </w:tcBorders>
            <w:vAlign w:val="center"/>
          </w:tcPr>
          <w:p w14:paraId="3EBC4AD2" w14:textId="17F59A15" w:rsidR="00CE0EB4" w:rsidRPr="00CE0EB4" w:rsidRDefault="00CE0EB4" w:rsidP="00707D23">
            <w:pPr>
              <w:spacing w:line="240" w:lineRule="auto"/>
              <w:jc w:val="center"/>
              <w:rPr>
                <w:i/>
              </w:rPr>
            </w:pPr>
            <w:r w:rsidRPr="00CE0EB4">
              <w:rPr>
                <w:i/>
              </w:rPr>
              <w:t>70% RH</w:t>
            </w:r>
          </w:p>
        </w:tc>
        <w:tc>
          <w:tcPr>
            <w:tcW w:w="1080" w:type="dxa"/>
            <w:tcBorders>
              <w:left w:val="single" w:sz="4" w:space="0" w:color="auto"/>
            </w:tcBorders>
            <w:shd w:val="clear" w:color="auto" w:fill="D6E3BC" w:themeFill="accent3" w:themeFillTint="66"/>
            <w:vAlign w:val="center"/>
          </w:tcPr>
          <w:p w14:paraId="1979F621" w14:textId="44BD749F" w:rsidR="00CE0EB4" w:rsidRDefault="00CE0EB4" w:rsidP="00CE0EB4">
            <w:pPr>
              <w:spacing w:line="240" w:lineRule="auto"/>
              <w:jc w:val="center"/>
            </w:pPr>
            <w:r>
              <w:t>8.34</w:t>
            </w:r>
          </w:p>
        </w:tc>
        <w:tc>
          <w:tcPr>
            <w:tcW w:w="1080" w:type="dxa"/>
            <w:shd w:val="clear" w:color="auto" w:fill="D6E3BC" w:themeFill="accent3" w:themeFillTint="66"/>
            <w:vAlign w:val="center"/>
          </w:tcPr>
          <w:p w14:paraId="588F41FD" w14:textId="30519D9B" w:rsidR="00CE0EB4" w:rsidRDefault="00707D23" w:rsidP="00CE0EB4">
            <w:pPr>
              <w:spacing w:line="240" w:lineRule="auto"/>
              <w:jc w:val="center"/>
            </w:pPr>
            <w:r>
              <w:t>5.66</w:t>
            </w:r>
          </w:p>
        </w:tc>
        <w:tc>
          <w:tcPr>
            <w:tcW w:w="1080" w:type="dxa"/>
            <w:shd w:val="clear" w:color="auto" w:fill="D6E3BC" w:themeFill="accent3" w:themeFillTint="66"/>
            <w:vAlign w:val="center"/>
          </w:tcPr>
          <w:p w14:paraId="0AE36FBD" w14:textId="0AC13125" w:rsidR="00CE0EB4" w:rsidRDefault="00707D23" w:rsidP="00CE0EB4">
            <w:pPr>
              <w:spacing w:line="240" w:lineRule="auto"/>
              <w:jc w:val="center"/>
            </w:pPr>
            <w:r>
              <w:t>4.79</w:t>
            </w:r>
          </w:p>
        </w:tc>
        <w:tc>
          <w:tcPr>
            <w:tcW w:w="1080" w:type="dxa"/>
            <w:tcBorders>
              <w:right w:val="single" w:sz="4" w:space="0" w:color="auto"/>
            </w:tcBorders>
            <w:shd w:val="clear" w:color="auto" w:fill="D6E3BC" w:themeFill="accent3" w:themeFillTint="66"/>
            <w:vAlign w:val="center"/>
          </w:tcPr>
          <w:p w14:paraId="52425D8E" w14:textId="48900A49" w:rsidR="00CE0EB4" w:rsidRDefault="00707D23" w:rsidP="00CE0EB4">
            <w:pPr>
              <w:spacing w:line="240" w:lineRule="auto"/>
              <w:jc w:val="center"/>
            </w:pPr>
            <w:r>
              <w:t>4.24</w:t>
            </w:r>
          </w:p>
        </w:tc>
      </w:tr>
      <w:tr w:rsidR="00CE0EB4" w14:paraId="13E83DF7" w14:textId="77777777" w:rsidTr="004828CD">
        <w:trPr>
          <w:trHeight w:val="360"/>
          <w:jc w:val="center"/>
        </w:trPr>
        <w:tc>
          <w:tcPr>
            <w:tcW w:w="1080" w:type="dxa"/>
            <w:vMerge/>
            <w:tcBorders>
              <w:left w:val="single" w:sz="4" w:space="0" w:color="auto"/>
              <w:bottom w:val="single" w:sz="4" w:space="0" w:color="auto"/>
            </w:tcBorders>
          </w:tcPr>
          <w:p w14:paraId="6DBC0918" w14:textId="77777777" w:rsidR="00CE0EB4" w:rsidRDefault="00CE0EB4" w:rsidP="001A5C26">
            <w:pPr>
              <w:spacing w:line="240" w:lineRule="auto"/>
              <w:jc w:val="center"/>
            </w:pPr>
          </w:p>
        </w:tc>
        <w:tc>
          <w:tcPr>
            <w:tcW w:w="1152" w:type="dxa"/>
            <w:tcBorders>
              <w:bottom w:val="single" w:sz="4" w:space="0" w:color="auto"/>
              <w:right w:val="single" w:sz="4" w:space="0" w:color="auto"/>
            </w:tcBorders>
            <w:vAlign w:val="center"/>
          </w:tcPr>
          <w:p w14:paraId="61B5D2D4" w14:textId="4424CE67" w:rsidR="00CE0EB4" w:rsidRPr="00CE0EB4" w:rsidRDefault="00CE0EB4" w:rsidP="00707D23">
            <w:pPr>
              <w:spacing w:line="240" w:lineRule="auto"/>
              <w:jc w:val="center"/>
              <w:rPr>
                <w:i/>
              </w:rPr>
            </w:pPr>
            <w:r w:rsidRPr="00CE0EB4">
              <w:rPr>
                <w:i/>
              </w:rPr>
              <w:t>99% RH</w:t>
            </w:r>
          </w:p>
        </w:tc>
        <w:tc>
          <w:tcPr>
            <w:tcW w:w="1080" w:type="dxa"/>
            <w:tcBorders>
              <w:left w:val="single" w:sz="4" w:space="0" w:color="auto"/>
              <w:bottom w:val="single" w:sz="4" w:space="0" w:color="auto"/>
            </w:tcBorders>
            <w:shd w:val="clear" w:color="auto" w:fill="CCC0D9" w:themeFill="accent4" w:themeFillTint="66"/>
            <w:vAlign w:val="center"/>
          </w:tcPr>
          <w:p w14:paraId="264B880C" w14:textId="332FD62C" w:rsidR="00CE0EB4" w:rsidRDefault="00CE0EB4" w:rsidP="00CE0EB4">
            <w:pPr>
              <w:spacing w:line="240" w:lineRule="auto"/>
              <w:jc w:val="center"/>
            </w:pPr>
            <w:r>
              <w:t>7.91</w:t>
            </w:r>
          </w:p>
        </w:tc>
        <w:tc>
          <w:tcPr>
            <w:tcW w:w="1080" w:type="dxa"/>
            <w:tcBorders>
              <w:bottom w:val="single" w:sz="4" w:space="0" w:color="auto"/>
            </w:tcBorders>
            <w:shd w:val="clear" w:color="auto" w:fill="CCC0D9" w:themeFill="accent4" w:themeFillTint="66"/>
            <w:vAlign w:val="center"/>
          </w:tcPr>
          <w:p w14:paraId="17660BA0" w14:textId="46180CD0" w:rsidR="00CE0EB4" w:rsidRDefault="00707D23" w:rsidP="00CE0EB4">
            <w:pPr>
              <w:spacing w:line="240" w:lineRule="auto"/>
              <w:jc w:val="center"/>
            </w:pPr>
            <w:r>
              <w:t>5.14</w:t>
            </w:r>
          </w:p>
        </w:tc>
        <w:tc>
          <w:tcPr>
            <w:tcW w:w="1080" w:type="dxa"/>
            <w:tcBorders>
              <w:bottom w:val="single" w:sz="4" w:space="0" w:color="auto"/>
            </w:tcBorders>
            <w:shd w:val="clear" w:color="auto" w:fill="CCC0D9" w:themeFill="accent4" w:themeFillTint="66"/>
            <w:vAlign w:val="center"/>
          </w:tcPr>
          <w:p w14:paraId="40D8AF39" w14:textId="3086FE48" w:rsidR="00CE0EB4" w:rsidRDefault="00707D23" w:rsidP="00CE0EB4">
            <w:pPr>
              <w:spacing w:line="240" w:lineRule="auto"/>
              <w:jc w:val="center"/>
            </w:pPr>
            <w:r>
              <w:t>4.33</w:t>
            </w:r>
          </w:p>
        </w:tc>
        <w:tc>
          <w:tcPr>
            <w:tcW w:w="1080" w:type="dxa"/>
            <w:tcBorders>
              <w:bottom w:val="single" w:sz="4" w:space="0" w:color="auto"/>
              <w:right w:val="single" w:sz="4" w:space="0" w:color="auto"/>
            </w:tcBorders>
            <w:shd w:val="clear" w:color="auto" w:fill="CCC0D9" w:themeFill="accent4" w:themeFillTint="66"/>
            <w:vAlign w:val="center"/>
          </w:tcPr>
          <w:p w14:paraId="53C6FD17" w14:textId="58E77965" w:rsidR="00CE0EB4" w:rsidRDefault="00707D23" w:rsidP="00CE0EB4">
            <w:pPr>
              <w:spacing w:line="240" w:lineRule="auto"/>
              <w:jc w:val="center"/>
            </w:pPr>
            <w:r>
              <w:t>4.09</w:t>
            </w:r>
          </w:p>
        </w:tc>
      </w:tr>
    </w:tbl>
    <w:p w14:paraId="1F66A056" w14:textId="0E82793C" w:rsidR="00B7360B" w:rsidRDefault="00B7360B" w:rsidP="00B7360B">
      <w:pPr>
        <w:pStyle w:val="Heading3"/>
      </w:pPr>
      <w:bookmarkStart w:id="237" w:name="_Ref344552719"/>
      <w:bookmarkStart w:id="238" w:name="_Toc346311015"/>
      <w:r>
        <w:t>Quartz/Epoxy</w:t>
      </w:r>
      <w:r w:rsidRPr="00D504C1">
        <w:t xml:space="preserve"> </w:t>
      </w:r>
      <w:r w:rsidR="000266C1">
        <w:t xml:space="preserve">(AQIII/EX-1522) </w:t>
      </w:r>
      <w:r w:rsidRPr="00D504C1">
        <w:t>Absorption</w:t>
      </w:r>
      <w:r>
        <w:t xml:space="preserve"> Model and </w:t>
      </w:r>
      <w:r w:rsidR="000266C1">
        <w:t>Equilibrium Fluid Content</w:t>
      </w:r>
      <w:bookmarkEnd w:id="237"/>
      <w:bookmarkEnd w:id="238"/>
    </w:p>
    <w:p w14:paraId="212ABA66" w14:textId="2CD5C92B" w:rsidR="0069133D" w:rsidRDefault="00264667" w:rsidP="00E21F79">
      <w:pPr>
        <w:ind w:firstLine="360"/>
      </w:pPr>
      <w:r>
        <w:t xml:space="preserve">The hindered diffusion absorption prediction </w:t>
      </w:r>
      <w:r w:rsidR="003B2052">
        <w:t>and</w:t>
      </w:r>
      <w:r>
        <w:t xml:space="preserve"> experimental </w:t>
      </w:r>
      <w:r w:rsidR="003B2052">
        <w:t>mass gain data</w:t>
      </w:r>
      <w:r>
        <w:t xml:space="preserve"> for</w:t>
      </w:r>
      <w:r w:rsidR="003B2052">
        <w:t xml:space="preserve"> quartz/e</w:t>
      </w:r>
      <w:r>
        <w:t>poxy laminates is shown in</w:t>
      </w:r>
      <w:r w:rsidR="003B2052">
        <w:t xml:space="preserve"> </w:t>
      </w:r>
      <w:r w:rsidR="003B2052">
        <w:fldChar w:fldCharType="begin"/>
      </w:r>
      <w:r w:rsidR="003B2052">
        <w:instrText xml:space="preserve"> REF _Ref344542487 \h </w:instrText>
      </w:r>
      <w:r w:rsidR="003B2052">
        <w:fldChar w:fldCharType="separate"/>
      </w:r>
      <w:r w:rsidR="008A1992" w:rsidRPr="00837CB4">
        <w:t xml:space="preserve">Figure </w:t>
      </w:r>
      <w:r w:rsidR="008A1992">
        <w:rPr>
          <w:noProof/>
        </w:rPr>
        <w:t>5</w:t>
      </w:r>
      <w:r w:rsidR="008A1992">
        <w:t>.</w:t>
      </w:r>
      <w:r w:rsidR="008A1992">
        <w:rPr>
          <w:noProof/>
        </w:rPr>
        <w:t>6</w:t>
      </w:r>
      <w:r w:rsidR="003B2052">
        <w:fldChar w:fldCharType="end"/>
      </w:r>
      <w:r>
        <w:t xml:space="preserve">. </w:t>
      </w:r>
      <w:r w:rsidR="003B2052">
        <w:t xml:space="preserve"> </w:t>
      </w:r>
      <w:r>
        <w:t xml:space="preserve">The </w:t>
      </w:r>
      <w:r w:rsidR="003B2052">
        <w:t>equilibrium fluid contents</w:t>
      </w:r>
      <w:r>
        <w:t xml:space="preserve"> associated with the model fits</w:t>
      </w:r>
      <w:r w:rsidR="003B2052">
        <w:t xml:space="preserve"> for quartz/epoxy laminates</w:t>
      </w:r>
      <w:r>
        <w:t xml:space="preserve"> are provided in</w:t>
      </w:r>
      <w:r w:rsidR="003B2052">
        <w:t xml:space="preserve"> </w:t>
      </w:r>
      <w:r w:rsidR="003B2052">
        <w:fldChar w:fldCharType="begin"/>
      </w:r>
      <w:r w:rsidR="003B2052">
        <w:instrText xml:space="preserve"> REF _Ref344542565 \h </w:instrText>
      </w:r>
      <w:r w:rsidR="003B2052">
        <w:fldChar w:fldCharType="separate"/>
      </w:r>
      <w:r w:rsidR="008A1992" w:rsidRPr="00707D23">
        <w:t xml:space="preserve">Table </w:t>
      </w:r>
      <w:r w:rsidR="008A1992">
        <w:rPr>
          <w:noProof/>
        </w:rPr>
        <w:t>5</w:t>
      </w:r>
      <w:r w:rsidR="008A1992" w:rsidRPr="00707D23">
        <w:t>.</w:t>
      </w:r>
      <w:r w:rsidR="008A1992">
        <w:rPr>
          <w:noProof/>
        </w:rPr>
        <w:t>2</w:t>
      </w:r>
      <w:r w:rsidR="003B2052">
        <w:fldChar w:fldCharType="end"/>
      </w:r>
      <w:r>
        <w:t xml:space="preserve">.  </w:t>
      </w:r>
      <w:r w:rsidR="003B2052">
        <w:t>Similar to the model predictions for BMI, the hindered diffusion model had good correlation with the quartz/epoxy experimental mass gain data for all prepreg humidity exposure levels and fabrication pressures.  The equilibrium fluid content reduced slightly a</w:t>
      </w:r>
      <w:r w:rsidR="00E21F79">
        <w:t>s</w:t>
      </w:r>
      <w:r w:rsidR="003B2052">
        <w:t xml:space="preserve"> the</w:t>
      </w:r>
      <w:r w:rsidR="00E21F79">
        <w:t xml:space="preserve"> fabrication pressure increased</w:t>
      </w:r>
      <w:r w:rsidR="003B2052">
        <w:t>.</w:t>
      </w:r>
      <w:r w:rsidR="00850221">
        <w:t xml:space="preserve">  Hindered diffusion models indicate that the experimental mass gain data for quartz/epoxy laminates are nearing saturation after two years of contamination.  This observation is particularly true a</w:t>
      </w:r>
      <w:r w:rsidR="00F766D9">
        <w:t>s fabrication pressure increased</w:t>
      </w:r>
      <w:r w:rsidR="00850221">
        <w:t xml:space="preserve"> to higher levels.</w:t>
      </w:r>
      <w:r w:rsidR="003E58AE">
        <w:t xml:space="preserve">  For example, the experimental mass gain data for all specimens fabricated at 69 kPa </w:t>
      </w:r>
      <w:r w:rsidR="00F766D9">
        <w:t>were</w:t>
      </w:r>
      <w:r w:rsidR="003E58AE">
        <w:t xml:space="preserve"> within 6.2-15.6% of the equilibrium fluid content.  Comparatively, the mass gain data for specimens fabricated at 483 kPa </w:t>
      </w:r>
      <w:r w:rsidR="00F766D9">
        <w:t>were</w:t>
      </w:r>
      <w:r w:rsidR="003E58AE">
        <w:t xml:space="preserve"> within </w:t>
      </w:r>
      <w:r w:rsidR="00F766D9">
        <w:t>2.0-10.5% of the equilibrium fluid content.</w:t>
      </w:r>
    </w:p>
    <w:p w14:paraId="13B3D145" w14:textId="6A221EAA" w:rsidR="003E4E63" w:rsidRDefault="00852CC3" w:rsidP="003E4E63">
      <w:pPr>
        <w:keepNext/>
        <w:jc w:val="center"/>
      </w:pPr>
      <w:r>
        <w:rPr>
          <w:noProof/>
        </w:rPr>
        <mc:AlternateContent>
          <mc:Choice Requires="wpg">
            <w:drawing>
              <wp:inline distT="0" distB="0" distL="0" distR="0" wp14:anchorId="39FF4463" wp14:editId="10EF61A2">
                <wp:extent cx="5389893" cy="5486400"/>
                <wp:effectExtent l="0" t="0" r="0" b="0"/>
                <wp:docPr id="311" name="Group 4"/>
                <wp:cNvGraphicFramePr/>
                <a:graphic xmlns:a="http://schemas.openxmlformats.org/drawingml/2006/main">
                  <a:graphicData uri="http://schemas.microsoft.com/office/word/2010/wordprocessingGroup">
                    <wpg:wgp>
                      <wpg:cNvGrpSpPr/>
                      <wpg:grpSpPr>
                        <a:xfrm>
                          <a:off x="0" y="0"/>
                          <a:ext cx="5389893" cy="5486400"/>
                          <a:chOff x="0" y="0"/>
                          <a:chExt cx="5389893" cy="5486400"/>
                        </a:xfrm>
                      </wpg:grpSpPr>
                      <wpg:graphicFrame>
                        <wpg:cNvPr id="312" name="Chart 312"/>
                        <wpg:cNvFrPr>
                          <a:graphicFrameLocks/>
                        </wpg:cNvFrPr>
                        <wpg:xfrm>
                          <a:off x="0" y="0"/>
                          <a:ext cx="2697480" cy="2743200"/>
                        </wpg:xfrm>
                        <a:graphic>
                          <a:graphicData uri="http://schemas.openxmlformats.org/drawingml/2006/chart">
                            <c:chart xmlns:c="http://schemas.openxmlformats.org/drawingml/2006/chart" xmlns:r="http://schemas.openxmlformats.org/officeDocument/2006/relationships" r:id="rId132"/>
                          </a:graphicData>
                        </a:graphic>
                      </wpg:graphicFrame>
                      <wpg:graphicFrame>
                        <wpg:cNvPr id="313" name="Chart 313"/>
                        <wpg:cNvFrPr>
                          <a:graphicFrameLocks/>
                        </wpg:cNvFrPr>
                        <wpg:xfrm>
                          <a:off x="2692413" y="0"/>
                          <a:ext cx="2697480" cy="2743200"/>
                        </wpg:xfrm>
                        <a:graphic>
                          <a:graphicData uri="http://schemas.openxmlformats.org/drawingml/2006/chart">
                            <c:chart xmlns:c="http://schemas.openxmlformats.org/drawingml/2006/chart" xmlns:r="http://schemas.openxmlformats.org/officeDocument/2006/relationships" r:id="rId133"/>
                          </a:graphicData>
                        </a:graphic>
                      </wpg:graphicFrame>
                      <wpg:graphicFrame>
                        <wpg:cNvPr id="314" name="Chart 314"/>
                        <wpg:cNvFrPr>
                          <a:graphicFrameLocks/>
                        </wpg:cNvFrPr>
                        <wpg:xfrm>
                          <a:off x="0" y="2743200"/>
                          <a:ext cx="2697480" cy="2743200"/>
                        </wpg:xfrm>
                        <a:graphic>
                          <a:graphicData uri="http://schemas.openxmlformats.org/drawingml/2006/chart">
                            <c:chart xmlns:c="http://schemas.openxmlformats.org/drawingml/2006/chart" xmlns:r="http://schemas.openxmlformats.org/officeDocument/2006/relationships" r:id="rId134"/>
                          </a:graphicData>
                        </a:graphic>
                      </wpg:graphicFrame>
                      <wpg:graphicFrame>
                        <wpg:cNvPr id="315" name="Chart 315"/>
                        <wpg:cNvFrPr>
                          <a:graphicFrameLocks/>
                        </wpg:cNvFrPr>
                        <wpg:xfrm>
                          <a:off x="2692413" y="2743200"/>
                          <a:ext cx="2697480" cy="2743200"/>
                        </wpg:xfrm>
                        <a:graphic>
                          <a:graphicData uri="http://schemas.openxmlformats.org/drawingml/2006/chart">
                            <c:chart xmlns:c="http://schemas.openxmlformats.org/drawingml/2006/chart" xmlns:r="http://schemas.openxmlformats.org/officeDocument/2006/relationships" r:id="rId135"/>
                          </a:graphicData>
                        </a:graphic>
                      </wpg:graphicFrame>
                    </wpg:wgp>
                  </a:graphicData>
                </a:graphic>
              </wp:inline>
            </w:drawing>
          </mc:Choice>
          <mc:Fallback xmlns:w15="http://schemas.microsoft.com/office/word/2012/wordml">
            <w:pict>
              <v:group w14:anchorId="6CA74AB5" id="Group 4" o:spid="_x0000_s1026" style="width:424.4pt;height:6in;mso-position-horizontal-relative:char;mso-position-vertical-relative:line" coordsize="53898,54864" o:gfxdata="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">
                <v:shape id="Chart 312" o:spid="_x0000_s1027" type="#_x0000_t75" style="position:absolute;width:27005;height:27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">
                  <v:imagedata r:id="rId136" o:title=""/>
                  <o:lock v:ext="edit" aspectratio="f"/>
                </v:shape>
                <v:shape id="Chart 313" o:spid="_x0000_s1028" type="#_x0000_t75" style="position:absolute;left:26883;width:27066;height:27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">
                  <v:imagedata r:id="rId137" o:title=""/>
                  <o:lock v:ext="edit" aspectratio="f"/>
                </v:shape>
                <v:shape id="Chart 314" o:spid="_x0000_s1029" type="#_x0000_t75" style="position:absolute;top:27432;width:27005;height:27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">
                  <v:imagedata r:id="rId138" o:title=""/>
                  <o:lock v:ext="edit" aspectratio="f"/>
                </v:shape>
                <v:shape id="Chart 315" o:spid="_x0000_s1030" type="#_x0000_t75" style="position:absolute;left:26883;top:27432;width:27066;height:27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">
                  <v:imagedata r:id="rId139" o:title=""/>
                  <o:lock v:ext="edit" aspectratio="f"/>
                </v:shape>
                <w10:anchorlock/>
              </v:group>
            </w:pict>
          </mc:Fallback>
        </mc:AlternateContent>
      </w:r>
    </w:p>
    <w:p w14:paraId="526DBC95" w14:textId="75A550E2" w:rsidR="00707D23" w:rsidRPr="00837CB4" w:rsidRDefault="003E4E63" w:rsidP="00837CB4">
      <w:pPr>
        <w:pStyle w:val="Caption"/>
        <w:spacing w:line="240" w:lineRule="auto"/>
        <w:jc w:val="center"/>
        <w:rPr>
          <w:sz w:val="24"/>
        </w:rPr>
      </w:pPr>
      <w:bookmarkStart w:id="239" w:name="_Ref344542487"/>
      <w:bookmarkStart w:id="240" w:name="_Toc346310445"/>
      <w:proofErr w:type="gramStart"/>
      <w:r w:rsidRPr="00837CB4">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5</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6</w:t>
      </w:r>
      <w:r w:rsidR="00C16D85">
        <w:rPr>
          <w:sz w:val="24"/>
        </w:rPr>
        <w:fldChar w:fldCharType="end"/>
      </w:r>
      <w:bookmarkEnd w:id="239"/>
      <w:r w:rsidRPr="00837CB4">
        <w:rPr>
          <w:sz w:val="24"/>
        </w:rPr>
        <w:t xml:space="preserve"> Five-year hindered diffusion model prediction for conditioned AQIII/EX-1522 prepregs cured at fabrication pressures of (a) 69 kPa, (b) 207 kPa, (c) 345 kPa, and (d) 483 kPa</w:t>
      </w:r>
      <w:bookmarkEnd w:id="240"/>
    </w:p>
    <w:p w14:paraId="797087DF" w14:textId="77777777" w:rsidR="003E4E63" w:rsidRDefault="003E4E63" w:rsidP="007D51A4">
      <w:pPr>
        <w:jc w:val="center"/>
      </w:pPr>
    </w:p>
    <w:p w14:paraId="56E87565" w14:textId="0F865F87" w:rsidR="00707D23" w:rsidRPr="00707D23" w:rsidRDefault="00707D23" w:rsidP="00707D23">
      <w:pPr>
        <w:pStyle w:val="Caption"/>
        <w:keepNext/>
        <w:spacing w:after="120" w:line="240" w:lineRule="auto"/>
        <w:jc w:val="center"/>
        <w:rPr>
          <w:sz w:val="24"/>
        </w:rPr>
      </w:pPr>
      <w:bookmarkStart w:id="241" w:name="_Ref344542565"/>
      <w:bookmarkStart w:id="242" w:name="_Toc346310857"/>
      <w:proofErr w:type="gramStart"/>
      <w:r w:rsidRPr="00707D23">
        <w:rPr>
          <w:sz w:val="24"/>
        </w:rPr>
        <w:t xml:space="preserve">Table </w:t>
      </w:r>
      <w:r w:rsidRPr="00707D23">
        <w:rPr>
          <w:sz w:val="24"/>
        </w:rPr>
        <w:fldChar w:fldCharType="begin"/>
      </w:r>
      <w:r w:rsidRPr="00707D23">
        <w:rPr>
          <w:sz w:val="24"/>
        </w:rPr>
        <w:instrText xml:space="preserve"> STYLEREF 1 \s </w:instrText>
      </w:r>
      <w:r w:rsidRPr="00707D23">
        <w:rPr>
          <w:sz w:val="24"/>
        </w:rPr>
        <w:fldChar w:fldCharType="separate"/>
      </w:r>
      <w:r w:rsidR="008A1992">
        <w:rPr>
          <w:noProof/>
          <w:sz w:val="24"/>
        </w:rPr>
        <w:t>5</w:t>
      </w:r>
      <w:r w:rsidRPr="00707D23">
        <w:rPr>
          <w:sz w:val="24"/>
        </w:rPr>
        <w:fldChar w:fldCharType="end"/>
      </w:r>
      <w:r w:rsidRPr="00707D23">
        <w:rPr>
          <w:sz w:val="24"/>
        </w:rPr>
        <w:t>.</w:t>
      </w:r>
      <w:proofErr w:type="gramEnd"/>
      <w:r w:rsidRPr="00707D23">
        <w:rPr>
          <w:sz w:val="24"/>
        </w:rPr>
        <w:fldChar w:fldCharType="begin"/>
      </w:r>
      <w:r w:rsidRPr="00707D23">
        <w:rPr>
          <w:sz w:val="24"/>
        </w:rPr>
        <w:instrText xml:space="preserve"> SEQ Table \* ARABIC \s 1 </w:instrText>
      </w:r>
      <w:r w:rsidRPr="00707D23">
        <w:rPr>
          <w:sz w:val="24"/>
        </w:rPr>
        <w:fldChar w:fldCharType="separate"/>
      </w:r>
      <w:r w:rsidR="008A1992">
        <w:rPr>
          <w:noProof/>
          <w:sz w:val="24"/>
        </w:rPr>
        <w:t>2</w:t>
      </w:r>
      <w:r w:rsidRPr="00707D23">
        <w:rPr>
          <w:sz w:val="24"/>
        </w:rPr>
        <w:fldChar w:fldCharType="end"/>
      </w:r>
      <w:bookmarkEnd w:id="241"/>
      <w:r w:rsidRPr="00707D23">
        <w:rPr>
          <w:sz w:val="24"/>
        </w:rPr>
        <w:t xml:space="preserve"> Equilib</w:t>
      </w:r>
      <w:r>
        <w:rPr>
          <w:sz w:val="24"/>
        </w:rPr>
        <w:t>rium fluid content for AQIII/EX-1522</w:t>
      </w:r>
      <w:r w:rsidRPr="00707D23">
        <w:rPr>
          <w:sz w:val="24"/>
        </w:rPr>
        <w:t xml:space="preserve"> hydraulic fluid absorption</w:t>
      </w:r>
      <w:bookmarkEnd w:id="242"/>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1152"/>
        <w:gridCol w:w="1080"/>
        <w:gridCol w:w="1080"/>
        <w:gridCol w:w="1080"/>
        <w:gridCol w:w="1080"/>
      </w:tblGrid>
      <w:tr w:rsidR="00707D23" w14:paraId="03DF58A9" w14:textId="77777777" w:rsidTr="00707D23">
        <w:trPr>
          <w:jc w:val="center"/>
        </w:trPr>
        <w:tc>
          <w:tcPr>
            <w:tcW w:w="1080" w:type="dxa"/>
            <w:tcBorders>
              <w:top w:val="single" w:sz="8" w:space="0" w:color="auto"/>
            </w:tcBorders>
          </w:tcPr>
          <w:p w14:paraId="2EEC98A8" w14:textId="77777777" w:rsidR="00707D23" w:rsidRDefault="00707D23" w:rsidP="00707D23">
            <w:pPr>
              <w:spacing w:line="240" w:lineRule="auto"/>
              <w:jc w:val="center"/>
            </w:pPr>
          </w:p>
        </w:tc>
        <w:tc>
          <w:tcPr>
            <w:tcW w:w="1152" w:type="dxa"/>
            <w:tcBorders>
              <w:top w:val="single" w:sz="8" w:space="0" w:color="auto"/>
            </w:tcBorders>
          </w:tcPr>
          <w:p w14:paraId="45A92D43" w14:textId="77777777" w:rsidR="00707D23" w:rsidRDefault="00707D23" w:rsidP="00707D23">
            <w:pPr>
              <w:spacing w:line="240" w:lineRule="auto"/>
              <w:jc w:val="center"/>
            </w:pPr>
          </w:p>
        </w:tc>
        <w:tc>
          <w:tcPr>
            <w:tcW w:w="4320" w:type="dxa"/>
            <w:gridSpan w:val="4"/>
            <w:tcBorders>
              <w:top w:val="single" w:sz="8" w:space="0" w:color="auto"/>
            </w:tcBorders>
          </w:tcPr>
          <w:p w14:paraId="063A4114" w14:textId="77777777" w:rsidR="00707D23" w:rsidRPr="00CE0EB4" w:rsidRDefault="00707D23" w:rsidP="00707D23">
            <w:pPr>
              <w:spacing w:line="240" w:lineRule="auto"/>
              <w:jc w:val="center"/>
              <w:rPr>
                <w:b/>
              </w:rPr>
            </w:pPr>
            <w:r w:rsidRPr="00CE0EB4">
              <w:rPr>
                <w:b/>
              </w:rPr>
              <w:t>Fabrication Pressure</w:t>
            </w:r>
          </w:p>
        </w:tc>
      </w:tr>
      <w:tr w:rsidR="00707D23" w14:paraId="4626BBD7" w14:textId="77777777" w:rsidTr="00707D23">
        <w:trPr>
          <w:jc w:val="center"/>
        </w:trPr>
        <w:tc>
          <w:tcPr>
            <w:tcW w:w="1080" w:type="dxa"/>
          </w:tcPr>
          <w:p w14:paraId="2A590E4F" w14:textId="77777777" w:rsidR="00707D23" w:rsidRDefault="00707D23" w:rsidP="00707D23">
            <w:pPr>
              <w:spacing w:line="240" w:lineRule="auto"/>
              <w:jc w:val="center"/>
            </w:pPr>
          </w:p>
        </w:tc>
        <w:tc>
          <w:tcPr>
            <w:tcW w:w="1152" w:type="dxa"/>
          </w:tcPr>
          <w:p w14:paraId="3586A80B" w14:textId="77777777" w:rsidR="00707D23" w:rsidRDefault="00707D23" w:rsidP="00707D23">
            <w:pPr>
              <w:spacing w:line="240" w:lineRule="auto"/>
              <w:jc w:val="center"/>
            </w:pPr>
          </w:p>
        </w:tc>
        <w:tc>
          <w:tcPr>
            <w:tcW w:w="1080" w:type="dxa"/>
            <w:tcBorders>
              <w:bottom w:val="single" w:sz="4" w:space="0" w:color="auto"/>
            </w:tcBorders>
          </w:tcPr>
          <w:p w14:paraId="09E98272" w14:textId="77777777" w:rsidR="00707D23" w:rsidRPr="00CE0EB4" w:rsidRDefault="00707D23" w:rsidP="00707D23">
            <w:pPr>
              <w:spacing w:line="240" w:lineRule="auto"/>
              <w:jc w:val="center"/>
              <w:rPr>
                <w:i/>
              </w:rPr>
            </w:pPr>
            <w:r w:rsidRPr="00CE0EB4">
              <w:rPr>
                <w:i/>
              </w:rPr>
              <w:t>69 kPa</w:t>
            </w:r>
          </w:p>
        </w:tc>
        <w:tc>
          <w:tcPr>
            <w:tcW w:w="1080" w:type="dxa"/>
            <w:tcBorders>
              <w:bottom w:val="single" w:sz="4" w:space="0" w:color="auto"/>
            </w:tcBorders>
          </w:tcPr>
          <w:p w14:paraId="5E3DF7B9" w14:textId="77777777" w:rsidR="00707D23" w:rsidRPr="00CE0EB4" w:rsidRDefault="00707D23" w:rsidP="00707D23">
            <w:pPr>
              <w:spacing w:line="240" w:lineRule="auto"/>
              <w:jc w:val="center"/>
              <w:rPr>
                <w:i/>
              </w:rPr>
            </w:pPr>
            <w:r w:rsidRPr="00CE0EB4">
              <w:rPr>
                <w:i/>
              </w:rPr>
              <w:t>207 kPa</w:t>
            </w:r>
          </w:p>
        </w:tc>
        <w:tc>
          <w:tcPr>
            <w:tcW w:w="1080" w:type="dxa"/>
            <w:tcBorders>
              <w:bottom w:val="single" w:sz="4" w:space="0" w:color="auto"/>
            </w:tcBorders>
          </w:tcPr>
          <w:p w14:paraId="0A5569C6" w14:textId="77777777" w:rsidR="00707D23" w:rsidRPr="00CE0EB4" w:rsidRDefault="00707D23" w:rsidP="00707D23">
            <w:pPr>
              <w:spacing w:line="240" w:lineRule="auto"/>
              <w:jc w:val="center"/>
              <w:rPr>
                <w:i/>
              </w:rPr>
            </w:pPr>
            <w:r w:rsidRPr="00CE0EB4">
              <w:rPr>
                <w:i/>
              </w:rPr>
              <w:t>345 kPa</w:t>
            </w:r>
          </w:p>
        </w:tc>
        <w:tc>
          <w:tcPr>
            <w:tcW w:w="1080" w:type="dxa"/>
            <w:tcBorders>
              <w:bottom w:val="single" w:sz="4" w:space="0" w:color="auto"/>
            </w:tcBorders>
          </w:tcPr>
          <w:p w14:paraId="09C7842F" w14:textId="77777777" w:rsidR="00707D23" w:rsidRPr="00CE0EB4" w:rsidRDefault="00707D23" w:rsidP="00707D23">
            <w:pPr>
              <w:spacing w:line="240" w:lineRule="auto"/>
              <w:jc w:val="center"/>
              <w:rPr>
                <w:i/>
              </w:rPr>
            </w:pPr>
            <w:r w:rsidRPr="00CE0EB4">
              <w:rPr>
                <w:i/>
              </w:rPr>
              <w:t>483 kPa</w:t>
            </w:r>
          </w:p>
        </w:tc>
      </w:tr>
      <w:tr w:rsidR="00707D23" w14:paraId="029C09B0" w14:textId="77777777" w:rsidTr="00707D23">
        <w:trPr>
          <w:trHeight w:val="360"/>
          <w:jc w:val="center"/>
        </w:trPr>
        <w:tc>
          <w:tcPr>
            <w:tcW w:w="1080" w:type="dxa"/>
            <w:vMerge w:val="restart"/>
            <w:textDirection w:val="btLr"/>
            <w:vAlign w:val="bottom"/>
          </w:tcPr>
          <w:p w14:paraId="57010CDB" w14:textId="77777777" w:rsidR="00707D23" w:rsidRPr="00CE0EB4" w:rsidRDefault="00707D23" w:rsidP="00707D23">
            <w:pPr>
              <w:spacing w:line="240" w:lineRule="auto"/>
              <w:ind w:left="113" w:right="113"/>
              <w:jc w:val="center"/>
              <w:rPr>
                <w:b/>
              </w:rPr>
            </w:pPr>
            <w:r w:rsidRPr="00CE0EB4">
              <w:rPr>
                <w:b/>
              </w:rPr>
              <w:t>Prepreg</w:t>
            </w:r>
          </w:p>
          <w:p w14:paraId="5E572106" w14:textId="77777777" w:rsidR="00707D23" w:rsidRDefault="00707D23" w:rsidP="00707D23">
            <w:pPr>
              <w:spacing w:line="240" w:lineRule="auto"/>
              <w:ind w:left="113" w:right="113"/>
              <w:jc w:val="center"/>
            </w:pPr>
            <w:r w:rsidRPr="00CE0EB4">
              <w:rPr>
                <w:b/>
              </w:rPr>
              <w:t>Humidity Exposure</w:t>
            </w:r>
          </w:p>
        </w:tc>
        <w:tc>
          <w:tcPr>
            <w:tcW w:w="1152" w:type="dxa"/>
            <w:tcBorders>
              <w:right w:val="single" w:sz="4" w:space="0" w:color="auto"/>
            </w:tcBorders>
            <w:vAlign w:val="center"/>
          </w:tcPr>
          <w:p w14:paraId="4F9AB97F" w14:textId="77777777" w:rsidR="00707D23" w:rsidRPr="00CE0EB4" w:rsidRDefault="00707D23" w:rsidP="00707D23">
            <w:pPr>
              <w:spacing w:line="240" w:lineRule="auto"/>
              <w:jc w:val="center"/>
              <w:rPr>
                <w:i/>
              </w:rPr>
            </w:pPr>
            <w:r w:rsidRPr="00CE0EB4">
              <w:rPr>
                <w:i/>
              </w:rPr>
              <w:t>2% RH</w:t>
            </w:r>
          </w:p>
        </w:tc>
        <w:tc>
          <w:tcPr>
            <w:tcW w:w="1080" w:type="dxa"/>
            <w:tcBorders>
              <w:top w:val="single" w:sz="4" w:space="0" w:color="auto"/>
              <w:left w:val="single" w:sz="4" w:space="0" w:color="auto"/>
            </w:tcBorders>
            <w:shd w:val="clear" w:color="auto" w:fill="B8CCE4" w:themeFill="accent1" w:themeFillTint="66"/>
            <w:vAlign w:val="center"/>
          </w:tcPr>
          <w:p w14:paraId="7DCB2090" w14:textId="1DAD3CE6" w:rsidR="00707D23" w:rsidRDefault="00707D23" w:rsidP="00707D23">
            <w:pPr>
              <w:spacing w:line="240" w:lineRule="auto"/>
              <w:jc w:val="center"/>
            </w:pPr>
            <w:r>
              <w:t>0.59</w:t>
            </w:r>
          </w:p>
        </w:tc>
        <w:tc>
          <w:tcPr>
            <w:tcW w:w="1080" w:type="dxa"/>
            <w:tcBorders>
              <w:top w:val="single" w:sz="4" w:space="0" w:color="auto"/>
            </w:tcBorders>
            <w:shd w:val="clear" w:color="auto" w:fill="B8CCE4" w:themeFill="accent1" w:themeFillTint="66"/>
            <w:vAlign w:val="center"/>
          </w:tcPr>
          <w:p w14:paraId="74AD35F0" w14:textId="7A23A210" w:rsidR="00707D23" w:rsidRDefault="007D51A4" w:rsidP="00707D23">
            <w:pPr>
              <w:spacing w:line="240" w:lineRule="auto"/>
              <w:jc w:val="center"/>
            </w:pPr>
            <w:r>
              <w:t>0.47</w:t>
            </w:r>
          </w:p>
        </w:tc>
        <w:tc>
          <w:tcPr>
            <w:tcW w:w="1080" w:type="dxa"/>
            <w:tcBorders>
              <w:top w:val="single" w:sz="4" w:space="0" w:color="auto"/>
            </w:tcBorders>
            <w:shd w:val="clear" w:color="auto" w:fill="B8CCE4" w:themeFill="accent1" w:themeFillTint="66"/>
            <w:vAlign w:val="center"/>
          </w:tcPr>
          <w:p w14:paraId="33FB1B52" w14:textId="66303E3B" w:rsidR="00707D23" w:rsidRDefault="007D51A4" w:rsidP="00707D23">
            <w:pPr>
              <w:spacing w:line="240" w:lineRule="auto"/>
              <w:jc w:val="center"/>
            </w:pPr>
            <w:r>
              <w:t>0.51</w:t>
            </w:r>
          </w:p>
        </w:tc>
        <w:tc>
          <w:tcPr>
            <w:tcW w:w="1080" w:type="dxa"/>
            <w:tcBorders>
              <w:top w:val="single" w:sz="4" w:space="0" w:color="auto"/>
              <w:right w:val="single" w:sz="4" w:space="0" w:color="auto"/>
            </w:tcBorders>
            <w:shd w:val="clear" w:color="auto" w:fill="B8CCE4" w:themeFill="accent1" w:themeFillTint="66"/>
            <w:vAlign w:val="center"/>
          </w:tcPr>
          <w:p w14:paraId="4353D841" w14:textId="44FB5ECE" w:rsidR="00707D23" w:rsidRDefault="007D51A4" w:rsidP="00707D23">
            <w:pPr>
              <w:spacing w:line="240" w:lineRule="auto"/>
              <w:jc w:val="center"/>
            </w:pPr>
            <w:r>
              <w:t>0.42</w:t>
            </w:r>
          </w:p>
        </w:tc>
      </w:tr>
      <w:tr w:rsidR="00707D23" w14:paraId="54F3EB04" w14:textId="77777777" w:rsidTr="00707D23">
        <w:trPr>
          <w:trHeight w:val="360"/>
          <w:jc w:val="center"/>
        </w:trPr>
        <w:tc>
          <w:tcPr>
            <w:tcW w:w="1080" w:type="dxa"/>
            <w:vMerge/>
          </w:tcPr>
          <w:p w14:paraId="372C50C5" w14:textId="77777777" w:rsidR="00707D23" w:rsidRDefault="00707D23" w:rsidP="00707D23">
            <w:pPr>
              <w:spacing w:line="240" w:lineRule="auto"/>
              <w:jc w:val="center"/>
            </w:pPr>
          </w:p>
        </w:tc>
        <w:tc>
          <w:tcPr>
            <w:tcW w:w="1152" w:type="dxa"/>
            <w:tcBorders>
              <w:right w:val="single" w:sz="4" w:space="0" w:color="auto"/>
            </w:tcBorders>
            <w:vAlign w:val="center"/>
          </w:tcPr>
          <w:p w14:paraId="3A237960" w14:textId="77777777" w:rsidR="00707D23" w:rsidRPr="00CE0EB4" w:rsidRDefault="00707D23" w:rsidP="00707D23">
            <w:pPr>
              <w:spacing w:line="240" w:lineRule="auto"/>
              <w:jc w:val="center"/>
              <w:rPr>
                <w:i/>
              </w:rPr>
            </w:pPr>
            <w:r w:rsidRPr="00CE0EB4">
              <w:rPr>
                <w:i/>
              </w:rPr>
              <w:t>40% RH</w:t>
            </w:r>
          </w:p>
        </w:tc>
        <w:tc>
          <w:tcPr>
            <w:tcW w:w="1080" w:type="dxa"/>
            <w:tcBorders>
              <w:left w:val="single" w:sz="4" w:space="0" w:color="auto"/>
            </w:tcBorders>
            <w:shd w:val="clear" w:color="auto" w:fill="E5B8B7" w:themeFill="accent2" w:themeFillTint="66"/>
            <w:vAlign w:val="center"/>
          </w:tcPr>
          <w:p w14:paraId="7DF42041" w14:textId="476563FC" w:rsidR="00707D23" w:rsidRDefault="007D51A4" w:rsidP="00707D23">
            <w:pPr>
              <w:spacing w:line="240" w:lineRule="auto"/>
              <w:jc w:val="center"/>
            </w:pPr>
            <w:r>
              <w:t>0.76</w:t>
            </w:r>
          </w:p>
        </w:tc>
        <w:tc>
          <w:tcPr>
            <w:tcW w:w="1080" w:type="dxa"/>
            <w:shd w:val="clear" w:color="auto" w:fill="E5B8B7" w:themeFill="accent2" w:themeFillTint="66"/>
            <w:vAlign w:val="center"/>
          </w:tcPr>
          <w:p w14:paraId="1986494A" w14:textId="440D317B" w:rsidR="00707D23" w:rsidRDefault="007D51A4" w:rsidP="00707D23">
            <w:pPr>
              <w:spacing w:line="240" w:lineRule="auto"/>
              <w:jc w:val="center"/>
            </w:pPr>
            <w:r>
              <w:t>0.57</w:t>
            </w:r>
          </w:p>
        </w:tc>
        <w:tc>
          <w:tcPr>
            <w:tcW w:w="1080" w:type="dxa"/>
            <w:shd w:val="clear" w:color="auto" w:fill="E5B8B7" w:themeFill="accent2" w:themeFillTint="66"/>
            <w:vAlign w:val="center"/>
          </w:tcPr>
          <w:p w14:paraId="4FB6501B" w14:textId="63D04894" w:rsidR="00707D23" w:rsidRDefault="007D51A4" w:rsidP="00707D23">
            <w:pPr>
              <w:spacing w:line="240" w:lineRule="auto"/>
              <w:jc w:val="center"/>
            </w:pPr>
            <w:r>
              <w:t>0.54</w:t>
            </w:r>
          </w:p>
        </w:tc>
        <w:tc>
          <w:tcPr>
            <w:tcW w:w="1080" w:type="dxa"/>
            <w:tcBorders>
              <w:right w:val="single" w:sz="4" w:space="0" w:color="auto"/>
            </w:tcBorders>
            <w:shd w:val="clear" w:color="auto" w:fill="E5B8B7" w:themeFill="accent2" w:themeFillTint="66"/>
            <w:vAlign w:val="center"/>
          </w:tcPr>
          <w:p w14:paraId="202C0CCD" w14:textId="7A70EF15" w:rsidR="00707D23" w:rsidRDefault="007D51A4" w:rsidP="00707D23">
            <w:pPr>
              <w:spacing w:line="240" w:lineRule="auto"/>
              <w:jc w:val="center"/>
            </w:pPr>
            <w:r>
              <w:t>0.59</w:t>
            </w:r>
          </w:p>
        </w:tc>
      </w:tr>
      <w:tr w:rsidR="00707D23" w14:paraId="29D1712B" w14:textId="77777777" w:rsidTr="00707D23">
        <w:trPr>
          <w:trHeight w:val="360"/>
          <w:jc w:val="center"/>
        </w:trPr>
        <w:tc>
          <w:tcPr>
            <w:tcW w:w="1080" w:type="dxa"/>
            <w:vMerge/>
          </w:tcPr>
          <w:p w14:paraId="2C8BCA6D" w14:textId="77777777" w:rsidR="00707D23" w:rsidRDefault="00707D23" w:rsidP="00707D23">
            <w:pPr>
              <w:spacing w:line="240" w:lineRule="auto"/>
              <w:jc w:val="center"/>
            </w:pPr>
          </w:p>
        </w:tc>
        <w:tc>
          <w:tcPr>
            <w:tcW w:w="1152" w:type="dxa"/>
            <w:tcBorders>
              <w:right w:val="single" w:sz="4" w:space="0" w:color="auto"/>
            </w:tcBorders>
            <w:vAlign w:val="center"/>
          </w:tcPr>
          <w:p w14:paraId="09E18680" w14:textId="77777777" w:rsidR="00707D23" w:rsidRPr="00CE0EB4" w:rsidRDefault="00707D23" w:rsidP="00707D23">
            <w:pPr>
              <w:spacing w:line="240" w:lineRule="auto"/>
              <w:jc w:val="center"/>
              <w:rPr>
                <w:i/>
              </w:rPr>
            </w:pPr>
            <w:r w:rsidRPr="00CE0EB4">
              <w:rPr>
                <w:i/>
              </w:rPr>
              <w:t>70% RH</w:t>
            </w:r>
          </w:p>
        </w:tc>
        <w:tc>
          <w:tcPr>
            <w:tcW w:w="1080" w:type="dxa"/>
            <w:tcBorders>
              <w:left w:val="single" w:sz="4" w:space="0" w:color="auto"/>
            </w:tcBorders>
            <w:shd w:val="clear" w:color="auto" w:fill="D6E3BC" w:themeFill="accent3" w:themeFillTint="66"/>
            <w:vAlign w:val="center"/>
          </w:tcPr>
          <w:p w14:paraId="2BF19A3E" w14:textId="17B9A326" w:rsidR="00707D23" w:rsidRDefault="007D51A4" w:rsidP="00707D23">
            <w:pPr>
              <w:spacing w:line="240" w:lineRule="auto"/>
              <w:jc w:val="center"/>
            </w:pPr>
            <w:r>
              <w:t>1.04</w:t>
            </w:r>
          </w:p>
        </w:tc>
        <w:tc>
          <w:tcPr>
            <w:tcW w:w="1080" w:type="dxa"/>
            <w:shd w:val="clear" w:color="auto" w:fill="D6E3BC" w:themeFill="accent3" w:themeFillTint="66"/>
            <w:vAlign w:val="center"/>
          </w:tcPr>
          <w:p w14:paraId="6EB709C6" w14:textId="4930044A" w:rsidR="00707D23" w:rsidRDefault="007D51A4" w:rsidP="00707D23">
            <w:pPr>
              <w:spacing w:line="240" w:lineRule="auto"/>
              <w:jc w:val="center"/>
            </w:pPr>
            <w:r>
              <w:t>0.72</w:t>
            </w:r>
          </w:p>
        </w:tc>
        <w:tc>
          <w:tcPr>
            <w:tcW w:w="1080" w:type="dxa"/>
            <w:shd w:val="clear" w:color="auto" w:fill="D6E3BC" w:themeFill="accent3" w:themeFillTint="66"/>
            <w:vAlign w:val="center"/>
          </w:tcPr>
          <w:p w14:paraId="7EFED52E" w14:textId="487D4C3A" w:rsidR="00707D23" w:rsidRDefault="007D51A4" w:rsidP="00707D23">
            <w:pPr>
              <w:spacing w:line="240" w:lineRule="auto"/>
              <w:jc w:val="center"/>
            </w:pPr>
            <w:r>
              <w:t>0.72</w:t>
            </w:r>
          </w:p>
        </w:tc>
        <w:tc>
          <w:tcPr>
            <w:tcW w:w="1080" w:type="dxa"/>
            <w:tcBorders>
              <w:right w:val="single" w:sz="4" w:space="0" w:color="auto"/>
            </w:tcBorders>
            <w:shd w:val="clear" w:color="auto" w:fill="D6E3BC" w:themeFill="accent3" w:themeFillTint="66"/>
            <w:vAlign w:val="center"/>
          </w:tcPr>
          <w:p w14:paraId="1145476A" w14:textId="5990E832" w:rsidR="00707D23" w:rsidRDefault="007D51A4" w:rsidP="00707D23">
            <w:pPr>
              <w:spacing w:line="240" w:lineRule="auto"/>
              <w:jc w:val="center"/>
            </w:pPr>
            <w:r>
              <w:t>0.71</w:t>
            </w:r>
          </w:p>
        </w:tc>
      </w:tr>
      <w:tr w:rsidR="00707D23" w14:paraId="1444CD79" w14:textId="77777777" w:rsidTr="00707D23">
        <w:trPr>
          <w:trHeight w:val="360"/>
          <w:jc w:val="center"/>
        </w:trPr>
        <w:tc>
          <w:tcPr>
            <w:tcW w:w="1080" w:type="dxa"/>
            <w:vMerge/>
          </w:tcPr>
          <w:p w14:paraId="62EF5948" w14:textId="77777777" w:rsidR="00707D23" w:rsidRDefault="00707D23" w:rsidP="00707D23">
            <w:pPr>
              <w:spacing w:line="240" w:lineRule="auto"/>
              <w:jc w:val="center"/>
            </w:pPr>
          </w:p>
        </w:tc>
        <w:tc>
          <w:tcPr>
            <w:tcW w:w="1152" w:type="dxa"/>
            <w:tcBorders>
              <w:right w:val="single" w:sz="4" w:space="0" w:color="auto"/>
            </w:tcBorders>
            <w:vAlign w:val="center"/>
          </w:tcPr>
          <w:p w14:paraId="1341171F" w14:textId="77777777" w:rsidR="00707D23" w:rsidRPr="00CE0EB4" w:rsidRDefault="00707D23" w:rsidP="00707D23">
            <w:pPr>
              <w:spacing w:line="240" w:lineRule="auto"/>
              <w:jc w:val="center"/>
              <w:rPr>
                <w:i/>
              </w:rPr>
            </w:pPr>
            <w:r w:rsidRPr="00CE0EB4">
              <w:rPr>
                <w:i/>
              </w:rPr>
              <w:t>99% RH</w:t>
            </w:r>
          </w:p>
        </w:tc>
        <w:tc>
          <w:tcPr>
            <w:tcW w:w="1080" w:type="dxa"/>
            <w:tcBorders>
              <w:left w:val="single" w:sz="4" w:space="0" w:color="auto"/>
              <w:bottom w:val="single" w:sz="4" w:space="0" w:color="auto"/>
            </w:tcBorders>
            <w:shd w:val="clear" w:color="auto" w:fill="CCC0D9" w:themeFill="accent4" w:themeFillTint="66"/>
            <w:vAlign w:val="center"/>
          </w:tcPr>
          <w:p w14:paraId="4320AC52" w14:textId="47B4B229" w:rsidR="00707D23" w:rsidRDefault="007D51A4" w:rsidP="00707D23">
            <w:pPr>
              <w:spacing w:line="240" w:lineRule="auto"/>
              <w:jc w:val="center"/>
            </w:pPr>
            <w:r>
              <w:t>1.32</w:t>
            </w:r>
          </w:p>
        </w:tc>
        <w:tc>
          <w:tcPr>
            <w:tcW w:w="1080" w:type="dxa"/>
            <w:tcBorders>
              <w:bottom w:val="single" w:sz="4" w:space="0" w:color="auto"/>
            </w:tcBorders>
            <w:shd w:val="clear" w:color="auto" w:fill="CCC0D9" w:themeFill="accent4" w:themeFillTint="66"/>
            <w:vAlign w:val="center"/>
          </w:tcPr>
          <w:p w14:paraId="577F9822" w14:textId="52216518" w:rsidR="00707D23" w:rsidRDefault="007D51A4" w:rsidP="00707D23">
            <w:pPr>
              <w:spacing w:line="240" w:lineRule="auto"/>
              <w:jc w:val="center"/>
            </w:pPr>
            <w:r>
              <w:t>1.05</w:t>
            </w:r>
          </w:p>
        </w:tc>
        <w:tc>
          <w:tcPr>
            <w:tcW w:w="1080" w:type="dxa"/>
            <w:tcBorders>
              <w:bottom w:val="single" w:sz="4" w:space="0" w:color="auto"/>
            </w:tcBorders>
            <w:shd w:val="clear" w:color="auto" w:fill="CCC0D9" w:themeFill="accent4" w:themeFillTint="66"/>
            <w:vAlign w:val="center"/>
          </w:tcPr>
          <w:p w14:paraId="54FC4217" w14:textId="09E22D95" w:rsidR="00707D23" w:rsidRDefault="007D51A4" w:rsidP="00707D23">
            <w:pPr>
              <w:spacing w:line="240" w:lineRule="auto"/>
              <w:jc w:val="center"/>
            </w:pPr>
            <w:r>
              <w:t>1.00</w:t>
            </w:r>
          </w:p>
        </w:tc>
        <w:tc>
          <w:tcPr>
            <w:tcW w:w="1080" w:type="dxa"/>
            <w:tcBorders>
              <w:bottom w:val="single" w:sz="4" w:space="0" w:color="auto"/>
              <w:right w:val="single" w:sz="4" w:space="0" w:color="auto"/>
            </w:tcBorders>
            <w:shd w:val="clear" w:color="auto" w:fill="CCC0D9" w:themeFill="accent4" w:themeFillTint="66"/>
            <w:vAlign w:val="center"/>
          </w:tcPr>
          <w:p w14:paraId="6C806237" w14:textId="2728B1D6" w:rsidR="00707D23" w:rsidRDefault="007D51A4" w:rsidP="00707D23">
            <w:pPr>
              <w:spacing w:line="240" w:lineRule="auto"/>
              <w:jc w:val="center"/>
            </w:pPr>
            <w:r>
              <w:t>1.13</w:t>
            </w:r>
          </w:p>
        </w:tc>
      </w:tr>
    </w:tbl>
    <w:p w14:paraId="65DB51C0" w14:textId="26610CB2" w:rsidR="00B7360B" w:rsidRDefault="00B7360B" w:rsidP="00B7360B">
      <w:pPr>
        <w:pStyle w:val="Heading3"/>
      </w:pPr>
      <w:bookmarkStart w:id="243" w:name="_Ref344552704"/>
      <w:bookmarkStart w:id="244" w:name="_Toc346311016"/>
      <w:r>
        <w:t>Carbon/Epoxy</w:t>
      </w:r>
      <w:r w:rsidRPr="00D504C1">
        <w:t xml:space="preserve"> </w:t>
      </w:r>
      <w:r w:rsidR="00F766D9">
        <w:t xml:space="preserve">(IM7/EX-1522) </w:t>
      </w:r>
      <w:r w:rsidR="00F766D9" w:rsidRPr="00D504C1">
        <w:t>Absorption</w:t>
      </w:r>
      <w:r w:rsidR="00F766D9">
        <w:t xml:space="preserve"> Model and Equilibrium Fluid Content</w:t>
      </w:r>
      <w:bookmarkEnd w:id="243"/>
      <w:bookmarkEnd w:id="244"/>
    </w:p>
    <w:p w14:paraId="7430C07C" w14:textId="3D6CD794" w:rsidR="00F766D9" w:rsidRDefault="00264667" w:rsidP="00AA496D">
      <w:pPr>
        <w:ind w:firstLine="360"/>
      </w:pPr>
      <w:r>
        <w:t xml:space="preserve">The hindered diffusion absorption prediction </w:t>
      </w:r>
      <w:r w:rsidR="00F766D9">
        <w:t>and</w:t>
      </w:r>
      <w:r>
        <w:t xml:space="preserve"> experimental </w:t>
      </w:r>
      <w:r w:rsidR="00F766D9">
        <w:t>mass gain data for carbon/e</w:t>
      </w:r>
      <w:r>
        <w:t>poxy laminates is shown in</w:t>
      </w:r>
      <w:r w:rsidR="00F766D9">
        <w:t xml:space="preserve"> </w:t>
      </w:r>
      <w:r w:rsidR="00F766D9">
        <w:fldChar w:fldCharType="begin"/>
      </w:r>
      <w:r w:rsidR="00F766D9">
        <w:instrText xml:space="preserve"> REF _Ref344544628 \h </w:instrText>
      </w:r>
      <w:r w:rsidR="00F766D9">
        <w:fldChar w:fldCharType="separate"/>
      </w:r>
      <w:r w:rsidR="008A1992" w:rsidRPr="000F52EA">
        <w:t xml:space="preserve">Figure </w:t>
      </w:r>
      <w:r w:rsidR="008A1992">
        <w:rPr>
          <w:noProof/>
        </w:rPr>
        <w:t>5</w:t>
      </w:r>
      <w:r w:rsidR="008A1992">
        <w:t>.</w:t>
      </w:r>
      <w:r w:rsidR="008A1992">
        <w:rPr>
          <w:noProof/>
        </w:rPr>
        <w:t>7</w:t>
      </w:r>
      <w:r w:rsidR="00F766D9">
        <w:fldChar w:fldCharType="end"/>
      </w:r>
      <w:r>
        <w:t xml:space="preserve">. </w:t>
      </w:r>
      <w:r w:rsidR="00F766D9">
        <w:t xml:space="preserve"> The equilibrium fluid contents associated with the model fits for carbon/epoxy laminates are provided in </w:t>
      </w:r>
      <w:r w:rsidR="00F766D9">
        <w:fldChar w:fldCharType="begin"/>
      </w:r>
      <w:r w:rsidR="00F766D9">
        <w:instrText xml:space="preserve"> REF _Ref344544705 \h </w:instrText>
      </w:r>
      <w:r w:rsidR="00F766D9">
        <w:fldChar w:fldCharType="separate"/>
      </w:r>
      <w:r w:rsidR="008A1992" w:rsidRPr="00707D23">
        <w:t xml:space="preserve">Table </w:t>
      </w:r>
      <w:r w:rsidR="008A1992">
        <w:rPr>
          <w:noProof/>
        </w:rPr>
        <w:t>5</w:t>
      </w:r>
      <w:r w:rsidR="008A1992" w:rsidRPr="00707D23">
        <w:t>.</w:t>
      </w:r>
      <w:r w:rsidR="008A1992">
        <w:rPr>
          <w:noProof/>
        </w:rPr>
        <w:t>3</w:t>
      </w:r>
      <w:r w:rsidR="00F766D9">
        <w:fldChar w:fldCharType="end"/>
      </w:r>
      <w:r w:rsidR="00F766D9">
        <w:t xml:space="preserve">.  </w:t>
      </w:r>
      <w:r w:rsidR="00B8791C">
        <w:t>The equilibrium fluid content reduced slightly a</w:t>
      </w:r>
      <w:r w:rsidR="00AA496D">
        <w:t xml:space="preserve">s </w:t>
      </w:r>
      <w:r w:rsidR="00B8791C">
        <w:t xml:space="preserve">the </w:t>
      </w:r>
      <w:r w:rsidR="00AA496D">
        <w:t xml:space="preserve">fabrication </w:t>
      </w:r>
      <w:r w:rsidR="00B8791C">
        <w:t xml:space="preserve">pressure increased.  For several prepreg conditioning treatments and fabrication pressures, the experimental mass gain data for carbon/epoxy laminates have not appeared to approach saturation after 18 months of contamination. </w:t>
      </w:r>
      <w:r w:rsidR="00687563">
        <w:t xml:space="preserve"> </w:t>
      </w:r>
      <w:r w:rsidR="00ED7E49">
        <w:t xml:space="preserve">One limitation of the hindered diffusion model approach is that pseudo-equilibrium (i.e. first stage absorption complete with continuing gradual absorption) must be achieved to validate the absorption parameters.  </w:t>
      </w:r>
      <w:r w:rsidR="00687563">
        <w:t xml:space="preserve">Thus, accurately determining the equilibrium fluid content proved troublesome for several specimen series.  </w:t>
      </w:r>
      <w:r w:rsidR="00ED7E49">
        <w:t xml:space="preserve">Therefore, </w:t>
      </w:r>
      <w:r w:rsidR="00687563">
        <w:t xml:space="preserve">additional exposure time is required in order to conclusively determine the extent of damage (i.e. equilibrium </w:t>
      </w:r>
      <w:r w:rsidR="005869CC">
        <w:t>fluid</w:t>
      </w:r>
      <w:r w:rsidR="00687563">
        <w:t xml:space="preserve"> content) for carbon/epoxy laminates.</w:t>
      </w:r>
    </w:p>
    <w:p w14:paraId="6789F54E" w14:textId="77777777" w:rsidR="000F52EA" w:rsidRDefault="009972E5" w:rsidP="000F52EA">
      <w:pPr>
        <w:keepNext/>
        <w:jc w:val="center"/>
      </w:pPr>
      <w:r>
        <w:rPr>
          <w:noProof/>
        </w:rPr>
        <mc:AlternateContent>
          <mc:Choice Requires="wpg">
            <w:drawing>
              <wp:inline distT="0" distB="0" distL="0" distR="0" wp14:anchorId="1E0EBAC4" wp14:editId="361FBFE1">
                <wp:extent cx="5389893" cy="5486400"/>
                <wp:effectExtent l="0" t="0" r="0" b="0"/>
                <wp:docPr id="316" name="Group 5"/>
                <wp:cNvGraphicFramePr/>
                <a:graphic xmlns:a="http://schemas.openxmlformats.org/drawingml/2006/main">
                  <a:graphicData uri="http://schemas.microsoft.com/office/word/2010/wordprocessingGroup">
                    <wpg:wgp>
                      <wpg:cNvGrpSpPr/>
                      <wpg:grpSpPr>
                        <a:xfrm>
                          <a:off x="0" y="0"/>
                          <a:ext cx="5389893" cy="5486400"/>
                          <a:chOff x="0" y="0"/>
                          <a:chExt cx="5389893" cy="5486400"/>
                        </a:xfrm>
                      </wpg:grpSpPr>
                      <wpg:graphicFrame>
                        <wpg:cNvPr id="317" name="Chart 317"/>
                        <wpg:cNvFrPr>
                          <a:graphicFrameLocks/>
                        </wpg:cNvFrPr>
                        <wpg:xfrm>
                          <a:off x="0" y="0"/>
                          <a:ext cx="2697480" cy="2743200"/>
                        </wpg:xfrm>
                        <a:graphic>
                          <a:graphicData uri="http://schemas.openxmlformats.org/drawingml/2006/chart">
                            <c:chart xmlns:c="http://schemas.openxmlformats.org/drawingml/2006/chart" xmlns:r="http://schemas.openxmlformats.org/officeDocument/2006/relationships" r:id="rId140"/>
                          </a:graphicData>
                        </a:graphic>
                      </wpg:graphicFrame>
                      <wpg:graphicFrame>
                        <wpg:cNvPr id="318" name="Chart 318"/>
                        <wpg:cNvFrPr>
                          <a:graphicFrameLocks/>
                        </wpg:cNvFrPr>
                        <wpg:xfrm>
                          <a:off x="2692413" y="0"/>
                          <a:ext cx="2697480" cy="2743200"/>
                        </wpg:xfrm>
                        <a:graphic>
                          <a:graphicData uri="http://schemas.openxmlformats.org/drawingml/2006/chart">
                            <c:chart xmlns:c="http://schemas.openxmlformats.org/drawingml/2006/chart" xmlns:r="http://schemas.openxmlformats.org/officeDocument/2006/relationships" r:id="rId141"/>
                          </a:graphicData>
                        </a:graphic>
                      </wpg:graphicFrame>
                      <wpg:graphicFrame>
                        <wpg:cNvPr id="319" name="Chart 319"/>
                        <wpg:cNvFrPr>
                          <a:graphicFrameLocks/>
                        </wpg:cNvFrPr>
                        <wpg:xfrm>
                          <a:off x="0" y="2743200"/>
                          <a:ext cx="2697480" cy="2743200"/>
                        </wpg:xfrm>
                        <a:graphic>
                          <a:graphicData uri="http://schemas.openxmlformats.org/drawingml/2006/chart">
                            <c:chart xmlns:c="http://schemas.openxmlformats.org/drawingml/2006/chart" xmlns:r="http://schemas.openxmlformats.org/officeDocument/2006/relationships" r:id="rId142"/>
                          </a:graphicData>
                        </a:graphic>
                      </wpg:graphicFrame>
                      <wpg:graphicFrame>
                        <wpg:cNvPr id="320" name="Chart 320"/>
                        <wpg:cNvFrPr>
                          <a:graphicFrameLocks/>
                        </wpg:cNvFrPr>
                        <wpg:xfrm>
                          <a:off x="2692413" y="2743200"/>
                          <a:ext cx="2697480" cy="2743200"/>
                        </wpg:xfrm>
                        <a:graphic>
                          <a:graphicData uri="http://schemas.openxmlformats.org/drawingml/2006/chart">
                            <c:chart xmlns:c="http://schemas.openxmlformats.org/drawingml/2006/chart" xmlns:r="http://schemas.openxmlformats.org/officeDocument/2006/relationships" r:id="rId143"/>
                          </a:graphicData>
                        </a:graphic>
                      </wpg:graphicFrame>
                    </wpg:wgp>
                  </a:graphicData>
                </a:graphic>
              </wp:inline>
            </w:drawing>
          </mc:Choice>
          <mc:Fallback xmlns:w15="http://schemas.microsoft.com/office/word/2012/wordml">
            <w:pict>
              <v:group w14:anchorId="3EA52BBD" id="Group 5" o:spid="_x0000_s1026" style="width:424.4pt;height:6in;mso-position-horizontal-relative:char;mso-position-vertical-relative:line" coordsize="53898,54864" o:gfxdata="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">
                <v:shape id="Chart 317" o:spid="_x0000_s1027" type="#_x0000_t75" style="position:absolute;width:27005;height:27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">
                  <v:imagedata r:id="rId144" o:title=""/>
                  <o:lock v:ext="edit" aspectratio="f"/>
                </v:shape>
                <v:shape id="Chart 318" o:spid="_x0000_s1028" type="#_x0000_t75" style="position:absolute;left:26883;width:27066;height:27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">
                  <v:imagedata r:id="rId145" o:title=""/>
                  <o:lock v:ext="edit" aspectratio="f"/>
                </v:shape>
                <v:shape id="Chart 319" o:spid="_x0000_s1029" type="#_x0000_t75" style="position:absolute;top:27432;width:27005;height:27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">
                  <v:imagedata r:id="rId146" o:title=""/>
                  <o:lock v:ext="edit" aspectratio="f"/>
                </v:shape>
                <v:shape id="Chart 320" o:spid="_x0000_s1030" type="#_x0000_t75" style="position:absolute;left:26883;top:27432;width:27066;height:27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">
                  <v:imagedata r:id="rId147" o:title=""/>
                  <o:lock v:ext="edit" aspectratio="f"/>
                </v:shape>
                <w10:anchorlock/>
              </v:group>
            </w:pict>
          </mc:Fallback>
        </mc:AlternateContent>
      </w:r>
    </w:p>
    <w:p w14:paraId="4A814B42" w14:textId="56A73039" w:rsidR="00852CC3" w:rsidRDefault="000F52EA" w:rsidP="000F52EA">
      <w:pPr>
        <w:pStyle w:val="Caption"/>
        <w:spacing w:line="240" w:lineRule="auto"/>
        <w:jc w:val="center"/>
        <w:rPr>
          <w:sz w:val="24"/>
          <w:szCs w:val="24"/>
        </w:rPr>
      </w:pPr>
      <w:bookmarkStart w:id="245" w:name="_Ref344544628"/>
      <w:bookmarkStart w:id="246" w:name="_Toc346310446"/>
      <w:proofErr w:type="gramStart"/>
      <w:r w:rsidRPr="000F52EA">
        <w:rPr>
          <w:sz w:val="24"/>
          <w:szCs w:val="24"/>
        </w:rPr>
        <w:t xml:space="preserve">Figure </w:t>
      </w:r>
      <w:r w:rsidR="00C16D85">
        <w:rPr>
          <w:sz w:val="24"/>
          <w:szCs w:val="24"/>
        </w:rPr>
        <w:fldChar w:fldCharType="begin"/>
      </w:r>
      <w:r w:rsidR="00C16D85">
        <w:rPr>
          <w:sz w:val="24"/>
          <w:szCs w:val="24"/>
        </w:rPr>
        <w:instrText xml:space="preserve"> STYLEREF 1 \s </w:instrText>
      </w:r>
      <w:r w:rsidR="00C16D85">
        <w:rPr>
          <w:sz w:val="24"/>
          <w:szCs w:val="24"/>
        </w:rPr>
        <w:fldChar w:fldCharType="separate"/>
      </w:r>
      <w:r w:rsidR="008A1992">
        <w:rPr>
          <w:noProof/>
          <w:sz w:val="24"/>
          <w:szCs w:val="24"/>
        </w:rPr>
        <w:t>5</w:t>
      </w:r>
      <w:r w:rsidR="00C16D85">
        <w:rPr>
          <w:sz w:val="24"/>
          <w:szCs w:val="24"/>
        </w:rPr>
        <w:fldChar w:fldCharType="end"/>
      </w:r>
      <w:r w:rsidR="00C16D85">
        <w:rPr>
          <w:sz w:val="24"/>
          <w:szCs w:val="24"/>
        </w:rPr>
        <w:t>.</w:t>
      </w:r>
      <w:proofErr w:type="gramEnd"/>
      <w:r w:rsidR="00C16D85">
        <w:rPr>
          <w:sz w:val="24"/>
          <w:szCs w:val="24"/>
        </w:rPr>
        <w:fldChar w:fldCharType="begin"/>
      </w:r>
      <w:r w:rsidR="00C16D85">
        <w:rPr>
          <w:sz w:val="24"/>
          <w:szCs w:val="24"/>
        </w:rPr>
        <w:instrText xml:space="preserve"> SEQ Figure \* ARABIC \s 1 </w:instrText>
      </w:r>
      <w:r w:rsidR="00C16D85">
        <w:rPr>
          <w:sz w:val="24"/>
          <w:szCs w:val="24"/>
        </w:rPr>
        <w:fldChar w:fldCharType="separate"/>
      </w:r>
      <w:r w:rsidR="008A1992">
        <w:rPr>
          <w:noProof/>
          <w:sz w:val="24"/>
          <w:szCs w:val="24"/>
        </w:rPr>
        <w:t>7</w:t>
      </w:r>
      <w:r w:rsidR="00C16D85">
        <w:rPr>
          <w:sz w:val="24"/>
          <w:szCs w:val="24"/>
        </w:rPr>
        <w:fldChar w:fldCharType="end"/>
      </w:r>
      <w:bookmarkEnd w:id="245"/>
      <w:r w:rsidRPr="000F52EA">
        <w:rPr>
          <w:sz w:val="24"/>
          <w:szCs w:val="24"/>
        </w:rPr>
        <w:t xml:space="preserve"> Five-year hindered diffusion model prediction for conditioned IM7/EX-1522 prepregs cured at fabrication pressures of (a) 69 kPa, (b) 207 kPa, (c) 345 kPa, </w:t>
      </w:r>
      <w:proofErr w:type="gramStart"/>
      <w:r w:rsidRPr="000F52EA">
        <w:rPr>
          <w:sz w:val="24"/>
          <w:szCs w:val="24"/>
        </w:rPr>
        <w:t>(d) 483 kPa</w:t>
      </w:r>
      <w:bookmarkEnd w:id="246"/>
      <w:proofErr w:type="gramEnd"/>
    </w:p>
    <w:p w14:paraId="52B67FF4" w14:textId="77777777" w:rsidR="000F52EA" w:rsidRPr="000F52EA" w:rsidRDefault="000F52EA" w:rsidP="000F52EA"/>
    <w:p w14:paraId="1857E87A" w14:textId="61F89BBE" w:rsidR="00837CB4" w:rsidRPr="00707D23" w:rsidRDefault="00837CB4" w:rsidP="00837CB4">
      <w:pPr>
        <w:pStyle w:val="Caption"/>
        <w:keepNext/>
        <w:spacing w:after="120" w:line="240" w:lineRule="auto"/>
        <w:jc w:val="center"/>
        <w:rPr>
          <w:sz w:val="24"/>
        </w:rPr>
      </w:pPr>
      <w:bookmarkStart w:id="247" w:name="_Ref344544705"/>
      <w:bookmarkStart w:id="248" w:name="_Toc346310858"/>
      <w:proofErr w:type="gramStart"/>
      <w:r w:rsidRPr="00707D23">
        <w:rPr>
          <w:sz w:val="24"/>
        </w:rPr>
        <w:t xml:space="preserve">Table </w:t>
      </w:r>
      <w:r w:rsidRPr="00707D23">
        <w:rPr>
          <w:sz w:val="24"/>
        </w:rPr>
        <w:fldChar w:fldCharType="begin"/>
      </w:r>
      <w:r w:rsidRPr="00707D23">
        <w:rPr>
          <w:sz w:val="24"/>
        </w:rPr>
        <w:instrText xml:space="preserve"> STYLEREF 1 \s </w:instrText>
      </w:r>
      <w:r w:rsidRPr="00707D23">
        <w:rPr>
          <w:sz w:val="24"/>
        </w:rPr>
        <w:fldChar w:fldCharType="separate"/>
      </w:r>
      <w:r w:rsidR="008A1992">
        <w:rPr>
          <w:noProof/>
          <w:sz w:val="24"/>
        </w:rPr>
        <w:t>5</w:t>
      </w:r>
      <w:r w:rsidRPr="00707D23">
        <w:rPr>
          <w:sz w:val="24"/>
        </w:rPr>
        <w:fldChar w:fldCharType="end"/>
      </w:r>
      <w:r w:rsidRPr="00707D23">
        <w:rPr>
          <w:sz w:val="24"/>
        </w:rPr>
        <w:t>.</w:t>
      </w:r>
      <w:proofErr w:type="gramEnd"/>
      <w:r w:rsidRPr="00707D23">
        <w:rPr>
          <w:sz w:val="24"/>
        </w:rPr>
        <w:fldChar w:fldCharType="begin"/>
      </w:r>
      <w:r w:rsidRPr="00707D23">
        <w:rPr>
          <w:sz w:val="24"/>
        </w:rPr>
        <w:instrText xml:space="preserve"> SEQ Table \* ARABIC \s 1 </w:instrText>
      </w:r>
      <w:r w:rsidRPr="00707D23">
        <w:rPr>
          <w:sz w:val="24"/>
        </w:rPr>
        <w:fldChar w:fldCharType="separate"/>
      </w:r>
      <w:r w:rsidR="008A1992">
        <w:rPr>
          <w:noProof/>
          <w:sz w:val="24"/>
        </w:rPr>
        <w:t>3</w:t>
      </w:r>
      <w:r w:rsidRPr="00707D23">
        <w:rPr>
          <w:sz w:val="24"/>
        </w:rPr>
        <w:fldChar w:fldCharType="end"/>
      </w:r>
      <w:bookmarkEnd w:id="247"/>
      <w:r w:rsidRPr="00707D23">
        <w:rPr>
          <w:sz w:val="24"/>
        </w:rPr>
        <w:t xml:space="preserve"> Equilib</w:t>
      </w:r>
      <w:r>
        <w:rPr>
          <w:sz w:val="24"/>
        </w:rPr>
        <w:t>rium fluid content for IM7/EX-1522</w:t>
      </w:r>
      <w:r w:rsidRPr="00707D23">
        <w:rPr>
          <w:sz w:val="24"/>
        </w:rPr>
        <w:t xml:space="preserve"> hydraulic fluid absorption</w:t>
      </w:r>
      <w:bookmarkEnd w:id="248"/>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1152"/>
        <w:gridCol w:w="1080"/>
        <w:gridCol w:w="1080"/>
        <w:gridCol w:w="1080"/>
        <w:gridCol w:w="1080"/>
      </w:tblGrid>
      <w:tr w:rsidR="00837CB4" w14:paraId="66200CEC" w14:textId="77777777" w:rsidTr="00837CB4">
        <w:trPr>
          <w:jc w:val="center"/>
        </w:trPr>
        <w:tc>
          <w:tcPr>
            <w:tcW w:w="1080" w:type="dxa"/>
            <w:tcBorders>
              <w:top w:val="single" w:sz="8" w:space="0" w:color="auto"/>
            </w:tcBorders>
          </w:tcPr>
          <w:p w14:paraId="7F7E60CA" w14:textId="77777777" w:rsidR="00837CB4" w:rsidRDefault="00837CB4" w:rsidP="00837CB4">
            <w:pPr>
              <w:spacing w:line="240" w:lineRule="auto"/>
              <w:jc w:val="center"/>
            </w:pPr>
          </w:p>
        </w:tc>
        <w:tc>
          <w:tcPr>
            <w:tcW w:w="1152" w:type="dxa"/>
            <w:tcBorders>
              <w:top w:val="single" w:sz="8" w:space="0" w:color="auto"/>
            </w:tcBorders>
          </w:tcPr>
          <w:p w14:paraId="2E5428BC" w14:textId="77777777" w:rsidR="00837CB4" w:rsidRDefault="00837CB4" w:rsidP="00837CB4">
            <w:pPr>
              <w:spacing w:line="240" w:lineRule="auto"/>
              <w:jc w:val="center"/>
            </w:pPr>
          </w:p>
        </w:tc>
        <w:tc>
          <w:tcPr>
            <w:tcW w:w="4320" w:type="dxa"/>
            <w:gridSpan w:val="4"/>
            <w:tcBorders>
              <w:top w:val="single" w:sz="8" w:space="0" w:color="auto"/>
            </w:tcBorders>
          </w:tcPr>
          <w:p w14:paraId="6DAB77CE" w14:textId="77777777" w:rsidR="00837CB4" w:rsidRPr="00CE0EB4" w:rsidRDefault="00837CB4" w:rsidP="00837CB4">
            <w:pPr>
              <w:spacing w:line="240" w:lineRule="auto"/>
              <w:jc w:val="center"/>
              <w:rPr>
                <w:b/>
              </w:rPr>
            </w:pPr>
            <w:r w:rsidRPr="00CE0EB4">
              <w:rPr>
                <w:b/>
              </w:rPr>
              <w:t>Fabrication Pressure</w:t>
            </w:r>
          </w:p>
        </w:tc>
      </w:tr>
      <w:tr w:rsidR="00837CB4" w14:paraId="02722FA1" w14:textId="77777777" w:rsidTr="00837CB4">
        <w:trPr>
          <w:jc w:val="center"/>
        </w:trPr>
        <w:tc>
          <w:tcPr>
            <w:tcW w:w="1080" w:type="dxa"/>
          </w:tcPr>
          <w:p w14:paraId="769CB9EF" w14:textId="77777777" w:rsidR="00837CB4" w:rsidRDefault="00837CB4" w:rsidP="00837CB4">
            <w:pPr>
              <w:spacing w:line="240" w:lineRule="auto"/>
              <w:jc w:val="center"/>
            </w:pPr>
          </w:p>
        </w:tc>
        <w:tc>
          <w:tcPr>
            <w:tcW w:w="1152" w:type="dxa"/>
          </w:tcPr>
          <w:p w14:paraId="7595FDDB" w14:textId="77777777" w:rsidR="00837CB4" w:rsidRDefault="00837CB4" w:rsidP="00837CB4">
            <w:pPr>
              <w:spacing w:line="240" w:lineRule="auto"/>
              <w:jc w:val="center"/>
            </w:pPr>
          </w:p>
        </w:tc>
        <w:tc>
          <w:tcPr>
            <w:tcW w:w="1080" w:type="dxa"/>
            <w:tcBorders>
              <w:bottom w:val="single" w:sz="4" w:space="0" w:color="auto"/>
            </w:tcBorders>
          </w:tcPr>
          <w:p w14:paraId="1638BA77" w14:textId="77777777" w:rsidR="00837CB4" w:rsidRPr="00CE0EB4" w:rsidRDefault="00837CB4" w:rsidP="00837CB4">
            <w:pPr>
              <w:spacing w:line="240" w:lineRule="auto"/>
              <w:jc w:val="center"/>
              <w:rPr>
                <w:i/>
              </w:rPr>
            </w:pPr>
            <w:r w:rsidRPr="00CE0EB4">
              <w:rPr>
                <w:i/>
              </w:rPr>
              <w:t>69 kPa</w:t>
            </w:r>
          </w:p>
        </w:tc>
        <w:tc>
          <w:tcPr>
            <w:tcW w:w="1080" w:type="dxa"/>
            <w:tcBorders>
              <w:bottom w:val="single" w:sz="4" w:space="0" w:color="auto"/>
            </w:tcBorders>
          </w:tcPr>
          <w:p w14:paraId="19561D1B" w14:textId="77777777" w:rsidR="00837CB4" w:rsidRPr="00CE0EB4" w:rsidRDefault="00837CB4" w:rsidP="00837CB4">
            <w:pPr>
              <w:spacing w:line="240" w:lineRule="auto"/>
              <w:jc w:val="center"/>
              <w:rPr>
                <w:i/>
              </w:rPr>
            </w:pPr>
            <w:r w:rsidRPr="00CE0EB4">
              <w:rPr>
                <w:i/>
              </w:rPr>
              <w:t>207 kPa</w:t>
            </w:r>
          </w:p>
        </w:tc>
        <w:tc>
          <w:tcPr>
            <w:tcW w:w="1080" w:type="dxa"/>
            <w:tcBorders>
              <w:bottom w:val="single" w:sz="4" w:space="0" w:color="auto"/>
            </w:tcBorders>
          </w:tcPr>
          <w:p w14:paraId="17A75F4A" w14:textId="77777777" w:rsidR="00837CB4" w:rsidRPr="00CE0EB4" w:rsidRDefault="00837CB4" w:rsidP="00837CB4">
            <w:pPr>
              <w:spacing w:line="240" w:lineRule="auto"/>
              <w:jc w:val="center"/>
              <w:rPr>
                <w:i/>
              </w:rPr>
            </w:pPr>
            <w:r w:rsidRPr="00CE0EB4">
              <w:rPr>
                <w:i/>
              </w:rPr>
              <w:t>345 kPa</w:t>
            </w:r>
          </w:p>
        </w:tc>
        <w:tc>
          <w:tcPr>
            <w:tcW w:w="1080" w:type="dxa"/>
            <w:tcBorders>
              <w:bottom w:val="single" w:sz="4" w:space="0" w:color="auto"/>
            </w:tcBorders>
          </w:tcPr>
          <w:p w14:paraId="0AFF627E" w14:textId="77777777" w:rsidR="00837CB4" w:rsidRPr="00CE0EB4" w:rsidRDefault="00837CB4" w:rsidP="00837CB4">
            <w:pPr>
              <w:spacing w:line="240" w:lineRule="auto"/>
              <w:jc w:val="center"/>
              <w:rPr>
                <w:i/>
              </w:rPr>
            </w:pPr>
            <w:r w:rsidRPr="00CE0EB4">
              <w:rPr>
                <w:i/>
              </w:rPr>
              <w:t>483 kPa</w:t>
            </w:r>
          </w:p>
        </w:tc>
      </w:tr>
      <w:tr w:rsidR="00837CB4" w14:paraId="11D73797" w14:textId="77777777" w:rsidTr="00837CB4">
        <w:trPr>
          <w:trHeight w:val="360"/>
          <w:jc w:val="center"/>
        </w:trPr>
        <w:tc>
          <w:tcPr>
            <w:tcW w:w="1080" w:type="dxa"/>
            <w:vMerge w:val="restart"/>
            <w:textDirection w:val="btLr"/>
            <w:vAlign w:val="bottom"/>
          </w:tcPr>
          <w:p w14:paraId="7199DB46" w14:textId="77777777" w:rsidR="00837CB4" w:rsidRPr="00CE0EB4" w:rsidRDefault="00837CB4" w:rsidP="00837CB4">
            <w:pPr>
              <w:spacing w:line="240" w:lineRule="auto"/>
              <w:ind w:left="113" w:right="113"/>
              <w:jc w:val="center"/>
              <w:rPr>
                <w:b/>
              </w:rPr>
            </w:pPr>
            <w:r w:rsidRPr="00CE0EB4">
              <w:rPr>
                <w:b/>
              </w:rPr>
              <w:t>Prepreg</w:t>
            </w:r>
          </w:p>
          <w:p w14:paraId="367DF795" w14:textId="77777777" w:rsidR="00837CB4" w:rsidRDefault="00837CB4" w:rsidP="00837CB4">
            <w:pPr>
              <w:spacing w:line="240" w:lineRule="auto"/>
              <w:ind w:left="113" w:right="113"/>
              <w:jc w:val="center"/>
            </w:pPr>
            <w:r w:rsidRPr="00CE0EB4">
              <w:rPr>
                <w:b/>
              </w:rPr>
              <w:t>Humidity Exposure</w:t>
            </w:r>
          </w:p>
        </w:tc>
        <w:tc>
          <w:tcPr>
            <w:tcW w:w="1152" w:type="dxa"/>
            <w:tcBorders>
              <w:right w:val="single" w:sz="4" w:space="0" w:color="auto"/>
            </w:tcBorders>
            <w:vAlign w:val="center"/>
          </w:tcPr>
          <w:p w14:paraId="198FCFF2" w14:textId="77777777" w:rsidR="00837CB4" w:rsidRPr="00CE0EB4" w:rsidRDefault="00837CB4" w:rsidP="00837CB4">
            <w:pPr>
              <w:spacing w:line="240" w:lineRule="auto"/>
              <w:jc w:val="center"/>
              <w:rPr>
                <w:i/>
              </w:rPr>
            </w:pPr>
            <w:r w:rsidRPr="00CE0EB4">
              <w:rPr>
                <w:i/>
              </w:rPr>
              <w:t>2% RH</w:t>
            </w:r>
          </w:p>
        </w:tc>
        <w:tc>
          <w:tcPr>
            <w:tcW w:w="1080" w:type="dxa"/>
            <w:tcBorders>
              <w:top w:val="single" w:sz="4" w:space="0" w:color="auto"/>
              <w:left w:val="single" w:sz="4" w:space="0" w:color="auto"/>
            </w:tcBorders>
            <w:shd w:val="clear" w:color="auto" w:fill="B8CCE4" w:themeFill="accent1" w:themeFillTint="66"/>
            <w:vAlign w:val="center"/>
          </w:tcPr>
          <w:p w14:paraId="3D292EF6" w14:textId="61220761" w:rsidR="00837CB4" w:rsidRDefault="00837CB4" w:rsidP="00837CB4">
            <w:pPr>
              <w:spacing w:line="240" w:lineRule="auto"/>
              <w:jc w:val="center"/>
            </w:pPr>
            <w:r>
              <w:t>1.11</w:t>
            </w:r>
          </w:p>
        </w:tc>
        <w:tc>
          <w:tcPr>
            <w:tcW w:w="1080" w:type="dxa"/>
            <w:tcBorders>
              <w:top w:val="single" w:sz="4" w:space="0" w:color="auto"/>
            </w:tcBorders>
            <w:shd w:val="clear" w:color="auto" w:fill="B8CCE4" w:themeFill="accent1" w:themeFillTint="66"/>
            <w:vAlign w:val="center"/>
          </w:tcPr>
          <w:p w14:paraId="6FFB681C" w14:textId="3E24C9D8" w:rsidR="00837CB4" w:rsidRDefault="00837CB4" w:rsidP="00837CB4">
            <w:pPr>
              <w:spacing w:line="240" w:lineRule="auto"/>
              <w:jc w:val="center"/>
            </w:pPr>
            <w:r>
              <w:t>1.68</w:t>
            </w:r>
          </w:p>
        </w:tc>
        <w:tc>
          <w:tcPr>
            <w:tcW w:w="1080" w:type="dxa"/>
            <w:tcBorders>
              <w:top w:val="single" w:sz="4" w:space="0" w:color="auto"/>
            </w:tcBorders>
            <w:shd w:val="clear" w:color="auto" w:fill="B8CCE4" w:themeFill="accent1" w:themeFillTint="66"/>
            <w:vAlign w:val="center"/>
          </w:tcPr>
          <w:p w14:paraId="1AD5E4B9" w14:textId="4B506BC8" w:rsidR="00837CB4" w:rsidRDefault="00837CB4" w:rsidP="00837CB4">
            <w:pPr>
              <w:spacing w:line="240" w:lineRule="auto"/>
              <w:jc w:val="center"/>
            </w:pPr>
            <w:r>
              <w:t>1.10</w:t>
            </w:r>
          </w:p>
        </w:tc>
        <w:tc>
          <w:tcPr>
            <w:tcW w:w="1080" w:type="dxa"/>
            <w:tcBorders>
              <w:top w:val="single" w:sz="4" w:space="0" w:color="auto"/>
              <w:right w:val="single" w:sz="4" w:space="0" w:color="auto"/>
            </w:tcBorders>
            <w:shd w:val="clear" w:color="auto" w:fill="B8CCE4" w:themeFill="accent1" w:themeFillTint="66"/>
            <w:vAlign w:val="center"/>
          </w:tcPr>
          <w:p w14:paraId="1AB44C13" w14:textId="394AC5E2" w:rsidR="00837CB4" w:rsidRDefault="00837CB4" w:rsidP="00837CB4">
            <w:pPr>
              <w:spacing w:line="240" w:lineRule="auto"/>
              <w:jc w:val="center"/>
            </w:pPr>
            <w:r>
              <w:t>1.29</w:t>
            </w:r>
          </w:p>
        </w:tc>
      </w:tr>
      <w:tr w:rsidR="00837CB4" w14:paraId="74FA8BC0" w14:textId="77777777" w:rsidTr="00837CB4">
        <w:trPr>
          <w:trHeight w:val="360"/>
          <w:jc w:val="center"/>
        </w:trPr>
        <w:tc>
          <w:tcPr>
            <w:tcW w:w="1080" w:type="dxa"/>
            <w:vMerge/>
          </w:tcPr>
          <w:p w14:paraId="087C68A9" w14:textId="77777777" w:rsidR="00837CB4" w:rsidRDefault="00837CB4" w:rsidP="00837CB4">
            <w:pPr>
              <w:spacing w:line="240" w:lineRule="auto"/>
              <w:jc w:val="center"/>
            </w:pPr>
          </w:p>
        </w:tc>
        <w:tc>
          <w:tcPr>
            <w:tcW w:w="1152" w:type="dxa"/>
            <w:tcBorders>
              <w:right w:val="single" w:sz="4" w:space="0" w:color="auto"/>
            </w:tcBorders>
            <w:vAlign w:val="center"/>
          </w:tcPr>
          <w:p w14:paraId="27C7D5D7" w14:textId="77777777" w:rsidR="00837CB4" w:rsidRPr="00CE0EB4" w:rsidRDefault="00837CB4" w:rsidP="00837CB4">
            <w:pPr>
              <w:spacing w:line="240" w:lineRule="auto"/>
              <w:jc w:val="center"/>
              <w:rPr>
                <w:i/>
              </w:rPr>
            </w:pPr>
            <w:r w:rsidRPr="00CE0EB4">
              <w:rPr>
                <w:i/>
              </w:rPr>
              <w:t>40% RH</w:t>
            </w:r>
          </w:p>
        </w:tc>
        <w:tc>
          <w:tcPr>
            <w:tcW w:w="1080" w:type="dxa"/>
            <w:tcBorders>
              <w:left w:val="single" w:sz="4" w:space="0" w:color="auto"/>
            </w:tcBorders>
            <w:shd w:val="clear" w:color="auto" w:fill="E5B8B7" w:themeFill="accent2" w:themeFillTint="66"/>
            <w:vAlign w:val="center"/>
          </w:tcPr>
          <w:p w14:paraId="386366A8" w14:textId="7181F112" w:rsidR="00837CB4" w:rsidRDefault="00837CB4" w:rsidP="00837CB4">
            <w:pPr>
              <w:spacing w:line="240" w:lineRule="auto"/>
              <w:jc w:val="center"/>
            </w:pPr>
            <w:r>
              <w:t>2.25</w:t>
            </w:r>
          </w:p>
        </w:tc>
        <w:tc>
          <w:tcPr>
            <w:tcW w:w="1080" w:type="dxa"/>
            <w:shd w:val="clear" w:color="auto" w:fill="E5B8B7" w:themeFill="accent2" w:themeFillTint="66"/>
            <w:vAlign w:val="center"/>
          </w:tcPr>
          <w:p w14:paraId="586614CB" w14:textId="24603392" w:rsidR="00837CB4" w:rsidRDefault="00837CB4" w:rsidP="00837CB4">
            <w:pPr>
              <w:spacing w:line="240" w:lineRule="auto"/>
              <w:jc w:val="center"/>
            </w:pPr>
            <w:r>
              <w:t>1.03</w:t>
            </w:r>
          </w:p>
        </w:tc>
        <w:tc>
          <w:tcPr>
            <w:tcW w:w="1080" w:type="dxa"/>
            <w:shd w:val="clear" w:color="auto" w:fill="E5B8B7" w:themeFill="accent2" w:themeFillTint="66"/>
            <w:vAlign w:val="center"/>
          </w:tcPr>
          <w:p w14:paraId="5F38A0D0" w14:textId="6743C739" w:rsidR="00837CB4" w:rsidRDefault="00837CB4" w:rsidP="00837CB4">
            <w:pPr>
              <w:spacing w:line="240" w:lineRule="auto"/>
              <w:jc w:val="center"/>
            </w:pPr>
            <w:r>
              <w:t>0.95</w:t>
            </w:r>
          </w:p>
        </w:tc>
        <w:tc>
          <w:tcPr>
            <w:tcW w:w="1080" w:type="dxa"/>
            <w:tcBorders>
              <w:right w:val="single" w:sz="4" w:space="0" w:color="auto"/>
            </w:tcBorders>
            <w:shd w:val="clear" w:color="auto" w:fill="E5B8B7" w:themeFill="accent2" w:themeFillTint="66"/>
            <w:vAlign w:val="center"/>
          </w:tcPr>
          <w:p w14:paraId="1A7E2913" w14:textId="04964965" w:rsidR="00837CB4" w:rsidRDefault="00837CB4" w:rsidP="00837CB4">
            <w:pPr>
              <w:spacing w:line="240" w:lineRule="auto"/>
              <w:jc w:val="center"/>
            </w:pPr>
            <w:r>
              <w:t>1.04</w:t>
            </w:r>
          </w:p>
        </w:tc>
      </w:tr>
      <w:tr w:rsidR="00837CB4" w14:paraId="3B52B41C" w14:textId="77777777" w:rsidTr="00837CB4">
        <w:trPr>
          <w:trHeight w:val="360"/>
          <w:jc w:val="center"/>
        </w:trPr>
        <w:tc>
          <w:tcPr>
            <w:tcW w:w="1080" w:type="dxa"/>
            <w:vMerge/>
          </w:tcPr>
          <w:p w14:paraId="4AD03A63" w14:textId="77777777" w:rsidR="00837CB4" w:rsidRDefault="00837CB4" w:rsidP="00837CB4">
            <w:pPr>
              <w:spacing w:line="240" w:lineRule="auto"/>
              <w:jc w:val="center"/>
            </w:pPr>
          </w:p>
        </w:tc>
        <w:tc>
          <w:tcPr>
            <w:tcW w:w="1152" w:type="dxa"/>
            <w:tcBorders>
              <w:right w:val="single" w:sz="4" w:space="0" w:color="auto"/>
            </w:tcBorders>
            <w:vAlign w:val="center"/>
          </w:tcPr>
          <w:p w14:paraId="315CC8B3" w14:textId="77777777" w:rsidR="00837CB4" w:rsidRPr="00CE0EB4" w:rsidRDefault="00837CB4" w:rsidP="00837CB4">
            <w:pPr>
              <w:spacing w:line="240" w:lineRule="auto"/>
              <w:jc w:val="center"/>
              <w:rPr>
                <w:i/>
              </w:rPr>
            </w:pPr>
            <w:r w:rsidRPr="00CE0EB4">
              <w:rPr>
                <w:i/>
              </w:rPr>
              <w:t>70% RH</w:t>
            </w:r>
          </w:p>
        </w:tc>
        <w:tc>
          <w:tcPr>
            <w:tcW w:w="1080" w:type="dxa"/>
            <w:tcBorders>
              <w:left w:val="single" w:sz="4" w:space="0" w:color="auto"/>
            </w:tcBorders>
            <w:shd w:val="clear" w:color="auto" w:fill="D6E3BC" w:themeFill="accent3" w:themeFillTint="66"/>
            <w:vAlign w:val="center"/>
          </w:tcPr>
          <w:p w14:paraId="4F8C419C" w14:textId="210A41C4" w:rsidR="00837CB4" w:rsidRDefault="00837CB4" w:rsidP="00837CB4">
            <w:pPr>
              <w:spacing w:line="240" w:lineRule="auto"/>
              <w:jc w:val="center"/>
            </w:pPr>
            <w:r>
              <w:t>1.74</w:t>
            </w:r>
          </w:p>
        </w:tc>
        <w:tc>
          <w:tcPr>
            <w:tcW w:w="1080" w:type="dxa"/>
            <w:shd w:val="clear" w:color="auto" w:fill="D6E3BC" w:themeFill="accent3" w:themeFillTint="66"/>
            <w:vAlign w:val="center"/>
          </w:tcPr>
          <w:p w14:paraId="52BDDB8E" w14:textId="19A72230" w:rsidR="00837CB4" w:rsidRDefault="00837CB4" w:rsidP="00837CB4">
            <w:pPr>
              <w:spacing w:line="240" w:lineRule="auto"/>
              <w:jc w:val="center"/>
            </w:pPr>
            <w:r>
              <w:t>1.25</w:t>
            </w:r>
          </w:p>
        </w:tc>
        <w:tc>
          <w:tcPr>
            <w:tcW w:w="1080" w:type="dxa"/>
            <w:shd w:val="clear" w:color="auto" w:fill="D6E3BC" w:themeFill="accent3" w:themeFillTint="66"/>
            <w:vAlign w:val="center"/>
          </w:tcPr>
          <w:p w14:paraId="589CC747" w14:textId="2E3EC14E" w:rsidR="00837CB4" w:rsidRDefault="00837CB4" w:rsidP="00837CB4">
            <w:pPr>
              <w:spacing w:line="240" w:lineRule="auto"/>
              <w:jc w:val="center"/>
            </w:pPr>
            <w:r>
              <w:t>1.39</w:t>
            </w:r>
          </w:p>
        </w:tc>
        <w:tc>
          <w:tcPr>
            <w:tcW w:w="1080" w:type="dxa"/>
            <w:tcBorders>
              <w:right w:val="single" w:sz="4" w:space="0" w:color="auto"/>
            </w:tcBorders>
            <w:shd w:val="clear" w:color="auto" w:fill="D6E3BC" w:themeFill="accent3" w:themeFillTint="66"/>
            <w:vAlign w:val="center"/>
          </w:tcPr>
          <w:p w14:paraId="1195CFD4" w14:textId="148A5673" w:rsidR="00837CB4" w:rsidRDefault="00837CB4" w:rsidP="00837CB4">
            <w:pPr>
              <w:spacing w:line="240" w:lineRule="auto"/>
              <w:jc w:val="center"/>
            </w:pPr>
            <w:r>
              <w:t>1.42</w:t>
            </w:r>
          </w:p>
        </w:tc>
      </w:tr>
      <w:tr w:rsidR="00837CB4" w14:paraId="5FAECEE6" w14:textId="77777777" w:rsidTr="00837CB4">
        <w:trPr>
          <w:trHeight w:val="360"/>
          <w:jc w:val="center"/>
        </w:trPr>
        <w:tc>
          <w:tcPr>
            <w:tcW w:w="1080" w:type="dxa"/>
            <w:vMerge/>
          </w:tcPr>
          <w:p w14:paraId="6ED46392" w14:textId="77777777" w:rsidR="00837CB4" w:rsidRDefault="00837CB4" w:rsidP="00837CB4">
            <w:pPr>
              <w:spacing w:line="240" w:lineRule="auto"/>
              <w:jc w:val="center"/>
            </w:pPr>
          </w:p>
        </w:tc>
        <w:tc>
          <w:tcPr>
            <w:tcW w:w="1152" w:type="dxa"/>
            <w:tcBorders>
              <w:right w:val="single" w:sz="4" w:space="0" w:color="auto"/>
            </w:tcBorders>
            <w:vAlign w:val="center"/>
          </w:tcPr>
          <w:p w14:paraId="64FCCA3A" w14:textId="77777777" w:rsidR="00837CB4" w:rsidRPr="00CE0EB4" w:rsidRDefault="00837CB4" w:rsidP="00837CB4">
            <w:pPr>
              <w:spacing w:line="240" w:lineRule="auto"/>
              <w:jc w:val="center"/>
              <w:rPr>
                <w:i/>
              </w:rPr>
            </w:pPr>
            <w:r w:rsidRPr="00CE0EB4">
              <w:rPr>
                <w:i/>
              </w:rPr>
              <w:t>99% RH</w:t>
            </w:r>
          </w:p>
        </w:tc>
        <w:tc>
          <w:tcPr>
            <w:tcW w:w="1080" w:type="dxa"/>
            <w:tcBorders>
              <w:left w:val="single" w:sz="4" w:space="0" w:color="auto"/>
              <w:bottom w:val="single" w:sz="4" w:space="0" w:color="auto"/>
            </w:tcBorders>
            <w:shd w:val="clear" w:color="auto" w:fill="CCC0D9" w:themeFill="accent4" w:themeFillTint="66"/>
            <w:vAlign w:val="center"/>
          </w:tcPr>
          <w:p w14:paraId="50E70C61" w14:textId="2189CA5B" w:rsidR="00837CB4" w:rsidRDefault="00837CB4" w:rsidP="00837CB4">
            <w:pPr>
              <w:spacing w:line="240" w:lineRule="auto"/>
              <w:jc w:val="center"/>
            </w:pPr>
            <w:r>
              <w:t>1.92</w:t>
            </w:r>
          </w:p>
        </w:tc>
        <w:tc>
          <w:tcPr>
            <w:tcW w:w="1080" w:type="dxa"/>
            <w:tcBorders>
              <w:bottom w:val="single" w:sz="4" w:space="0" w:color="auto"/>
            </w:tcBorders>
            <w:shd w:val="clear" w:color="auto" w:fill="CCC0D9" w:themeFill="accent4" w:themeFillTint="66"/>
            <w:vAlign w:val="center"/>
          </w:tcPr>
          <w:p w14:paraId="4AD2C200" w14:textId="3BD73D1E" w:rsidR="00837CB4" w:rsidRDefault="00837CB4" w:rsidP="00837CB4">
            <w:pPr>
              <w:spacing w:line="240" w:lineRule="auto"/>
              <w:jc w:val="center"/>
            </w:pPr>
            <w:r>
              <w:t>1.95</w:t>
            </w:r>
          </w:p>
        </w:tc>
        <w:tc>
          <w:tcPr>
            <w:tcW w:w="1080" w:type="dxa"/>
            <w:tcBorders>
              <w:bottom w:val="single" w:sz="4" w:space="0" w:color="auto"/>
            </w:tcBorders>
            <w:shd w:val="clear" w:color="auto" w:fill="CCC0D9" w:themeFill="accent4" w:themeFillTint="66"/>
            <w:vAlign w:val="center"/>
          </w:tcPr>
          <w:p w14:paraId="12694EE6" w14:textId="388AA0E2" w:rsidR="00837CB4" w:rsidRDefault="00837CB4" w:rsidP="00837CB4">
            <w:pPr>
              <w:spacing w:line="240" w:lineRule="auto"/>
              <w:jc w:val="center"/>
            </w:pPr>
            <w:r>
              <w:t>2.10</w:t>
            </w:r>
          </w:p>
        </w:tc>
        <w:tc>
          <w:tcPr>
            <w:tcW w:w="1080" w:type="dxa"/>
            <w:tcBorders>
              <w:bottom w:val="single" w:sz="4" w:space="0" w:color="auto"/>
              <w:right w:val="single" w:sz="4" w:space="0" w:color="auto"/>
            </w:tcBorders>
            <w:shd w:val="clear" w:color="auto" w:fill="CCC0D9" w:themeFill="accent4" w:themeFillTint="66"/>
            <w:vAlign w:val="center"/>
          </w:tcPr>
          <w:p w14:paraId="6D04794F" w14:textId="1A233A71" w:rsidR="00837CB4" w:rsidRDefault="00837CB4" w:rsidP="00837CB4">
            <w:pPr>
              <w:spacing w:line="240" w:lineRule="auto"/>
              <w:jc w:val="center"/>
            </w:pPr>
            <w:r>
              <w:t>1.71</w:t>
            </w:r>
          </w:p>
        </w:tc>
      </w:tr>
    </w:tbl>
    <w:p w14:paraId="208136FE" w14:textId="579C98D6" w:rsidR="00CA66A2" w:rsidRDefault="004F3626" w:rsidP="004375A6">
      <w:pPr>
        <w:pStyle w:val="Heading2"/>
      </w:pPr>
      <w:bookmarkStart w:id="249" w:name="_Ref340842868"/>
      <w:bookmarkStart w:id="250" w:name="_Toc346311017"/>
      <w:r>
        <w:t xml:space="preserve">Comparison of </w:t>
      </w:r>
      <w:r w:rsidR="00355B64">
        <w:t>Equilibrium Fluid Content</w:t>
      </w:r>
      <w:r>
        <w:t xml:space="preserve"> for </w:t>
      </w:r>
      <w:r w:rsidR="00ED7E49">
        <w:t>Quartz-</w:t>
      </w:r>
      <w:r w:rsidR="00CA66A2">
        <w:t>Reinforce</w:t>
      </w:r>
      <w:bookmarkEnd w:id="249"/>
      <w:r>
        <w:t>d Laminates</w:t>
      </w:r>
      <w:bookmarkEnd w:id="250"/>
    </w:p>
    <w:p w14:paraId="7E69ADF2" w14:textId="2356A42F" w:rsidR="009F7666" w:rsidRPr="009F7666" w:rsidRDefault="00247F84" w:rsidP="009F7666">
      <w:pPr>
        <w:ind w:firstLine="360"/>
      </w:pPr>
      <w:r>
        <w:t xml:space="preserve">This Section will contain additional analysis of the equilibrium fluid content determined from the hindered diffusion model for quartz/BMI and quartz/epoxy laminates.  </w:t>
      </w:r>
      <w:r w:rsidR="008E553C">
        <w:t>Comparing the experimental mass gain data and t</w:t>
      </w:r>
      <w:r>
        <w:t>he hindered diffusion model indicated that both of these prepreg materials were near saturation</w:t>
      </w:r>
      <w:r w:rsidR="008E553C">
        <w:t>.  Therefore, the equilibrium fluid content can be considered a good indicator of the effect that humidity exposure and fabrication pressure had on the level of fluid absorption.</w:t>
      </w:r>
    </w:p>
    <w:p w14:paraId="5A4CE918" w14:textId="66025F89" w:rsidR="00355B64" w:rsidRDefault="00355B64" w:rsidP="00355B64">
      <w:pPr>
        <w:pStyle w:val="Heading3"/>
      </w:pPr>
      <w:bookmarkStart w:id="251" w:name="_Ref346278233"/>
      <w:bookmarkStart w:id="252" w:name="_Toc346311018"/>
      <w:r>
        <w:t>Effect of Humidity Exposure on Equilibrium Fluid Content</w:t>
      </w:r>
      <w:bookmarkEnd w:id="251"/>
      <w:bookmarkEnd w:id="252"/>
    </w:p>
    <w:p w14:paraId="539714B6" w14:textId="20FE6DD1" w:rsidR="00355B64" w:rsidRDefault="00FD391F" w:rsidP="00FD391F">
      <w:pPr>
        <w:ind w:firstLine="360"/>
      </w:pPr>
      <w:r>
        <w:t xml:space="preserve">The effect of prepreg conditioning on the equilibrium fluid content for quartz/BMI and quartz/epoxy is shown in </w:t>
      </w:r>
      <w:r w:rsidR="00A25522">
        <w:fldChar w:fldCharType="begin"/>
      </w:r>
      <w:r w:rsidR="00A25522">
        <w:instrText xml:space="preserve"> REF _Ref344549101 \h </w:instrText>
      </w:r>
      <w:r w:rsidR="00A25522">
        <w:fldChar w:fldCharType="separate"/>
      </w:r>
      <w:r w:rsidR="008A1992" w:rsidRPr="00261427">
        <w:t xml:space="preserve">Figure </w:t>
      </w:r>
      <w:r w:rsidR="008A1992">
        <w:rPr>
          <w:noProof/>
        </w:rPr>
        <w:t>5</w:t>
      </w:r>
      <w:r w:rsidR="008A1992">
        <w:t>.</w:t>
      </w:r>
      <w:r w:rsidR="008A1992">
        <w:rPr>
          <w:noProof/>
        </w:rPr>
        <w:t>8</w:t>
      </w:r>
      <w:r w:rsidR="00A25522">
        <w:fldChar w:fldCharType="end"/>
      </w:r>
      <w:r>
        <w:t>.  The trend line equations for each prepreg conditioning and fabrication pressure specimen are provided in</w:t>
      </w:r>
      <w:r w:rsidR="00A25522">
        <w:t xml:space="preserve"> </w:t>
      </w:r>
      <w:r w:rsidR="00A25522">
        <w:fldChar w:fldCharType="begin"/>
      </w:r>
      <w:r w:rsidR="00A25522">
        <w:instrText xml:space="preserve"> REF _Ref344549138 \h </w:instrText>
      </w:r>
      <w:r w:rsidR="00A25522">
        <w:fldChar w:fldCharType="separate"/>
      </w:r>
      <w:r w:rsidR="008A1992" w:rsidRPr="009A3450">
        <w:t xml:space="preserve">Table </w:t>
      </w:r>
      <w:r w:rsidR="008A1992">
        <w:rPr>
          <w:noProof/>
        </w:rPr>
        <w:t>5</w:t>
      </w:r>
      <w:r w:rsidR="008A1992">
        <w:t>.</w:t>
      </w:r>
      <w:r w:rsidR="008A1992">
        <w:rPr>
          <w:noProof/>
        </w:rPr>
        <w:t>4</w:t>
      </w:r>
      <w:r w:rsidR="00A25522">
        <w:fldChar w:fldCharType="end"/>
      </w:r>
      <w:r>
        <w:t xml:space="preserve">. </w:t>
      </w:r>
      <w:r w:rsidR="00A25522">
        <w:t xml:space="preserve"> </w:t>
      </w:r>
      <w:r w:rsidR="007B5FED">
        <w:t xml:space="preserve">For both resin materials, the equilibrium fluid content increased as relative humidity exposure increased.  However, the effect was much more pronounced for BMI resin.  Additionally, </w:t>
      </w:r>
      <w:r w:rsidR="00A25522">
        <w:t xml:space="preserve">the equilibrium fluid content was significantly higher for laminates fabricated at 69 kPa.  Meanwhile, the equilibrium fluid content was grouped tightly together for all other fabrication pressures.  This closely mirrors the laminate fiber volume fraction for each material, where the </w:t>
      </w:r>
      <w:r w:rsidR="00D53C8A">
        <w:t>largest incremental improvement was achieved when pressure was increased from 69 kPa to 207 kPa.  The rate of increase for equilibrium fluid content was significantly higher, by six fold, for BMI when compared to epoxy resin.  The rate of increase for quartz/BMI (</w:t>
      </w:r>
      <w:r w:rsidR="00D53C8A">
        <w:fldChar w:fldCharType="begin"/>
      </w:r>
      <w:r w:rsidR="00D53C8A">
        <w:instrText xml:space="preserve"> REF _Ref344549101 \h </w:instrText>
      </w:r>
      <w:r w:rsidR="00D53C8A">
        <w:fldChar w:fldCharType="separate"/>
      </w:r>
      <w:r w:rsidR="008A1992" w:rsidRPr="00261427">
        <w:t xml:space="preserve">Figure </w:t>
      </w:r>
      <w:r w:rsidR="008A1992">
        <w:rPr>
          <w:noProof/>
        </w:rPr>
        <w:t>5</w:t>
      </w:r>
      <w:r w:rsidR="008A1992">
        <w:t>.</w:t>
      </w:r>
      <w:r w:rsidR="008A1992">
        <w:rPr>
          <w:noProof/>
        </w:rPr>
        <w:t>8</w:t>
      </w:r>
      <w:r w:rsidR="00D53C8A">
        <w:fldChar w:fldCharType="end"/>
      </w:r>
      <w:r w:rsidR="00D53C8A">
        <w:t>a) gradually declined as fabrication pressure increased.  This indicates that prepreg humidity exposure must be closely monitored and accounted for when fabrication pressures are low so as to limit hydraulic fluid absorption.  The rate of increase for quartz/epoxy (</w:t>
      </w:r>
      <w:r w:rsidR="00D53C8A">
        <w:fldChar w:fldCharType="begin"/>
      </w:r>
      <w:r w:rsidR="00D53C8A">
        <w:instrText xml:space="preserve"> REF _Ref344549101 \h </w:instrText>
      </w:r>
      <w:r w:rsidR="00D53C8A">
        <w:fldChar w:fldCharType="separate"/>
      </w:r>
      <w:r w:rsidR="008A1992" w:rsidRPr="00261427">
        <w:t xml:space="preserve">Figure </w:t>
      </w:r>
      <w:r w:rsidR="008A1992">
        <w:rPr>
          <w:noProof/>
        </w:rPr>
        <w:t>5</w:t>
      </w:r>
      <w:r w:rsidR="008A1992">
        <w:t>.</w:t>
      </w:r>
      <w:r w:rsidR="008A1992">
        <w:rPr>
          <w:noProof/>
        </w:rPr>
        <w:t>8</w:t>
      </w:r>
      <w:r w:rsidR="00D53C8A">
        <w:fldChar w:fldCharType="end"/>
      </w:r>
      <w:r w:rsidR="00D53C8A">
        <w:t>b) was very similar, regardless of the fabrication pressure.  Therefore, the equilibrium fluid content is influenced to a larger degree by the fabrication cure pressure.</w:t>
      </w:r>
    </w:p>
    <w:p w14:paraId="28A89F95" w14:textId="77777777" w:rsidR="00D53C8A" w:rsidRDefault="00D53C8A" w:rsidP="00FD391F">
      <w:pPr>
        <w:ind w:firstLine="360"/>
      </w:pPr>
    </w:p>
    <w:p w14:paraId="3DD85B1D" w14:textId="7E5ECFE1" w:rsidR="00D130C2" w:rsidRDefault="005869CC" w:rsidP="00D130C2">
      <w:pPr>
        <w:keepNext/>
        <w:jc w:val="center"/>
      </w:pPr>
      <w:r>
        <w:rPr>
          <w:noProof/>
        </w:rPr>
        <mc:AlternateContent>
          <mc:Choice Requires="wpg">
            <w:drawing>
              <wp:inline distT="0" distB="0" distL="0" distR="0" wp14:anchorId="1659F49C" wp14:editId="7379290C">
                <wp:extent cx="5394960" cy="2887577"/>
                <wp:effectExtent l="0" t="0" r="0" b="8255"/>
                <wp:docPr id="248" name="Group 3"/>
                <wp:cNvGraphicFramePr/>
                <a:graphic xmlns:a="http://schemas.openxmlformats.org/drawingml/2006/main">
                  <a:graphicData uri="http://schemas.microsoft.com/office/word/2010/wordprocessingGroup">
                    <wpg:wgp>
                      <wpg:cNvGrpSpPr/>
                      <wpg:grpSpPr>
                        <a:xfrm>
                          <a:off x="0" y="0"/>
                          <a:ext cx="5394960" cy="2887577"/>
                          <a:chOff x="0" y="0"/>
                          <a:chExt cx="5418284" cy="2870200"/>
                        </a:xfrm>
                      </wpg:grpSpPr>
                      <wpg:graphicFrame>
                        <wpg:cNvPr id="249" name="Chart 249"/>
                        <wpg:cNvFrPr/>
                        <wpg:xfrm>
                          <a:off x="0" y="0"/>
                          <a:ext cx="2707634" cy="2870200"/>
                        </wpg:xfrm>
                        <a:graphic>
                          <a:graphicData uri="http://schemas.openxmlformats.org/drawingml/2006/chart">
                            <c:chart xmlns:c="http://schemas.openxmlformats.org/drawingml/2006/chart" xmlns:r="http://schemas.openxmlformats.org/officeDocument/2006/relationships" r:id="rId148"/>
                          </a:graphicData>
                        </a:graphic>
                      </wpg:graphicFrame>
                      <wpg:graphicFrame>
                        <wpg:cNvPr id="250" name="Chart 250"/>
                        <wpg:cNvFrPr>
                          <a:graphicFrameLocks/>
                        </wpg:cNvFrPr>
                        <wpg:xfrm>
                          <a:off x="2710650" y="0"/>
                          <a:ext cx="2707634" cy="2870200"/>
                        </wpg:xfrm>
                        <a:graphic>
                          <a:graphicData uri="http://schemas.openxmlformats.org/drawingml/2006/chart">
                            <c:chart xmlns:c="http://schemas.openxmlformats.org/drawingml/2006/chart" xmlns:r="http://schemas.openxmlformats.org/officeDocument/2006/relationships" r:id="rId149"/>
                          </a:graphicData>
                        </a:graphic>
                      </wpg:graphicFrame>
                    </wpg:wgp>
                  </a:graphicData>
                </a:graphic>
              </wp:inline>
            </w:drawing>
          </mc:Choice>
          <mc:Fallback>
            <w:pict>
              <v:group id="Group 3" o:spid="_x0000_s1026" style="width:424.8pt;height:227.35pt;mso-position-horizontal-relative:char;mso-position-vertical-relative:line" coordsize="5418284,2870200" o:gfxdata="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">
                <v:shape id="Chart 249" o:spid="_x0000_s1027" type="#_x0000_t75" style="position:absolute;width:2706081;height:2872115;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">
                  <v:imagedata r:id="rId150" o:title=""/>
                  <o:lock v:ext="edit" aspectratio="f"/>
                </v:shape>
                <v:shape id="Chart 250" o:spid="_x0000_s1028" type="#_x0000_t75" style="position:absolute;left:2706081;width:2712203;height:2872115;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">
                  <v:imagedata r:id="rId151" o:title=""/>
                  <o:lock v:ext="edit" aspectratio="f"/>
                </v:shape>
                <w10:anchorlock/>
              </v:group>
            </w:pict>
          </mc:Fallback>
        </mc:AlternateContent>
      </w:r>
    </w:p>
    <w:p w14:paraId="3B6272EB" w14:textId="406A82CB" w:rsidR="00430CC2" w:rsidRPr="00261427" w:rsidRDefault="00D130C2" w:rsidP="00261427">
      <w:pPr>
        <w:pStyle w:val="Caption"/>
        <w:spacing w:line="240" w:lineRule="auto"/>
        <w:jc w:val="center"/>
        <w:rPr>
          <w:sz w:val="24"/>
          <w:szCs w:val="24"/>
        </w:rPr>
      </w:pPr>
      <w:bookmarkStart w:id="253" w:name="_Ref344549101"/>
      <w:bookmarkStart w:id="254" w:name="_Toc346310447"/>
      <w:proofErr w:type="gramStart"/>
      <w:r w:rsidRPr="00261427">
        <w:rPr>
          <w:sz w:val="24"/>
          <w:szCs w:val="24"/>
        </w:rPr>
        <w:t xml:space="preserve">Figure </w:t>
      </w:r>
      <w:r w:rsidR="00C16D85">
        <w:rPr>
          <w:sz w:val="24"/>
          <w:szCs w:val="24"/>
        </w:rPr>
        <w:fldChar w:fldCharType="begin"/>
      </w:r>
      <w:r w:rsidR="00C16D85">
        <w:rPr>
          <w:sz w:val="24"/>
          <w:szCs w:val="24"/>
        </w:rPr>
        <w:instrText xml:space="preserve"> STYLEREF 1 \s </w:instrText>
      </w:r>
      <w:r w:rsidR="00C16D85">
        <w:rPr>
          <w:sz w:val="24"/>
          <w:szCs w:val="24"/>
        </w:rPr>
        <w:fldChar w:fldCharType="separate"/>
      </w:r>
      <w:r w:rsidR="008A1992">
        <w:rPr>
          <w:noProof/>
          <w:sz w:val="24"/>
          <w:szCs w:val="24"/>
        </w:rPr>
        <w:t>5</w:t>
      </w:r>
      <w:r w:rsidR="00C16D85">
        <w:rPr>
          <w:sz w:val="24"/>
          <w:szCs w:val="24"/>
        </w:rPr>
        <w:fldChar w:fldCharType="end"/>
      </w:r>
      <w:r w:rsidR="00C16D85">
        <w:rPr>
          <w:sz w:val="24"/>
          <w:szCs w:val="24"/>
        </w:rPr>
        <w:t>.</w:t>
      </w:r>
      <w:proofErr w:type="gramEnd"/>
      <w:r w:rsidR="00C16D85">
        <w:rPr>
          <w:sz w:val="24"/>
          <w:szCs w:val="24"/>
        </w:rPr>
        <w:fldChar w:fldCharType="begin"/>
      </w:r>
      <w:r w:rsidR="00C16D85">
        <w:rPr>
          <w:sz w:val="24"/>
          <w:szCs w:val="24"/>
        </w:rPr>
        <w:instrText xml:space="preserve"> SEQ Figure \* ARABIC \s 1 </w:instrText>
      </w:r>
      <w:r w:rsidR="00C16D85">
        <w:rPr>
          <w:sz w:val="24"/>
          <w:szCs w:val="24"/>
        </w:rPr>
        <w:fldChar w:fldCharType="separate"/>
      </w:r>
      <w:r w:rsidR="008A1992">
        <w:rPr>
          <w:noProof/>
          <w:sz w:val="24"/>
          <w:szCs w:val="24"/>
        </w:rPr>
        <w:t>8</w:t>
      </w:r>
      <w:r w:rsidR="00C16D85">
        <w:rPr>
          <w:sz w:val="24"/>
          <w:szCs w:val="24"/>
        </w:rPr>
        <w:fldChar w:fldCharType="end"/>
      </w:r>
      <w:bookmarkEnd w:id="253"/>
      <w:r w:rsidRPr="00261427">
        <w:rPr>
          <w:sz w:val="24"/>
          <w:szCs w:val="24"/>
        </w:rPr>
        <w:t xml:space="preserve"> Effect of humidity exposure on equilibrium fluid content for quartz-reinforced (AQIII) lamina</w:t>
      </w:r>
      <w:r w:rsidR="00D53C8A">
        <w:rPr>
          <w:sz w:val="24"/>
          <w:szCs w:val="24"/>
        </w:rPr>
        <w:t>tes with either (a) BMI resin or</w:t>
      </w:r>
      <w:r w:rsidRPr="00261427">
        <w:rPr>
          <w:sz w:val="24"/>
          <w:szCs w:val="24"/>
        </w:rPr>
        <w:t xml:space="preserve"> (b) EX-1522 epoxy resin</w:t>
      </w:r>
      <w:bookmarkEnd w:id="254"/>
    </w:p>
    <w:p w14:paraId="6CDAA70E" w14:textId="77777777" w:rsidR="00430CC2" w:rsidRDefault="00430CC2" w:rsidP="00430CC2"/>
    <w:p w14:paraId="219DE269" w14:textId="77777777" w:rsidR="000346CD" w:rsidRPr="004F3626" w:rsidRDefault="000346CD" w:rsidP="00430CC2"/>
    <w:p w14:paraId="4ADF7D9C" w14:textId="1B47A32C" w:rsidR="00430CC2" w:rsidRPr="009A3450" w:rsidRDefault="00430CC2" w:rsidP="00430CC2">
      <w:pPr>
        <w:pStyle w:val="Caption"/>
        <w:keepNext/>
        <w:spacing w:after="120" w:line="240" w:lineRule="auto"/>
        <w:jc w:val="center"/>
        <w:rPr>
          <w:sz w:val="24"/>
          <w:szCs w:val="24"/>
        </w:rPr>
      </w:pPr>
      <w:bookmarkStart w:id="255" w:name="_Ref344549138"/>
      <w:bookmarkStart w:id="256" w:name="_Toc346310859"/>
      <w:proofErr w:type="gramStart"/>
      <w:r w:rsidRPr="009A3450">
        <w:rPr>
          <w:sz w:val="24"/>
          <w:szCs w:val="24"/>
        </w:rPr>
        <w:t xml:space="preserve">Table </w:t>
      </w:r>
      <w:r>
        <w:rPr>
          <w:sz w:val="24"/>
          <w:szCs w:val="24"/>
        </w:rPr>
        <w:fldChar w:fldCharType="begin"/>
      </w:r>
      <w:r>
        <w:rPr>
          <w:sz w:val="24"/>
          <w:szCs w:val="24"/>
        </w:rPr>
        <w:instrText xml:space="preserve"> STYLEREF 1 \s </w:instrText>
      </w:r>
      <w:r>
        <w:rPr>
          <w:sz w:val="24"/>
          <w:szCs w:val="24"/>
        </w:rPr>
        <w:fldChar w:fldCharType="separate"/>
      </w:r>
      <w:r w:rsidR="008A1992">
        <w:rPr>
          <w:noProof/>
          <w:sz w:val="24"/>
          <w:szCs w:val="24"/>
        </w:rPr>
        <w:t>5</w:t>
      </w:r>
      <w:r>
        <w:rPr>
          <w:sz w:val="24"/>
          <w:szCs w:val="24"/>
        </w:rPr>
        <w:fldChar w:fldCharType="end"/>
      </w:r>
      <w:r>
        <w:rPr>
          <w:sz w:val="24"/>
          <w:szCs w:val="24"/>
        </w:rPr>
        <w:t>.</w:t>
      </w:r>
      <w:proofErr w:type="gramEnd"/>
      <w:r>
        <w:rPr>
          <w:sz w:val="24"/>
          <w:szCs w:val="24"/>
        </w:rPr>
        <w:fldChar w:fldCharType="begin"/>
      </w:r>
      <w:r>
        <w:rPr>
          <w:sz w:val="24"/>
          <w:szCs w:val="24"/>
        </w:rPr>
        <w:instrText xml:space="preserve"> SEQ Table \* ARABIC \s 1 </w:instrText>
      </w:r>
      <w:r>
        <w:rPr>
          <w:sz w:val="24"/>
          <w:szCs w:val="24"/>
        </w:rPr>
        <w:fldChar w:fldCharType="separate"/>
      </w:r>
      <w:r w:rsidR="008A1992">
        <w:rPr>
          <w:noProof/>
          <w:sz w:val="24"/>
          <w:szCs w:val="24"/>
        </w:rPr>
        <w:t>4</w:t>
      </w:r>
      <w:r>
        <w:rPr>
          <w:sz w:val="24"/>
          <w:szCs w:val="24"/>
        </w:rPr>
        <w:fldChar w:fldCharType="end"/>
      </w:r>
      <w:bookmarkEnd w:id="255"/>
      <w:r w:rsidRPr="009A3450">
        <w:rPr>
          <w:sz w:val="24"/>
          <w:szCs w:val="24"/>
        </w:rPr>
        <w:t xml:space="preserve"> </w:t>
      </w:r>
      <w:r>
        <w:rPr>
          <w:sz w:val="24"/>
          <w:szCs w:val="24"/>
        </w:rPr>
        <w:t>Trend line equations for effect of humidity exposure on equilibrium fluid content of quartz-reinforced laminates</w:t>
      </w:r>
      <w:bookmarkEnd w:id="256"/>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2"/>
        <w:gridCol w:w="1742"/>
        <w:gridCol w:w="1440"/>
        <w:gridCol w:w="1743"/>
        <w:gridCol w:w="1440"/>
      </w:tblGrid>
      <w:tr w:rsidR="008E553C" w14:paraId="42C879BF" w14:textId="77777777" w:rsidTr="008E553C">
        <w:trPr>
          <w:trHeight w:val="360"/>
          <w:jc w:val="center"/>
        </w:trPr>
        <w:tc>
          <w:tcPr>
            <w:tcW w:w="1152" w:type="dxa"/>
            <w:tcBorders>
              <w:top w:val="single" w:sz="8" w:space="0" w:color="auto"/>
            </w:tcBorders>
            <w:vAlign w:val="center"/>
          </w:tcPr>
          <w:p w14:paraId="6406F298" w14:textId="77777777" w:rsidR="008E553C" w:rsidRDefault="008E553C" w:rsidP="008E553C">
            <w:pPr>
              <w:spacing w:line="240" w:lineRule="auto"/>
              <w:jc w:val="center"/>
            </w:pPr>
          </w:p>
        </w:tc>
        <w:tc>
          <w:tcPr>
            <w:tcW w:w="3182" w:type="dxa"/>
            <w:gridSpan w:val="2"/>
            <w:tcBorders>
              <w:top w:val="single" w:sz="8" w:space="0" w:color="auto"/>
            </w:tcBorders>
            <w:vAlign w:val="center"/>
          </w:tcPr>
          <w:p w14:paraId="79959552" w14:textId="77777777" w:rsidR="008E553C" w:rsidRPr="004F3626" w:rsidRDefault="008E553C" w:rsidP="008E553C">
            <w:pPr>
              <w:spacing w:line="240" w:lineRule="auto"/>
              <w:jc w:val="center"/>
              <w:rPr>
                <w:b/>
              </w:rPr>
            </w:pPr>
            <w:r w:rsidRPr="004F3626">
              <w:rPr>
                <w:b/>
              </w:rPr>
              <w:t>Quartz/BMI</w:t>
            </w:r>
          </w:p>
        </w:tc>
        <w:tc>
          <w:tcPr>
            <w:tcW w:w="3183" w:type="dxa"/>
            <w:gridSpan w:val="2"/>
            <w:tcBorders>
              <w:top w:val="single" w:sz="8" w:space="0" w:color="auto"/>
            </w:tcBorders>
            <w:vAlign w:val="center"/>
          </w:tcPr>
          <w:p w14:paraId="7A8E5E66" w14:textId="77777777" w:rsidR="008E553C" w:rsidRPr="004F3626" w:rsidRDefault="008E553C" w:rsidP="008E553C">
            <w:pPr>
              <w:spacing w:line="240" w:lineRule="auto"/>
              <w:jc w:val="center"/>
              <w:rPr>
                <w:b/>
              </w:rPr>
            </w:pPr>
            <w:r w:rsidRPr="004F3626">
              <w:rPr>
                <w:b/>
              </w:rPr>
              <w:t>Quartz/Epoxy</w:t>
            </w:r>
          </w:p>
        </w:tc>
      </w:tr>
      <w:tr w:rsidR="008E553C" w14:paraId="08D4DE3A" w14:textId="77777777" w:rsidTr="008E553C">
        <w:trPr>
          <w:trHeight w:val="360"/>
          <w:jc w:val="center"/>
        </w:trPr>
        <w:tc>
          <w:tcPr>
            <w:tcW w:w="1152" w:type="dxa"/>
            <w:vAlign w:val="center"/>
          </w:tcPr>
          <w:p w14:paraId="1FF3769F" w14:textId="77777777" w:rsidR="008E553C" w:rsidRDefault="008E553C" w:rsidP="008E553C">
            <w:pPr>
              <w:spacing w:line="240" w:lineRule="auto"/>
              <w:jc w:val="center"/>
            </w:pPr>
          </w:p>
        </w:tc>
        <w:tc>
          <w:tcPr>
            <w:tcW w:w="1742" w:type="dxa"/>
            <w:tcBorders>
              <w:bottom w:val="single" w:sz="4" w:space="0" w:color="auto"/>
            </w:tcBorders>
            <w:vAlign w:val="center"/>
          </w:tcPr>
          <w:p w14:paraId="5A1A6A42" w14:textId="77777777" w:rsidR="008E553C" w:rsidRPr="00801DD3" w:rsidRDefault="008E553C" w:rsidP="008E553C">
            <w:pPr>
              <w:spacing w:line="240" w:lineRule="auto"/>
              <w:jc w:val="center"/>
              <w:rPr>
                <w:i/>
              </w:rPr>
            </w:pPr>
            <w:r w:rsidRPr="00801DD3">
              <w:rPr>
                <w:i/>
              </w:rPr>
              <w:t>Trend Line Fit</w:t>
            </w:r>
          </w:p>
        </w:tc>
        <w:tc>
          <w:tcPr>
            <w:tcW w:w="1440" w:type="dxa"/>
            <w:tcBorders>
              <w:bottom w:val="single" w:sz="4" w:space="0" w:color="auto"/>
            </w:tcBorders>
            <w:vAlign w:val="center"/>
          </w:tcPr>
          <w:p w14:paraId="426B3E2B" w14:textId="77777777" w:rsidR="008E553C" w:rsidRPr="00801DD3" w:rsidRDefault="008E553C" w:rsidP="008E553C">
            <w:pPr>
              <w:spacing w:line="240" w:lineRule="auto"/>
              <w:jc w:val="center"/>
              <w:rPr>
                <w:i/>
              </w:rPr>
            </w:pPr>
            <w:r w:rsidRPr="00801DD3">
              <w:rPr>
                <w:i/>
              </w:rPr>
              <w:t>R</w:t>
            </w:r>
            <w:r w:rsidRPr="00801DD3">
              <w:rPr>
                <w:i/>
                <w:vertAlign w:val="superscript"/>
              </w:rPr>
              <w:t>2</w:t>
            </w:r>
            <w:r w:rsidRPr="00801DD3">
              <w:rPr>
                <w:i/>
              </w:rPr>
              <w:t>-Value</w:t>
            </w:r>
          </w:p>
        </w:tc>
        <w:tc>
          <w:tcPr>
            <w:tcW w:w="1743" w:type="dxa"/>
            <w:tcBorders>
              <w:bottom w:val="single" w:sz="4" w:space="0" w:color="auto"/>
            </w:tcBorders>
            <w:vAlign w:val="center"/>
          </w:tcPr>
          <w:p w14:paraId="273CC972" w14:textId="77777777" w:rsidR="008E553C" w:rsidRPr="00801DD3" w:rsidRDefault="008E553C" w:rsidP="008E553C">
            <w:pPr>
              <w:spacing w:line="240" w:lineRule="auto"/>
              <w:jc w:val="center"/>
              <w:rPr>
                <w:i/>
              </w:rPr>
            </w:pPr>
            <w:r w:rsidRPr="00801DD3">
              <w:rPr>
                <w:i/>
              </w:rPr>
              <w:t>Trend Line Fit</w:t>
            </w:r>
          </w:p>
        </w:tc>
        <w:tc>
          <w:tcPr>
            <w:tcW w:w="1440" w:type="dxa"/>
            <w:tcBorders>
              <w:bottom w:val="single" w:sz="4" w:space="0" w:color="auto"/>
            </w:tcBorders>
            <w:vAlign w:val="center"/>
          </w:tcPr>
          <w:p w14:paraId="6208DB60" w14:textId="77777777" w:rsidR="008E553C" w:rsidRPr="00801DD3" w:rsidRDefault="008E553C" w:rsidP="008E553C">
            <w:pPr>
              <w:spacing w:line="240" w:lineRule="auto"/>
              <w:jc w:val="center"/>
              <w:rPr>
                <w:i/>
              </w:rPr>
            </w:pPr>
            <w:r w:rsidRPr="00801DD3">
              <w:rPr>
                <w:i/>
              </w:rPr>
              <w:t>R</w:t>
            </w:r>
            <w:r w:rsidRPr="00801DD3">
              <w:rPr>
                <w:i/>
                <w:vertAlign w:val="superscript"/>
              </w:rPr>
              <w:t>2</w:t>
            </w:r>
            <w:r w:rsidRPr="00801DD3">
              <w:rPr>
                <w:i/>
              </w:rPr>
              <w:t>-Value</w:t>
            </w:r>
          </w:p>
        </w:tc>
      </w:tr>
      <w:tr w:rsidR="008E553C" w14:paraId="593DC302" w14:textId="77777777" w:rsidTr="008E553C">
        <w:trPr>
          <w:trHeight w:val="360"/>
          <w:jc w:val="center"/>
        </w:trPr>
        <w:tc>
          <w:tcPr>
            <w:tcW w:w="1152" w:type="dxa"/>
            <w:tcBorders>
              <w:right w:val="single" w:sz="4" w:space="0" w:color="auto"/>
            </w:tcBorders>
            <w:vAlign w:val="center"/>
          </w:tcPr>
          <w:p w14:paraId="695DFD35" w14:textId="77777777" w:rsidR="008E553C" w:rsidRPr="004F3626" w:rsidRDefault="008E553C" w:rsidP="008E553C">
            <w:pPr>
              <w:spacing w:line="240" w:lineRule="auto"/>
              <w:jc w:val="center"/>
              <w:rPr>
                <w:i/>
              </w:rPr>
            </w:pPr>
            <w:r>
              <w:rPr>
                <w:i/>
              </w:rPr>
              <w:t>69 kPa</w:t>
            </w:r>
          </w:p>
        </w:tc>
        <w:tc>
          <w:tcPr>
            <w:tcW w:w="1742" w:type="dxa"/>
            <w:tcBorders>
              <w:top w:val="single" w:sz="4" w:space="0" w:color="auto"/>
              <w:left w:val="single" w:sz="4" w:space="0" w:color="auto"/>
            </w:tcBorders>
            <w:shd w:val="clear" w:color="auto" w:fill="B8CCE4" w:themeFill="accent1" w:themeFillTint="66"/>
            <w:vAlign w:val="center"/>
          </w:tcPr>
          <w:p w14:paraId="55C7C58D" w14:textId="3E935053" w:rsidR="008E553C" w:rsidRDefault="008E553C" w:rsidP="008E553C">
            <w:pPr>
              <w:spacing w:line="240" w:lineRule="auto"/>
              <w:jc w:val="center"/>
            </w:pPr>
            <w:r>
              <w:t>0.053R + 3.599</w:t>
            </w:r>
          </w:p>
        </w:tc>
        <w:tc>
          <w:tcPr>
            <w:tcW w:w="1440" w:type="dxa"/>
            <w:tcBorders>
              <w:top w:val="single" w:sz="4" w:space="0" w:color="auto"/>
              <w:right w:val="single" w:sz="4" w:space="0" w:color="auto"/>
            </w:tcBorders>
            <w:shd w:val="clear" w:color="auto" w:fill="B8CCE4" w:themeFill="accent1" w:themeFillTint="66"/>
            <w:vAlign w:val="center"/>
          </w:tcPr>
          <w:p w14:paraId="6BF29041" w14:textId="283449D6" w:rsidR="008E553C" w:rsidRDefault="008E553C" w:rsidP="008E553C">
            <w:pPr>
              <w:spacing w:line="240" w:lineRule="auto"/>
              <w:jc w:val="center"/>
            </w:pPr>
            <w:r>
              <w:t>0.85</w:t>
            </w:r>
            <w:r w:rsidR="00FD391F">
              <w:t>10</w:t>
            </w:r>
          </w:p>
        </w:tc>
        <w:tc>
          <w:tcPr>
            <w:tcW w:w="1743" w:type="dxa"/>
            <w:tcBorders>
              <w:top w:val="single" w:sz="4" w:space="0" w:color="auto"/>
              <w:left w:val="single" w:sz="4" w:space="0" w:color="auto"/>
            </w:tcBorders>
            <w:shd w:val="clear" w:color="auto" w:fill="B8CCE4" w:themeFill="accent1" w:themeFillTint="66"/>
            <w:vAlign w:val="center"/>
          </w:tcPr>
          <w:p w14:paraId="53950C3E" w14:textId="77777777" w:rsidR="008E553C" w:rsidRDefault="008E553C" w:rsidP="008E553C">
            <w:pPr>
              <w:spacing w:line="240" w:lineRule="auto"/>
              <w:jc w:val="center"/>
            </w:pPr>
            <w:r>
              <w:t>0.008R + 0.525</w:t>
            </w:r>
          </w:p>
        </w:tc>
        <w:tc>
          <w:tcPr>
            <w:tcW w:w="1440" w:type="dxa"/>
            <w:tcBorders>
              <w:top w:val="single" w:sz="4" w:space="0" w:color="auto"/>
              <w:right w:val="single" w:sz="4" w:space="0" w:color="auto"/>
            </w:tcBorders>
            <w:shd w:val="clear" w:color="auto" w:fill="B8CCE4" w:themeFill="accent1" w:themeFillTint="66"/>
            <w:vAlign w:val="center"/>
          </w:tcPr>
          <w:p w14:paraId="18037F77" w14:textId="77777777" w:rsidR="008E553C" w:rsidRDefault="008E553C" w:rsidP="008E553C">
            <w:pPr>
              <w:spacing w:line="240" w:lineRule="auto"/>
              <w:jc w:val="center"/>
            </w:pPr>
            <w:r>
              <w:t>0.9724</w:t>
            </w:r>
          </w:p>
        </w:tc>
      </w:tr>
      <w:tr w:rsidR="008E553C" w14:paraId="759A4CF4" w14:textId="77777777" w:rsidTr="008E553C">
        <w:trPr>
          <w:trHeight w:val="360"/>
          <w:jc w:val="center"/>
        </w:trPr>
        <w:tc>
          <w:tcPr>
            <w:tcW w:w="1152" w:type="dxa"/>
            <w:tcBorders>
              <w:right w:val="single" w:sz="4" w:space="0" w:color="auto"/>
            </w:tcBorders>
            <w:vAlign w:val="center"/>
          </w:tcPr>
          <w:p w14:paraId="316F0835" w14:textId="77777777" w:rsidR="008E553C" w:rsidRPr="004F3626" w:rsidRDefault="008E553C" w:rsidP="008E553C">
            <w:pPr>
              <w:spacing w:line="240" w:lineRule="auto"/>
              <w:jc w:val="center"/>
              <w:rPr>
                <w:i/>
              </w:rPr>
            </w:pPr>
            <w:r>
              <w:rPr>
                <w:i/>
              </w:rPr>
              <w:t>207 kPa</w:t>
            </w:r>
          </w:p>
        </w:tc>
        <w:tc>
          <w:tcPr>
            <w:tcW w:w="1742" w:type="dxa"/>
            <w:tcBorders>
              <w:left w:val="single" w:sz="4" w:space="0" w:color="auto"/>
            </w:tcBorders>
            <w:shd w:val="clear" w:color="auto" w:fill="E5B8B7" w:themeFill="accent2" w:themeFillTint="66"/>
            <w:vAlign w:val="center"/>
          </w:tcPr>
          <w:p w14:paraId="0B9AA2FD" w14:textId="62883A9A" w:rsidR="008E553C" w:rsidRDefault="00FD391F" w:rsidP="00FD391F">
            <w:pPr>
              <w:spacing w:line="240" w:lineRule="auto"/>
              <w:jc w:val="center"/>
            </w:pPr>
            <w:r>
              <w:t>0.039R + 1</w:t>
            </w:r>
            <w:r w:rsidR="008E553C">
              <w:t>.</w:t>
            </w:r>
            <w:r>
              <w:t>893</w:t>
            </w:r>
          </w:p>
        </w:tc>
        <w:tc>
          <w:tcPr>
            <w:tcW w:w="1440" w:type="dxa"/>
            <w:tcBorders>
              <w:right w:val="single" w:sz="4" w:space="0" w:color="auto"/>
            </w:tcBorders>
            <w:shd w:val="clear" w:color="auto" w:fill="E5B8B7" w:themeFill="accent2" w:themeFillTint="66"/>
            <w:vAlign w:val="center"/>
          </w:tcPr>
          <w:p w14:paraId="466B6D32" w14:textId="0524718E" w:rsidR="008E553C" w:rsidRDefault="00FD391F" w:rsidP="008E553C">
            <w:pPr>
              <w:spacing w:line="240" w:lineRule="auto"/>
              <w:jc w:val="center"/>
            </w:pPr>
            <w:r>
              <w:t>0.8413</w:t>
            </w:r>
          </w:p>
        </w:tc>
        <w:tc>
          <w:tcPr>
            <w:tcW w:w="1743" w:type="dxa"/>
            <w:tcBorders>
              <w:left w:val="single" w:sz="4" w:space="0" w:color="auto"/>
            </w:tcBorders>
            <w:shd w:val="clear" w:color="auto" w:fill="E5B8B7" w:themeFill="accent2" w:themeFillTint="66"/>
            <w:vAlign w:val="center"/>
          </w:tcPr>
          <w:p w14:paraId="2248F43A" w14:textId="77777777" w:rsidR="008E553C" w:rsidRDefault="008E553C" w:rsidP="008E553C">
            <w:pPr>
              <w:spacing w:line="240" w:lineRule="auto"/>
              <w:jc w:val="center"/>
            </w:pPr>
            <w:r>
              <w:t>0.006R + 0.401</w:t>
            </w:r>
          </w:p>
        </w:tc>
        <w:tc>
          <w:tcPr>
            <w:tcW w:w="1440" w:type="dxa"/>
            <w:tcBorders>
              <w:right w:val="single" w:sz="4" w:space="0" w:color="auto"/>
            </w:tcBorders>
            <w:shd w:val="clear" w:color="auto" w:fill="E5B8B7" w:themeFill="accent2" w:themeFillTint="66"/>
            <w:vAlign w:val="center"/>
          </w:tcPr>
          <w:p w14:paraId="63CE1F79" w14:textId="77777777" w:rsidR="008E553C" w:rsidRDefault="008E553C" w:rsidP="008E553C">
            <w:pPr>
              <w:spacing w:line="240" w:lineRule="auto"/>
              <w:jc w:val="center"/>
            </w:pPr>
            <w:r>
              <w:t>0.8916</w:t>
            </w:r>
          </w:p>
        </w:tc>
      </w:tr>
      <w:tr w:rsidR="008E553C" w14:paraId="0FD79EBB" w14:textId="77777777" w:rsidTr="008E553C">
        <w:trPr>
          <w:trHeight w:val="360"/>
          <w:jc w:val="center"/>
        </w:trPr>
        <w:tc>
          <w:tcPr>
            <w:tcW w:w="1152" w:type="dxa"/>
            <w:tcBorders>
              <w:right w:val="single" w:sz="4" w:space="0" w:color="auto"/>
            </w:tcBorders>
            <w:vAlign w:val="center"/>
          </w:tcPr>
          <w:p w14:paraId="3B873157" w14:textId="77777777" w:rsidR="008E553C" w:rsidRPr="004F3626" w:rsidRDefault="008E553C" w:rsidP="008E553C">
            <w:pPr>
              <w:spacing w:line="240" w:lineRule="auto"/>
              <w:jc w:val="center"/>
              <w:rPr>
                <w:i/>
              </w:rPr>
            </w:pPr>
            <w:r>
              <w:rPr>
                <w:i/>
              </w:rPr>
              <w:t>345 kPa</w:t>
            </w:r>
          </w:p>
        </w:tc>
        <w:tc>
          <w:tcPr>
            <w:tcW w:w="1742" w:type="dxa"/>
            <w:tcBorders>
              <w:left w:val="single" w:sz="4" w:space="0" w:color="auto"/>
            </w:tcBorders>
            <w:shd w:val="clear" w:color="auto" w:fill="D6E3BC" w:themeFill="accent3" w:themeFillTint="66"/>
            <w:vAlign w:val="center"/>
          </w:tcPr>
          <w:p w14:paraId="4C7CA475" w14:textId="36D46F54" w:rsidR="008E553C" w:rsidRDefault="00FD391F" w:rsidP="00FD391F">
            <w:pPr>
              <w:spacing w:line="240" w:lineRule="auto"/>
              <w:jc w:val="center"/>
            </w:pPr>
            <w:r>
              <w:t>0.035</w:t>
            </w:r>
            <w:r w:rsidR="008E553C">
              <w:t xml:space="preserve">R + </w:t>
            </w:r>
            <w:r>
              <w:t>1</w:t>
            </w:r>
            <w:r w:rsidR="008E553C">
              <w:t>.</w:t>
            </w:r>
            <w:r>
              <w:t>5</w:t>
            </w:r>
            <w:r w:rsidR="008E553C">
              <w:t>7</w:t>
            </w:r>
            <w:r>
              <w:t>5</w:t>
            </w:r>
          </w:p>
        </w:tc>
        <w:tc>
          <w:tcPr>
            <w:tcW w:w="1440" w:type="dxa"/>
            <w:tcBorders>
              <w:right w:val="single" w:sz="4" w:space="0" w:color="auto"/>
            </w:tcBorders>
            <w:shd w:val="clear" w:color="auto" w:fill="D6E3BC" w:themeFill="accent3" w:themeFillTint="66"/>
            <w:vAlign w:val="center"/>
          </w:tcPr>
          <w:p w14:paraId="64BDEBC7" w14:textId="426B8E03" w:rsidR="008E553C" w:rsidRDefault="00FD391F" w:rsidP="008E553C">
            <w:pPr>
              <w:spacing w:line="240" w:lineRule="auto"/>
              <w:jc w:val="center"/>
            </w:pPr>
            <w:r>
              <w:t>0.8171</w:t>
            </w:r>
          </w:p>
        </w:tc>
        <w:tc>
          <w:tcPr>
            <w:tcW w:w="1743" w:type="dxa"/>
            <w:tcBorders>
              <w:left w:val="single" w:sz="4" w:space="0" w:color="auto"/>
            </w:tcBorders>
            <w:shd w:val="clear" w:color="auto" w:fill="D6E3BC" w:themeFill="accent3" w:themeFillTint="66"/>
            <w:vAlign w:val="center"/>
          </w:tcPr>
          <w:p w14:paraId="650B11E0" w14:textId="77777777" w:rsidR="008E553C" w:rsidRDefault="008E553C" w:rsidP="008E553C">
            <w:pPr>
              <w:spacing w:line="240" w:lineRule="auto"/>
              <w:jc w:val="center"/>
            </w:pPr>
            <w:r>
              <w:t>0.005R + 0.427</w:t>
            </w:r>
          </w:p>
        </w:tc>
        <w:tc>
          <w:tcPr>
            <w:tcW w:w="1440" w:type="dxa"/>
            <w:tcBorders>
              <w:right w:val="single" w:sz="4" w:space="0" w:color="auto"/>
            </w:tcBorders>
            <w:shd w:val="clear" w:color="auto" w:fill="D6E3BC" w:themeFill="accent3" w:themeFillTint="66"/>
            <w:vAlign w:val="center"/>
          </w:tcPr>
          <w:p w14:paraId="74B99D62" w14:textId="77777777" w:rsidR="008E553C" w:rsidRDefault="008E553C" w:rsidP="008E553C">
            <w:pPr>
              <w:spacing w:line="240" w:lineRule="auto"/>
              <w:jc w:val="center"/>
            </w:pPr>
            <w:r>
              <w:t>0.8638</w:t>
            </w:r>
          </w:p>
        </w:tc>
      </w:tr>
      <w:tr w:rsidR="008E553C" w14:paraId="21428185" w14:textId="77777777" w:rsidTr="008E553C">
        <w:trPr>
          <w:trHeight w:val="360"/>
          <w:jc w:val="center"/>
        </w:trPr>
        <w:tc>
          <w:tcPr>
            <w:tcW w:w="1152" w:type="dxa"/>
            <w:tcBorders>
              <w:right w:val="single" w:sz="4" w:space="0" w:color="auto"/>
            </w:tcBorders>
            <w:vAlign w:val="center"/>
          </w:tcPr>
          <w:p w14:paraId="5DF13596" w14:textId="77777777" w:rsidR="008E553C" w:rsidRPr="004F3626" w:rsidRDefault="008E553C" w:rsidP="008E553C">
            <w:pPr>
              <w:spacing w:line="240" w:lineRule="auto"/>
              <w:jc w:val="center"/>
              <w:rPr>
                <w:i/>
              </w:rPr>
            </w:pPr>
            <w:r>
              <w:rPr>
                <w:i/>
              </w:rPr>
              <w:t>483 kPa</w:t>
            </w:r>
          </w:p>
        </w:tc>
        <w:tc>
          <w:tcPr>
            <w:tcW w:w="1742" w:type="dxa"/>
            <w:tcBorders>
              <w:left w:val="single" w:sz="4" w:space="0" w:color="auto"/>
            </w:tcBorders>
            <w:shd w:val="clear" w:color="auto" w:fill="CCC0D9" w:themeFill="accent4" w:themeFillTint="66"/>
            <w:vAlign w:val="center"/>
          </w:tcPr>
          <w:p w14:paraId="09A1AA8A" w14:textId="4C3D90B3" w:rsidR="008E553C" w:rsidRDefault="00FD391F" w:rsidP="00FD391F">
            <w:pPr>
              <w:spacing w:line="240" w:lineRule="auto"/>
              <w:jc w:val="center"/>
            </w:pPr>
            <w:r>
              <w:t>0.02</w:t>
            </w:r>
            <w:r w:rsidR="008E553C">
              <w:t xml:space="preserve">7R + </w:t>
            </w:r>
            <w:r>
              <w:t>1</w:t>
            </w:r>
            <w:r w:rsidR="008E553C">
              <w:t>.</w:t>
            </w:r>
            <w:r>
              <w:t>787</w:t>
            </w:r>
          </w:p>
        </w:tc>
        <w:tc>
          <w:tcPr>
            <w:tcW w:w="1440" w:type="dxa"/>
            <w:tcBorders>
              <w:right w:val="single" w:sz="4" w:space="0" w:color="auto"/>
            </w:tcBorders>
            <w:shd w:val="clear" w:color="auto" w:fill="CCC0D9" w:themeFill="accent4" w:themeFillTint="66"/>
            <w:vAlign w:val="center"/>
          </w:tcPr>
          <w:p w14:paraId="1A182AF4" w14:textId="1E4C6539" w:rsidR="008E553C" w:rsidRDefault="00FD391F" w:rsidP="008E553C">
            <w:pPr>
              <w:spacing w:line="240" w:lineRule="auto"/>
              <w:jc w:val="center"/>
            </w:pPr>
            <w:r>
              <w:t>0.8766</w:t>
            </w:r>
          </w:p>
        </w:tc>
        <w:tc>
          <w:tcPr>
            <w:tcW w:w="1743" w:type="dxa"/>
            <w:tcBorders>
              <w:left w:val="single" w:sz="4" w:space="0" w:color="auto"/>
            </w:tcBorders>
            <w:shd w:val="clear" w:color="auto" w:fill="CCC0D9" w:themeFill="accent4" w:themeFillTint="66"/>
            <w:vAlign w:val="center"/>
          </w:tcPr>
          <w:p w14:paraId="2C349CAC" w14:textId="77777777" w:rsidR="008E553C" w:rsidRDefault="008E553C" w:rsidP="008E553C">
            <w:pPr>
              <w:spacing w:line="240" w:lineRule="auto"/>
              <w:jc w:val="center"/>
            </w:pPr>
            <w:r>
              <w:t>0.007R + 0.349</w:t>
            </w:r>
          </w:p>
        </w:tc>
        <w:tc>
          <w:tcPr>
            <w:tcW w:w="1440" w:type="dxa"/>
            <w:tcBorders>
              <w:right w:val="single" w:sz="4" w:space="0" w:color="auto"/>
            </w:tcBorders>
            <w:shd w:val="clear" w:color="auto" w:fill="CCC0D9" w:themeFill="accent4" w:themeFillTint="66"/>
            <w:vAlign w:val="center"/>
          </w:tcPr>
          <w:p w14:paraId="796B37A4" w14:textId="77777777" w:rsidR="008E553C" w:rsidRDefault="008E553C" w:rsidP="008E553C">
            <w:pPr>
              <w:spacing w:line="240" w:lineRule="auto"/>
              <w:jc w:val="center"/>
            </w:pPr>
            <w:r>
              <w:t>0.8916</w:t>
            </w:r>
          </w:p>
        </w:tc>
      </w:tr>
    </w:tbl>
    <w:p w14:paraId="5DA6D359" w14:textId="77777777" w:rsidR="008E553C" w:rsidRDefault="008E553C" w:rsidP="008E553C">
      <w:pPr>
        <w:jc w:val="center"/>
      </w:pPr>
    </w:p>
    <w:p w14:paraId="0417E74F" w14:textId="77777777" w:rsidR="00355B64" w:rsidRPr="00355B64" w:rsidRDefault="00355B64" w:rsidP="00F8222A">
      <w:pPr>
        <w:jc w:val="center"/>
      </w:pPr>
    </w:p>
    <w:p w14:paraId="04B3500C" w14:textId="6E12978D" w:rsidR="00355B64" w:rsidRPr="00355B64" w:rsidRDefault="00355B64" w:rsidP="00355B64">
      <w:pPr>
        <w:pStyle w:val="Heading3"/>
      </w:pPr>
      <w:bookmarkStart w:id="257" w:name="_Ref346278235"/>
      <w:bookmarkStart w:id="258" w:name="_Toc346311019"/>
      <w:r>
        <w:t>Effect of Fabrication Pressure on Equilibrium Fluid Content</w:t>
      </w:r>
      <w:bookmarkEnd w:id="257"/>
      <w:bookmarkEnd w:id="258"/>
    </w:p>
    <w:p w14:paraId="405E4875" w14:textId="7E7169A6" w:rsidR="00D53C8A" w:rsidRDefault="00D53C8A" w:rsidP="0039557A">
      <w:pPr>
        <w:ind w:firstLine="360"/>
      </w:pPr>
      <w:r>
        <w:t xml:space="preserve">The effect of fabrication pressure on the equilibrium fluid content for quartz/BMI and quartz/epoxy is shown in </w:t>
      </w:r>
      <w:r>
        <w:fldChar w:fldCharType="begin"/>
      </w:r>
      <w:r>
        <w:instrText xml:space="preserve"> REF _Ref344550894 \h </w:instrText>
      </w:r>
      <w:r>
        <w:fldChar w:fldCharType="separate"/>
      </w:r>
      <w:r w:rsidR="008A1992" w:rsidRPr="004F3626">
        <w:t xml:space="preserve">Figure </w:t>
      </w:r>
      <w:r w:rsidR="008A1992">
        <w:rPr>
          <w:noProof/>
        </w:rPr>
        <w:t>5</w:t>
      </w:r>
      <w:r w:rsidR="008A1992">
        <w:t>.</w:t>
      </w:r>
      <w:r w:rsidR="008A1992">
        <w:rPr>
          <w:noProof/>
        </w:rPr>
        <w:t>9</w:t>
      </w:r>
      <w:r>
        <w:fldChar w:fldCharType="end"/>
      </w:r>
      <w:r>
        <w:t>.  The trend line equations for each prepreg conditioning and fabrication pressure specimen are provided in</w:t>
      </w:r>
      <w:r w:rsidR="007B5FED">
        <w:t xml:space="preserve"> </w:t>
      </w:r>
      <w:r w:rsidR="007B5FED">
        <w:fldChar w:fldCharType="begin"/>
      </w:r>
      <w:r w:rsidR="007B5FED">
        <w:instrText xml:space="preserve"> REF _Ref340842284 \h </w:instrText>
      </w:r>
      <w:r w:rsidR="007B5FED">
        <w:fldChar w:fldCharType="separate"/>
      </w:r>
      <w:r w:rsidR="008A1992" w:rsidRPr="009A3450">
        <w:t xml:space="preserve">Table </w:t>
      </w:r>
      <w:r w:rsidR="008A1992">
        <w:rPr>
          <w:noProof/>
        </w:rPr>
        <w:t>5</w:t>
      </w:r>
      <w:r w:rsidR="008A1992">
        <w:t>.</w:t>
      </w:r>
      <w:r w:rsidR="008A1992">
        <w:rPr>
          <w:noProof/>
        </w:rPr>
        <w:t>5</w:t>
      </w:r>
      <w:r w:rsidR="007B5FED">
        <w:fldChar w:fldCharType="end"/>
      </w:r>
      <w:r>
        <w:t xml:space="preserve">. </w:t>
      </w:r>
      <w:r w:rsidR="007B5FED">
        <w:t xml:space="preserve"> The best trend line fits for equilibrium fluid content as a function of fabrication pressure was achieved by applying power functions</w:t>
      </w:r>
      <w:r w:rsidR="009A3450">
        <w:t>.</w:t>
      </w:r>
      <w:r w:rsidR="007B5FED">
        <w:t xml:space="preserve">  Quartz/BMI generally had higher accuracy of the model fits when compared to quartz/epoxy.</w:t>
      </w:r>
      <w:r w:rsidR="000346CD">
        <w:t xml:space="preserve">  Equilibrium fluid content was also more sensitive to changes in fabrication pressure for BMI, which was indicated by the larger exponential values for this material when compared to epoxy.  Generally the rate</w:t>
      </w:r>
      <w:r w:rsidR="005869CC">
        <w:t xml:space="preserve"> of decrease</w:t>
      </w:r>
      <w:r w:rsidR="000346CD">
        <w:t xml:space="preserve"> for BMI was two or three times that for epoxy.  This indicates that the applied cure pressure contributes significantly to the amount of hydraulic fluid absorbed for BMI resin applications.</w:t>
      </w:r>
    </w:p>
    <w:p w14:paraId="409A687D" w14:textId="77777777" w:rsidR="000346CD" w:rsidRDefault="000346CD" w:rsidP="0039557A">
      <w:pPr>
        <w:ind w:firstLine="360"/>
      </w:pPr>
    </w:p>
    <w:p w14:paraId="0E102418" w14:textId="727601CF" w:rsidR="004F3626" w:rsidRDefault="005869CC" w:rsidP="004F3626">
      <w:pPr>
        <w:keepNext/>
        <w:jc w:val="center"/>
      </w:pPr>
      <w:r>
        <w:rPr>
          <w:noProof/>
        </w:rPr>
        <mc:AlternateContent>
          <mc:Choice Requires="wpg">
            <w:drawing>
              <wp:inline distT="0" distB="0" distL="0" distR="0" wp14:anchorId="34304D46" wp14:editId="370A2929">
                <wp:extent cx="5394960" cy="2892013"/>
                <wp:effectExtent l="0" t="0" r="0" b="3810"/>
                <wp:docPr id="251" name="Group 7"/>
                <wp:cNvGraphicFramePr/>
                <a:graphic xmlns:a="http://schemas.openxmlformats.org/drawingml/2006/main">
                  <a:graphicData uri="http://schemas.microsoft.com/office/word/2010/wordprocessingGroup">
                    <wpg:wgp>
                      <wpg:cNvGrpSpPr/>
                      <wpg:grpSpPr>
                        <a:xfrm>
                          <a:off x="0" y="0"/>
                          <a:ext cx="5394960" cy="2892013"/>
                          <a:chOff x="0" y="0"/>
                          <a:chExt cx="5397964" cy="2834640"/>
                        </a:xfrm>
                      </wpg:grpSpPr>
                      <wpg:graphicFrame>
                        <wpg:cNvPr id="252" name="Chart 252"/>
                        <wpg:cNvFrPr/>
                        <wpg:xfrm>
                          <a:off x="0" y="0"/>
                          <a:ext cx="2697480" cy="2834640"/>
                        </wpg:xfrm>
                        <a:graphic>
                          <a:graphicData uri="http://schemas.openxmlformats.org/drawingml/2006/chart">
                            <c:chart xmlns:c="http://schemas.openxmlformats.org/drawingml/2006/chart" xmlns:r="http://schemas.openxmlformats.org/officeDocument/2006/relationships" r:id="rId152"/>
                          </a:graphicData>
                        </a:graphic>
                      </wpg:graphicFrame>
                      <wpg:graphicFrame>
                        <wpg:cNvPr id="253" name="Chart 253"/>
                        <wpg:cNvFrPr>
                          <a:graphicFrameLocks/>
                        </wpg:cNvFrPr>
                        <wpg:xfrm>
                          <a:off x="2700484" y="0"/>
                          <a:ext cx="2697480" cy="2834640"/>
                        </wpg:xfrm>
                        <a:graphic>
                          <a:graphicData uri="http://schemas.openxmlformats.org/drawingml/2006/chart">
                            <c:chart xmlns:c="http://schemas.openxmlformats.org/drawingml/2006/chart" xmlns:r="http://schemas.openxmlformats.org/officeDocument/2006/relationships" r:id="rId153"/>
                          </a:graphicData>
                        </a:graphic>
                      </wpg:graphicFrame>
                    </wpg:wgp>
                  </a:graphicData>
                </a:graphic>
              </wp:inline>
            </w:drawing>
          </mc:Choice>
          <mc:Fallback>
            <w:pict>
              <v:group id="Group 7" o:spid="_x0000_s1026" style="width:424.8pt;height:227.7pt;mso-position-horizontal-relative:char;mso-position-vertical-relative:line" coordsize="5397964,2834640" o:gfxdata="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">
                <v:shape id="Chart 252" o:spid="_x0000_s1027" type="#_x0000_t75" style="position:absolute;width:2695932;height:2832181;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">
                  <v:imagedata r:id="rId154" o:title=""/>
                  <o:lock v:ext="edit" aspectratio="f"/>
                </v:shape>
                <v:shape id="Chart 253" o:spid="_x0000_s1028" type="#_x0000_t75" style="position:absolute;left:2695932;width:2702032;height:2832181;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">
                  <v:imagedata r:id="rId155" o:title=""/>
                  <o:lock v:ext="edit" aspectratio="f"/>
                </v:shape>
                <w10:anchorlock/>
              </v:group>
            </w:pict>
          </mc:Fallback>
        </mc:AlternateContent>
      </w:r>
    </w:p>
    <w:p w14:paraId="041416B1" w14:textId="014855EE" w:rsidR="004F3626" w:rsidRDefault="004F3626" w:rsidP="000346CD">
      <w:pPr>
        <w:pStyle w:val="Caption"/>
        <w:spacing w:line="240" w:lineRule="auto"/>
        <w:jc w:val="center"/>
        <w:rPr>
          <w:sz w:val="24"/>
          <w:szCs w:val="24"/>
        </w:rPr>
      </w:pPr>
      <w:bookmarkStart w:id="259" w:name="_Ref344550894"/>
      <w:bookmarkStart w:id="260" w:name="_Toc346310448"/>
      <w:proofErr w:type="gramStart"/>
      <w:r w:rsidRPr="004F3626">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5</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9</w:t>
      </w:r>
      <w:r w:rsidR="00C16D85">
        <w:rPr>
          <w:sz w:val="24"/>
        </w:rPr>
        <w:fldChar w:fldCharType="end"/>
      </w:r>
      <w:bookmarkEnd w:id="259"/>
      <w:r w:rsidRPr="004F3626">
        <w:rPr>
          <w:sz w:val="24"/>
        </w:rPr>
        <w:t xml:space="preserve"> </w:t>
      </w:r>
      <w:r w:rsidR="00D53C8A" w:rsidRPr="00261427">
        <w:rPr>
          <w:sz w:val="24"/>
          <w:szCs w:val="24"/>
        </w:rPr>
        <w:t xml:space="preserve">Effect of </w:t>
      </w:r>
      <w:r w:rsidR="007B5FED">
        <w:rPr>
          <w:sz w:val="24"/>
          <w:szCs w:val="24"/>
        </w:rPr>
        <w:t>fabrication cure pressure</w:t>
      </w:r>
      <w:r w:rsidR="00D53C8A" w:rsidRPr="00261427">
        <w:rPr>
          <w:sz w:val="24"/>
          <w:szCs w:val="24"/>
        </w:rPr>
        <w:t xml:space="preserve"> on equilibrium fluid content for quartz-reinforced (AQIII) lamina</w:t>
      </w:r>
      <w:r w:rsidR="00D53C8A">
        <w:rPr>
          <w:sz w:val="24"/>
          <w:szCs w:val="24"/>
        </w:rPr>
        <w:t>tes with either (a) BMI resin or</w:t>
      </w:r>
      <w:r w:rsidR="00D53C8A" w:rsidRPr="00261427">
        <w:rPr>
          <w:sz w:val="24"/>
          <w:szCs w:val="24"/>
        </w:rPr>
        <w:t xml:space="preserve"> (b) EX-1522 epoxy resin</w:t>
      </w:r>
      <w:bookmarkEnd w:id="260"/>
    </w:p>
    <w:p w14:paraId="7EA76ACF" w14:textId="77777777" w:rsidR="000346CD" w:rsidRDefault="000346CD" w:rsidP="000346CD"/>
    <w:p w14:paraId="77B97A83" w14:textId="77777777" w:rsidR="000346CD" w:rsidRPr="000346CD" w:rsidRDefault="000346CD" w:rsidP="000346CD"/>
    <w:p w14:paraId="72445EE1" w14:textId="264B95CB" w:rsidR="009A3450" w:rsidRPr="009A3450" w:rsidRDefault="009A3450" w:rsidP="009A3450">
      <w:pPr>
        <w:pStyle w:val="Caption"/>
        <w:keepNext/>
        <w:spacing w:after="120" w:line="240" w:lineRule="auto"/>
        <w:jc w:val="center"/>
        <w:rPr>
          <w:sz w:val="24"/>
          <w:szCs w:val="24"/>
        </w:rPr>
      </w:pPr>
      <w:bookmarkStart w:id="261" w:name="_Ref340842284"/>
      <w:bookmarkStart w:id="262" w:name="_Toc346310860"/>
      <w:proofErr w:type="gramStart"/>
      <w:r w:rsidRPr="009A3450">
        <w:rPr>
          <w:sz w:val="24"/>
          <w:szCs w:val="24"/>
        </w:rPr>
        <w:t xml:space="preserve">Table </w:t>
      </w:r>
      <w:r w:rsidR="00707D23">
        <w:rPr>
          <w:sz w:val="24"/>
          <w:szCs w:val="24"/>
        </w:rPr>
        <w:fldChar w:fldCharType="begin"/>
      </w:r>
      <w:r w:rsidR="00707D23">
        <w:rPr>
          <w:sz w:val="24"/>
          <w:szCs w:val="24"/>
        </w:rPr>
        <w:instrText xml:space="preserve"> STYLEREF 1 \s </w:instrText>
      </w:r>
      <w:r w:rsidR="00707D23">
        <w:rPr>
          <w:sz w:val="24"/>
          <w:szCs w:val="24"/>
        </w:rPr>
        <w:fldChar w:fldCharType="separate"/>
      </w:r>
      <w:r w:rsidR="008A1992">
        <w:rPr>
          <w:noProof/>
          <w:sz w:val="24"/>
          <w:szCs w:val="24"/>
        </w:rPr>
        <w:t>5</w:t>
      </w:r>
      <w:r w:rsidR="00707D23">
        <w:rPr>
          <w:sz w:val="24"/>
          <w:szCs w:val="24"/>
        </w:rPr>
        <w:fldChar w:fldCharType="end"/>
      </w:r>
      <w:r w:rsidR="00707D23">
        <w:rPr>
          <w:sz w:val="24"/>
          <w:szCs w:val="24"/>
        </w:rPr>
        <w:t>.</w:t>
      </w:r>
      <w:proofErr w:type="gramEnd"/>
      <w:r w:rsidR="00707D23">
        <w:rPr>
          <w:sz w:val="24"/>
          <w:szCs w:val="24"/>
        </w:rPr>
        <w:fldChar w:fldCharType="begin"/>
      </w:r>
      <w:r w:rsidR="00707D23">
        <w:rPr>
          <w:sz w:val="24"/>
          <w:szCs w:val="24"/>
        </w:rPr>
        <w:instrText xml:space="preserve"> SEQ Table \* ARABIC \s 1 </w:instrText>
      </w:r>
      <w:r w:rsidR="00707D23">
        <w:rPr>
          <w:sz w:val="24"/>
          <w:szCs w:val="24"/>
        </w:rPr>
        <w:fldChar w:fldCharType="separate"/>
      </w:r>
      <w:r w:rsidR="008A1992">
        <w:rPr>
          <w:noProof/>
          <w:sz w:val="24"/>
          <w:szCs w:val="24"/>
        </w:rPr>
        <w:t>5</w:t>
      </w:r>
      <w:r w:rsidR="00707D23">
        <w:rPr>
          <w:sz w:val="24"/>
          <w:szCs w:val="24"/>
        </w:rPr>
        <w:fldChar w:fldCharType="end"/>
      </w:r>
      <w:bookmarkEnd w:id="261"/>
      <w:r w:rsidRPr="009A3450">
        <w:rPr>
          <w:sz w:val="24"/>
          <w:szCs w:val="24"/>
        </w:rPr>
        <w:t xml:space="preserve"> </w:t>
      </w:r>
      <w:r w:rsidR="004F3626">
        <w:rPr>
          <w:sz w:val="24"/>
          <w:szCs w:val="24"/>
        </w:rPr>
        <w:t xml:space="preserve">Trend line equations for </w:t>
      </w:r>
      <w:r w:rsidR="00430CC2">
        <w:rPr>
          <w:sz w:val="24"/>
          <w:szCs w:val="24"/>
        </w:rPr>
        <w:t xml:space="preserve">effect of fabrication pressure on </w:t>
      </w:r>
      <w:r w:rsidR="004F3626">
        <w:rPr>
          <w:sz w:val="24"/>
          <w:szCs w:val="24"/>
        </w:rPr>
        <w:t>equilibrium fluid content of quartz-reinforced laminates</w:t>
      </w:r>
      <w:bookmarkEnd w:id="262"/>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2"/>
        <w:gridCol w:w="1742"/>
        <w:gridCol w:w="1440"/>
        <w:gridCol w:w="1743"/>
        <w:gridCol w:w="1440"/>
      </w:tblGrid>
      <w:tr w:rsidR="00801DD3" w14:paraId="6580FEE5" w14:textId="77777777" w:rsidTr="000F52EA">
        <w:trPr>
          <w:trHeight w:val="360"/>
          <w:jc w:val="center"/>
        </w:trPr>
        <w:tc>
          <w:tcPr>
            <w:tcW w:w="1152" w:type="dxa"/>
            <w:tcBorders>
              <w:top w:val="single" w:sz="8" w:space="0" w:color="auto"/>
            </w:tcBorders>
            <w:vAlign w:val="center"/>
          </w:tcPr>
          <w:p w14:paraId="4D5040ED" w14:textId="77777777" w:rsidR="00801DD3" w:rsidRDefault="00801DD3" w:rsidP="00801DD3">
            <w:pPr>
              <w:spacing w:line="240" w:lineRule="auto"/>
              <w:jc w:val="center"/>
            </w:pPr>
          </w:p>
        </w:tc>
        <w:tc>
          <w:tcPr>
            <w:tcW w:w="3182" w:type="dxa"/>
            <w:gridSpan w:val="2"/>
            <w:tcBorders>
              <w:top w:val="single" w:sz="8" w:space="0" w:color="auto"/>
            </w:tcBorders>
            <w:vAlign w:val="center"/>
          </w:tcPr>
          <w:p w14:paraId="1AD79AF1" w14:textId="77777777" w:rsidR="00801DD3" w:rsidRPr="004F3626" w:rsidRDefault="00801DD3" w:rsidP="00801DD3">
            <w:pPr>
              <w:spacing w:line="240" w:lineRule="auto"/>
              <w:jc w:val="center"/>
              <w:rPr>
                <w:b/>
              </w:rPr>
            </w:pPr>
            <w:r w:rsidRPr="004F3626">
              <w:rPr>
                <w:b/>
              </w:rPr>
              <w:t>Quartz/BMI</w:t>
            </w:r>
          </w:p>
        </w:tc>
        <w:tc>
          <w:tcPr>
            <w:tcW w:w="3183" w:type="dxa"/>
            <w:gridSpan w:val="2"/>
            <w:tcBorders>
              <w:top w:val="single" w:sz="8" w:space="0" w:color="auto"/>
            </w:tcBorders>
            <w:vAlign w:val="center"/>
          </w:tcPr>
          <w:p w14:paraId="5C5FE27F" w14:textId="77777777" w:rsidR="00801DD3" w:rsidRPr="004F3626" w:rsidRDefault="00801DD3" w:rsidP="00801DD3">
            <w:pPr>
              <w:spacing w:line="240" w:lineRule="auto"/>
              <w:jc w:val="center"/>
              <w:rPr>
                <w:b/>
              </w:rPr>
            </w:pPr>
            <w:r w:rsidRPr="004F3626">
              <w:rPr>
                <w:b/>
              </w:rPr>
              <w:t>Quartz/Epoxy</w:t>
            </w:r>
          </w:p>
        </w:tc>
      </w:tr>
      <w:tr w:rsidR="00801DD3" w14:paraId="317B5372" w14:textId="77777777" w:rsidTr="0039557A">
        <w:trPr>
          <w:trHeight w:val="360"/>
          <w:jc w:val="center"/>
        </w:trPr>
        <w:tc>
          <w:tcPr>
            <w:tcW w:w="1152" w:type="dxa"/>
            <w:vAlign w:val="center"/>
          </w:tcPr>
          <w:p w14:paraId="20BF9273" w14:textId="77777777" w:rsidR="00801DD3" w:rsidRDefault="00801DD3" w:rsidP="00801DD3">
            <w:pPr>
              <w:spacing w:line="240" w:lineRule="auto"/>
              <w:jc w:val="center"/>
            </w:pPr>
          </w:p>
        </w:tc>
        <w:tc>
          <w:tcPr>
            <w:tcW w:w="1742" w:type="dxa"/>
            <w:tcBorders>
              <w:bottom w:val="single" w:sz="4" w:space="0" w:color="auto"/>
            </w:tcBorders>
            <w:vAlign w:val="center"/>
          </w:tcPr>
          <w:p w14:paraId="706217E5" w14:textId="77777777" w:rsidR="00801DD3" w:rsidRPr="00801DD3" w:rsidRDefault="00801DD3" w:rsidP="00801DD3">
            <w:pPr>
              <w:spacing w:line="240" w:lineRule="auto"/>
              <w:jc w:val="center"/>
              <w:rPr>
                <w:i/>
              </w:rPr>
            </w:pPr>
            <w:r w:rsidRPr="00801DD3">
              <w:rPr>
                <w:i/>
              </w:rPr>
              <w:t>Trend Line Fit</w:t>
            </w:r>
          </w:p>
        </w:tc>
        <w:tc>
          <w:tcPr>
            <w:tcW w:w="1440" w:type="dxa"/>
            <w:tcBorders>
              <w:bottom w:val="single" w:sz="4" w:space="0" w:color="auto"/>
            </w:tcBorders>
            <w:vAlign w:val="center"/>
          </w:tcPr>
          <w:p w14:paraId="7E3BAF63" w14:textId="77777777" w:rsidR="00801DD3" w:rsidRPr="00801DD3" w:rsidRDefault="00801DD3" w:rsidP="00801DD3">
            <w:pPr>
              <w:spacing w:line="240" w:lineRule="auto"/>
              <w:jc w:val="center"/>
              <w:rPr>
                <w:i/>
              </w:rPr>
            </w:pPr>
            <w:r w:rsidRPr="00801DD3">
              <w:rPr>
                <w:i/>
              </w:rPr>
              <w:t>R</w:t>
            </w:r>
            <w:r w:rsidRPr="00801DD3">
              <w:rPr>
                <w:i/>
                <w:vertAlign w:val="superscript"/>
              </w:rPr>
              <w:t>2</w:t>
            </w:r>
            <w:r w:rsidRPr="00801DD3">
              <w:rPr>
                <w:i/>
              </w:rPr>
              <w:t>-Value</w:t>
            </w:r>
          </w:p>
        </w:tc>
        <w:tc>
          <w:tcPr>
            <w:tcW w:w="1743" w:type="dxa"/>
            <w:tcBorders>
              <w:bottom w:val="single" w:sz="4" w:space="0" w:color="auto"/>
            </w:tcBorders>
            <w:vAlign w:val="center"/>
          </w:tcPr>
          <w:p w14:paraId="52C46B44" w14:textId="77777777" w:rsidR="00801DD3" w:rsidRPr="00801DD3" w:rsidRDefault="00801DD3" w:rsidP="00801DD3">
            <w:pPr>
              <w:spacing w:line="240" w:lineRule="auto"/>
              <w:jc w:val="center"/>
              <w:rPr>
                <w:i/>
              </w:rPr>
            </w:pPr>
            <w:r w:rsidRPr="00801DD3">
              <w:rPr>
                <w:i/>
              </w:rPr>
              <w:t>Trend Line Fit</w:t>
            </w:r>
          </w:p>
        </w:tc>
        <w:tc>
          <w:tcPr>
            <w:tcW w:w="1440" w:type="dxa"/>
            <w:tcBorders>
              <w:bottom w:val="single" w:sz="4" w:space="0" w:color="auto"/>
            </w:tcBorders>
            <w:vAlign w:val="center"/>
          </w:tcPr>
          <w:p w14:paraId="5453E4BF" w14:textId="77777777" w:rsidR="00801DD3" w:rsidRPr="00801DD3" w:rsidRDefault="00801DD3" w:rsidP="00801DD3">
            <w:pPr>
              <w:spacing w:line="240" w:lineRule="auto"/>
              <w:jc w:val="center"/>
              <w:rPr>
                <w:i/>
              </w:rPr>
            </w:pPr>
            <w:r w:rsidRPr="00801DD3">
              <w:rPr>
                <w:i/>
              </w:rPr>
              <w:t>R</w:t>
            </w:r>
            <w:r w:rsidRPr="00801DD3">
              <w:rPr>
                <w:i/>
                <w:vertAlign w:val="superscript"/>
              </w:rPr>
              <w:t>2</w:t>
            </w:r>
            <w:r w:rsidRPr="00801DD3">
              <w:rPr>
                <w:i/>
              </w:rPr>
              <w:t>-Value</w:t>
            </w:r>
          </w:p>
        </w:tc>
      </w:tr>
      <w:tr w:rsidR="00801DD3" w14:paraId="6E78FFCD" w14:textId="77777777" w:rsidTr="0039557A">
        <w:trPr>
          <w:trHeight w:val="360"/>
          <w:jc w:val="center"/>
        </w:trPr>
        <w:tc>
          <w:tcPr>
            <w:tcW w:w="1152" w:type="dxa"/>
            <w:tcBorders>
              <w:right w:val="single" w:sz="4" w:space="0" w:color="auto"/>
            </w:tcBorders>
            <w:vAlign w:val="center"/>
          </w:tcPr>
          <w:p w14:paraId="633D1102" w14:textId="77777777" w:rsidR="00801DD3" w:rsidRPr="004F3626" w:rsidRDefault="00801DD3" w:rsidP="00801DD3">
            <w:pPr>
              <w:spacing w:line="240" w:lineRule="auto"/>
              <w:jc w:val="center"/>
              <w:rPr>
                <w:i/>
              </w:rPr>
            </w:pPr>
            <w:r w:rsidRPr="004F3626">
              <w:rPr>
                <w:i/>
              </w:rPr>
              <w:t>2% RH</w:t>
            </w:r>
          </w:p>
        </w:tc>
        <w:tc>
          <w:tcPr>
            <w:tcW w:w="1742" w:type="dxa"/>
            <w:tcBorders>
              <w:top w:val="single" w:sz="4" w:space="0" w:color="auto"/>
              <w:left w:val="single" w:sz="4" w:space="0" w:color="auto"/>
            </w:tcBorders>
            <w:shd w:val="clear" w:color="auto" w:fill="B8CCE4" w:themeFill="accent1" w:themeFillTint="66"/>
            <w:vAlign w:val="center"/>
          </w:tcPr>
          <w:p w14:paraId="38C25657" w14:textId="6CE464B9" w:rsidR="00801DD3" w:rsidRDefault="00355B64" w:rsidP="00355B64">
            <w:pPr>
              <w:spacing w:line="240" w:lineRule="auto"/>
              <w:jc w:val="center"/>
            </w:pPr>
            <w:r>
              <w:t>17</w:t>
            </w:r>
            <w:r w:rsidR="00801DD3">
              <w:t>.</w:t>
            </w:r>
            <w:r>
              <w:t>412</w:t>
            </w:r>
            <w:r w:rsidR="00801DD3">
              <w:t>P</w:t>
            </w:r>
            <w:r w:rsidR="00801DD3" w:rsidRPr="00801DD3">
              <w:rPr>
                <w:vertAlign w:val="subscript"/>
              </w:rPr>
              <w:t>F</w:t>
            </w:r>
            <w:r w:rsidR="00801DD3" w:rsidRPr="00801DD3">
              <w:rPr>
                <w:vertAlign w:val="superscript"/>
              </w:rPr>
              <w:t>-0.</w:t>
            </w:r>
            <w:r>
              <w:rPr>
                <w:vertAlign w:val="superscript"/>
              </w:rPr>
              <w:t>421</w:t>
            </w:r>
          </w:p>
        </w:tc>
        <w:tc>
          <w:tcPr>
            <w:tcW w:w="1440" w:type="dxa"/>
            <w:tcBorders>
              <w:top w:val="single" w:sz="4" w:space="0" w:color="auto"/>
              <w:right w:val="single" w:sz="4" w:space="0" w:color="auto"/>
            </w:tcBorders>
            <w:shd w:val="clear" w:color="auto" w:fill="B8CCE4" w:themeFill="accent1" w:themeFillTint="66"/>
            <w:vAlign w:val="center"/>
          </w:tcPr>
          <w:p w14:paraId="12770E91" w14:textId="397F3531" w:rsidR="00801DD3" w:rsidRDefault="00355B64" w:rsidP="00801DD3">
            <w:pPr>
              <w:spacing w:line="240" w:lineRule="auto"/>
              <w:jc w:val="center"/>
            </w:pPr>
            <w:r>
              <w:t>0.8066</w:t>
            </w:r>
          </w:p>
        </w:tc>
        <w:tc>
          <w:tcPr>
            <w:tcW w:w="1743" w:type="dxa"/>
            <w:tcBorders>
              <w:top w:val="single" w:sz="4" w:space="0" w:color="auto"/>
              <w:left w:val="single" w:sz="4" w:space="0" w:color="auto"/>
            </w:tcBorders>
            <w:shd w:val="clear" w:color="auto" w:fill="B8CCE4" w:themeFill="accent1" w:themeFillTint="66"/>
            <w:vAlign w:val="center"/>
          </w:tcPr>
          <w:p w14:paraId="7C7684AC" w14:textId="77777777" w:rsidR="00801DD3" w:rsidRDefault="00322B51" w:rsidP="0039557A">
            <w:pPr>
              <w:spacing w:line="240" w:lineRule="auto"/>
              <w:jc w:val="center"/>
            </w:pPr>
            <w:r>
              <w:t>1.</w:t>
            </w:r>
            <w:r w:rsidR="0039557A">
              <w:t>082</w:t>
            </w:r>
            <w:r>
              <w:t>P</w:t>
            </w:r>
            <w:r w:rsidRPr="00801DD3">
              <w:rPr>
                <w:vertAlign w:val="subscript"/>
              </w:rPr>
              <w:t>F</w:t>
            </w:r>
            <w:r w:rsidRPr="00801DD3">
              <w:rPr>
                <w:vertAlign w:val="superscript"/>
              </w:rPr>
              <w:t>-0.</w:t>
            </w:r>
            <w:r w:rsidR="0039557A">
              <w:rPr>
                <w:vertAlign w:val="superscript"/>
              </w:rPr>
              <w:t>14</w:t>
            </w:r>
            <w:r w:rsidRPr="00801DD3">
              <w:rPr>
                <w:vertAlign w:val="superscript"/>
              </w:rPr>
              <w:t>6</w:t>
            </w:r>
          </w:p>
        </w:tc>
        <w:tc>
          <w:tcPr>
            <w:tcW w:w="1440" w:type="dxa"/>
            <w:tcBorders>
              <w:top w:val="single" w:sz="4" w:space="0" w:color="auto"/>
              <w:right w:val="single" w:sz="4" w:space="0" w:color="auto"/>
            </w:tcBorders>
            <w:shd w:val="clear" w:color="auto" w:fill="B8CCE4" w:themeFill="accent1" w:themeFillTint="66"/>
            <w:vAlign w:val="center"/>
          </w:tcPr>
          <w:p w14:paraId="69CCBCEF" w14:textId="77777777" w:rsidR="00801DD3" w:rsidRDefault="0039557A" w:rsidP="00801DD3">
            <w:pPr>
              <w:spacing w:line="240" w:lineRule="auto"/>
              <w:jc w:val="center"/>
            </w:pPr>
            <w:r>
              <w:t>0.7793</w:t>
            </w:r>
          </w:p>
        </w:tc>
      </w:tr>
      <w:tr w:rsidR="00801DD3" w14:paraId="0442D1B2" w14:textId="77777777" w:rsidTr="0039557A">
        <w:trPr>
          <w:trHeight w:val="360"/>
          <w:jc w:val="center"/>
        </w:trPr>
        <w:tc>
          <w:tcPr>
            <w:tcW w:w="1152" w:type="dxa"/>
            <w:tcBorders>
              <w:right w:val="single" w:sz="4" w:space="0" w:color="auto"/>
            </w:tcBorders>
            <w:vAlign w:val="center"/>
          </w:tcPr>
          <w:p w14:paraId="32FA59A7" w14:textId="77777777" w:rsidR="00801DD3" w:rsidRPr="004F3626" w:rsidRDefault="00801DD3" w:rsidP="00801DD3">
            <w:pPr>
              <w:spacing w:line="240" w:lineRule="auto"/>
              <w:jc w:val="center"/>
              <w:rPr>
                <w:i/>
              </w:rPr>
            </w:pPr>
            <w:r w:rsidRPr="004F3626">
              <w:rPr>
                <w:i/>
              </w:rPr>
              <w:t>40% RH</w:t>
            </w:r>
          </w:p>
        </w:tc>
        <w:tc>
          <w:tcPr>
            <w:tcW w:w="1742" w:type="dxa"/>
            <w:tcBorders>
              <w:left w:val="single" w:sz="4" w:space="0" w:color="auto"/>
            </w:tcBorders>
            <w:shd w:val="clear" w:color="auto" w:fill="E5B8B7" w:themeFill="accent2" w:themeFillTint="66"/>
            <w:vAlign w:val="center"/>
          </w:tcPr>
          <w:p w14:paraId="494E3103" w14:textId="47A32C0E" w:rsidR="00801DD3" w:rsidRDefault="00F8222A" w:rsidP="00F8222A">
            <w:pPr>
              <w:spacing w:line="240" w:lineRule="auto"/>
              <w:jc w:val="center"/>
            </w:pPr>
            <w:r>
              <w:t>27</w:t>
            </w:r>
            <w:r w:rsidR="00322B51">
              <w:t>.</w:t>
            </w:r>
            <w:r>
              <w:t>01</w:t>
            </w:r>
            <w:r w:rsidR="00322B51">
              <w:t>9</w:t>
            </w:r>
            <w:r w:rsidR="00801DD3">
              <w:t>P</w:t>
            </w:r>
            <w:r w:rsidR="00801DD3" w:rsidRPr="00801DD3">
              <w:rPr>
                <w:vertAlign w:val="subscript"/>
              </w:rPr>
              <w:t>F</w:t>
            </w:r>
            <w:r w:rsidR="00801DD3" w:rsidRPr="00801DD3">
              <w:rPr>
                <w:vertAlign w:val="superscript"/>
              </w:rPr>
              <w:t>-0.36</w:t>
            </w:r>
            <w:r>
              <w:rPr>
                <w:vertAlign w:val="superscript"/>
              </w:rPr>
              <w:t>3</w:t>
            </w:r>
          </w:p>
        </w:tc>
        <w:tc>
          <w:tcPr>
            <w:tcW w:w="1440" w:type="dxa"/>
            <w:tcBorders>
              <w:right w:val="single" w:sz="4" w:space="0" w:color="auto"/>
            </w:tcBorders>
            <w:shd w:val="clear" w:color="auto" w:fill="E5B8B7" w:themeFill="accent2" w:themeFillTint="66"/>
            <w:vAlign w:val="center"/>
          </w:tcPr>
          <w:p w14:paraId="57BB15A8" w14:textId="33C778E4" w:rsidR="00801DD3" w:rsidRDefault="00F8222A" w:rsidP="00801DD3">
            <w:pPr>
              <w:spacing w:line="240" w:lineRule="auto"/>
              <w:jc w:val="center"/>
            </w:pPr>
            <w:r>
              <w:t>0.8911</w:t>
            </w:r>
          </w:p>
        </w:tc>
        <w:tc>
          <w:tcPr>
            <w:tcW w:w="1743" w:type="dxa"/>
            <w:tcBorders>
              <w:left w:val="single" w:sz="4" w:space="0" w:color="auto"/>
            </w:tcBorders>
            <w:shd w:val="clear" w:color="auto" w:fill="E5B8B7" w:themeFill="accent2" w:themeFillTint="66"/>
            <w:vAlign w:val="center"/>
          </w:tcPr>
          <w:p w14:paraId="3F3AB881" w14:textId="77777777" w:rsidR="00801DD3" w:rsidRDefault="0039557A" w:rsidP="00801DD3">
            <w:pPr>
              <w:spacing w:line="240" w:lineRule="auto"/>
              <w:jc w:val="center"/>
            </w:pPr>
            <w:r>
              <w:t>1.384</w:t>
            </w:r>
            <w:r w:rsidR="00322B51">
              <w:t>P</w:t>
            </w:r>
            <w:r w:rsidR="00322B51" w:rsidRPr="00801DD3">
              <w:rPr>
                <w:vertAlign w:val="subscript"/>
              </w:rPr>
              <w:t>F</w:t>
            </w:r>
            <w:r>
              <w:rPr>
                <w:vertAlign w:val="superscript"/>
              </w:rPr>
              <w:t>-0.15</w:t>
            </w:r>
            <w:r w:rsidR="00322B51" w:rsidRPr="00801DD3">
              <w:rPr>
                <w:vertAlign w:val="superscript"/>
              </w:rPr>
              <w:t>1</w:t>
            </w:r>
          </w:p>
        </w:tc>
        <w:tc>
          <w:tcPr>
            <w:tcW w:w="1440" w:type="dxa"/>
            <w:tcBorders>
              <w:right w:val="single" w:sz="4" w:space="0" w:color="auto"/>
            </w:tcBorders>
            <w:shd w:val="clear" w:color="auto" w:fill="E5B8B7" w:themeFill="accent2" w:themeFillTint="66"/>
            <w:vAlign w:val="center"/>
          </w:tcPr>
          <w:p w14:paraId="4AC50AF9" w14:textId="77777777" w:rsidR="00801DD3" w:rsidRDefault="0039557A" w:rsidP="00801DD3">
            <w:pPr>
              <w:spacing w:line="240" w:lineRule="auto"/>
              <w:jc w:val="center"/>
            </w:pPr>
            <w:r>
              <w:t>0.7167</w:t>
            </w:r>
          </w:p>
        </w:tc>
      </w:tr>
      <w:tr w:rsidR="00801DD3" w14:paraId="2DABA6A9" w14:textId="77777777" w:rsidTr="0039557A">
        <w:trPr>
          <w:trHeight w:val="360"/>
          <w:jc w:val="center"/>
        </w:trPr>
        <w:tc>
          <w:tcPr>
            <w:tcW w:w="1152" w:type="dxa"/>
            <w:tcBorders>
              <w:right w:val="single" w:sz="4" w:space="0" w:color="auto"/>
            </w:tcBorders>
            <w:vAlign w:val="center"/>
          </w:tcPr>
          <w:p w14:paraId="127347F9" w14:textId="77777777" w:rsidR="00801DD3" w:rsidRPr="004F3626" w:rsidRDefault="00801DD3" w:rsidP="00801DD3">
            <w:pPr>
              <w:spacing w:line="240" w:lineRule="auto"/>
              <w:jc w:val="center"/>
              <w:rPr>
                <w:i/>
              </w:rPr>
            </w:pPr>
            <w:r w:rsidRPr="004F3626">
              <w:rPr>
                <w:i/>
              </w:rPr>
              <w:t>70% RH</w:t>
            </w:r>
          </w:p>
        </w:tc>
        <w:tc>
          <w:tcPr>
            <w:tcW w:w="1742" w:type="dxa"/>
            <w:tcBorders>
              <w:left w:val="single" w:sz="4" w:space="0" w:color="auto"/>
            </w:tcBorders>
            <w:shd w:val="clear" w:color="auto" w:fill="D6E3BC" w:themeFill="accent3" w:themeFillTint="66"/>
            <w:vAlign w:val="center"/>
          </w:tcPr>
          <w:p w14:paraId="6B9CD8AC" w14:textId="283E9D4F" w:rsidR="00801DD3" w:rsidRDefault="00F8222A" w:rsidP="00F8222A">
            <w:pPr>
              <w:spacing w:line="240" w:lineRule="auto"/>
              <w:jc w:val="center"/>
            </w:pPr>
            <w:r>
              <w:t>36</w:t>
            </w:r>
            <w:r w:rsidR="00322B51">
              <w:t>.</w:t>
            </w:r>
            <w:r>
              <w:t>0</w:t>
            </w:r>
            <w:r w:rsidR="00322B51">
              <w:t>7</w:t>
            </w:r>
            <w:r>
              <w:t>0</w:t>
            </w:r>
            <w:r w:rsidR="00801DD3">
              <w:t>P</w:t>
            </w:r>
            <w:r w:rsidR="00801DD3" w:rsidRPr="00801DD3">
              <w:rPr>
                <w:vertAlign w:val="subscript"/>
              </w:rPr>
              <w:t>F</w:t>
            </w:r>
            <w:r w:rsidR="00801DD3" w:rsidRPr="00801DD3">
              <w:rPr>
                <w:vertAlign w:val="superscript"/>
              </w:rPr>
              <w:t>-0.3</w:t>
            </w:r>
            <w:r>
              <w:rPr>
                <w:vertAlign w:val="superscript"/>
              </w:rPr>
              <w:t>46</w:t>
            </w:r>
          </w:p>
        </w:tc>
        <w:tc>
          <w:tcPr>
            <w:tcW w:w="1440" w:type="dxa"/>
            <w:tcBorders>
              <w:right w:val="single" w:sz="4" w:space="0" w:color="auto"/>
            </w:tcBorders>
            <w:shd w:val="clear" w:color="auto" w:fill="D6E3BC" w:themeFill="accent3" w:themeFillTint="66"/>
            <w:vAlign w:val="center"/>
          </w:tcPr>
          <w:p w14:paraId="7B3127AE" w14:textId="1091343C" w:rsidR="00801DD3" w:rsidRDefault="00322B51" w:rsidP="00801DD3">
            <w:pPr>
              <w:spacing w:line="240" w:lineRule="auto"/>
              <w:jc w:val="center"/>
            </w:pPr>
            <w:r>
              <w:t>0.999</w:t>
            </w:r>
            <w:r w:rsidR="00F8222A">
              <w:t>8</w:t>
            </w:r>
          </w:p>
        </w:tc>
        <w:tc>
          <w:tcPr>
            <w:tcW w:w="1743" w:type="dxa"/>
            <w:tcBorders>
              <w:left w:val="single" w:sz="4" w:space="0" w:color="auto"/>
            </w:tcBorders>
            <w:shd w:val="clear" w:color="auto" w:fill="D6E3BC" w:themeFill="accent3" w:themeFillTint="66"/>
            <w:vAlign w:val="center"/>
          </w:tcPr>
          <w:p w14:paraId="27CC3F50" w14:textId="77777777" w:rsidR="00801DD3" w:rsidRDefault="0039557A" w:rsidP="0039557A">
            <w:pPr>
              <w:spacing w:line="240" w:lineRule="auto"/>
              <w:jc w:val="center"/>
            </w:pPr>
            <w:r>
              <w:t>2.361</w:t>
            </w:r>
            <w:r w:rsidR="00322B51">
              <w:t>P</w:t>
            </w:r>
            <w:r w:rsidR="00322B51" w:rsidRPr="00801DD3">
              <w:rPr>
                <w:vertAlign w:val="subscript"/>
              </w:rPr>
              <w:t>F</w:t>
            </w:r>
            <w:r w:rsidR="00322B51" w:rsidRPr="00801DD3">
              <w:rPr>
                <w:vertAlign w:val="superscript"/>
              </w:rPr>
              <w:t>-0.</w:t>
            </w:r>
            <w:r>
              <w:rPr>
                <w:vertAlign w:val="superscript"/>
              </w:rPr>
              <w:t>204</w:t>
            </w:r>
          </w:p>
        </w:tc>
        <w:tc>
          <w:tcPr>
            <w:tcW w:w="1440" w:type="dxa"/>
            <w:tcBorders>
              <w:right w:val="single" w:sz="4" w:space="0" w:color="auto"/>
            </w:tcBorders>
            <w:shd w:val="clear" w:color="auto" w:fill="D6E3BC" w:themeFill="accent3" w:themeFillTint="66"/>
            <w:vAlign w:val="center"/>
          </w:tcPr>
          <w:p w14:paraId="61A5B8B3" w14:textId="77777777" w:rsidR="00801DD3" w:rsidRDefault="0039557A" w:rsidP="00801DD3">
            <w:pPr>
              <w:spacing w:line="240" w:lineRule="auto"/>
              <w:jc w:val="center"/>
            </w:pPr>
            <w:r>
              <w:t>0.8614</w:t>
            </w:r>
          </w:p>
        </w:tc>
      </w:tr>
      <w:tr w:rsidR="00801DD3" w14:paraId="4271A767" w14:textId="77777777" w:rsidTr="0039557A">
        <w:trPr>
          <w:trHeight w:val="360"/>
          <w:jc w:val="center"/>
        </w:trPr>
        <w:tc>
          <w:tcPr>
            <w:tcW w:w="1152" w:type="dxa"/>
            <w:tcBorders>
              <w:right w:val="single" w:sz="4" w:space="0" w:color="auto"/>
            </w:tcBorders>
            <w:vAlign w:val="center"/>
          </w:tcPr>
          <w:p w14:paraId="2D256FFF" w14:textId="77777777" w:rsidR="00801DD3" w:rsidRPr="004F3626" w:rsidRDefault="00801DD3" w:rsidP="00801DD3">
            <w:pPr>
              <w:spacing w:line="240" w:lineRule="auto"/>
              <w:jc w:val="center"/>
              <w:rPr>
                <w:i/>
              </w:rPr>
            </w:pPr>
            <w:r w:rsidRPr="004F3626">
              <w:rPr>
                <w:i/>
              </w:rPr>
              <w:t>99% RH</w:t>
            </w:r>
          </w:p>
        </w:tc>
        <w:tc>
          <w:tcPr>
            <w:tcW w:w="1742" w:type="dxa"/>
            <w:tcBorders>
              <w:left w:val="single" w:sz="4" w:space="0" w:color="auto"/>
            </w:tcBorders>
            <w:shd w:val="clear" w:color="auto" w:fill="CCC0D9" w:themeFill="accent4" w:themeFillTint="66"/>
            <w:vAlign w:val="center"/>
          </w:tcPr>
          <w:p w14:paraId="104651DF" w14:textId="790AE660" w:rsidR="00801DD3" w:rsidRDefault="00F8222A" w:rsidP="00F8222A">
            <w:pPr>
              <w:spacing w:line="240" w:lineRule="auto"/>
              <w:jc w:val="center"/>
            </w:pPr>
            <w:r>
              <w:t>34.030</w:t>
            </w:r>
            <w:r w:rsidR="00801DD3">
              <w:t>P</w:t>
            </w:r>
            <w:r w:rsidR="00801DD3" w:rsidRPr="00801DD3">
              <w:rPr>
                <w:vertAlign w:val="subscript"/>
              </w:rPr>
              <w:t>F</w:t>
            </w:r>
            <w:r w:rsidR="00801DD3" w:rsidRPr="00801DD3">
              <w:rPr>
                <w:vertAlign w:val="superscript"/>
              </w:rPr>
              <w:t>-0.3</w:t>
            </w:r>
            <w:r>
              <w:rPr>
                <w:vertAlign w:val="superscript"/>
              </w:rPr>
              <w:t>49</w:t>
            </w:r>
          </w:p>
        </w:tc>
        <w:tc>
          <w:tcPr>
            <w:tcW w:w="1440" w:type="dxa"/>
            <w:tcBorders>
              <w:right w:val="single" w:sz="4" w:space="0" w:color="auto"/>
            </w:tcBorders>
            <w:shd w:val="clear" w:color="auto" w:fill="CCC0D9" w:themeFill="accent4" w:themeFillTint="66"/>
            <w:vAlign w:val="center"/>
          </w:tcPr>
          <w:p w14:paraId="74BF8F61" w14:textId="34E8F464" w:rsidR="00801DD3" w:rsidRDefault="00322B51" w:rsidP="00801DD3">
            <w:pPr>
              <w:spacing w:line="240" w:lineRule="auto"/>
              <w:jc w:val="center"/>
            </w:pPr>
            <w:r>
              <w:t>0.988</w:t>
            </w:r>
            <w:r w:rsidR="00F8222A">
              <w:t>3</w:t>
            </w:r>
          </w:p>
        </w:tc>
        <w:tc>
          <w:tcPr>
            <w:tcW w:w="1743" w:type="dxa"/>
            <w:tcBorders>
              <w:left w:val="single" w:sz="4" w:space="0" w:color="auto"/>
            </w:tcBorders>
            <w:shd w:val="clear" w:color="auto" w:fill="CCC0D9" w:themeFill="accent4" w:themeFillTint="66"/>
            <w:vAlign w:val="center"/>
          </w:tcPr>
          <w:p w14:paraId="73EC855B" w14:textId="77777777" w:rsidR="00801DD3" w:rsidRDefault="0039557A" w:rsidP="0039557A">
            <w:pPr>
              <w:spacing w:line="240" w:lineRule="auto"/>
              <w:jc w:val="center"/>
            </w:pPr>
            <w:r>
              <w:t>1.969</w:t>
            </w:r>
            <w:r w:rsidR="00322B51">
              <w:t>P</w:t>
            </w:r>
            <w:r w:rsidR="00322B51" w:rsidRPr="00801DD3">
              <w:rPr>
                <w:vertAlign w:val="subscript"/>
              </w:rPr>
              <w:t>F</w:t>
            </w:r>
            <w:r w:rsidR="00322B51" w:rsidRPr="00801DD3">
              <w:rPr>
                <w:vertAlign w:val="superscript"/>
              </w:rPr>
              <w:t>-0.</w:t>
            </w:r>
            <w:r>
              <w:rPr>
                <w:vertAlign w:val="superscript"/>
              </w:rPr>
              <w:t>105</w:t>
            </w:r>
          </w:p>
        </w:tc>
        <w:tc>
          <w:tcPr>
            <w:tcW w:w="1440" w:type="dxa"/>
            <w:tcBorders>
              <w:right w:val="single" w:sz="4" w:space="0" w:color="auto"/>
            </w:tcBorders>
            <w:shd w:val="clear" w:color="auto" w:fill="CCC0D9" w:themeFill="accent4" w:themeFillTint="66"/>
            <w:vAlign w:val="center"/>
          </w:tcPr>
          <w:p w14:paraId="53C4DD7B" w14:textId="77777777" w:rsidR="00801DD3" w:rsidRDefault="0039557A" w:rsidP="00801DD3">
            <w:pPr>
              <w:spacing w:line="240" w:lineRule="auto"/>
              <w:jc w:val="center"/>
            </w:pPr>
            <w:r>
              <w:t>0.5407</w:t>
            </w:r>
          </w:p>
        </w:tc>
      </w:tr>
    </w:tbl>
    <w:p w14:paraId="5CE7C277" w14:textId="77777777" w:rsidR="004F3626" w:rsidRDefault="004F3626" w:rsidP="0074218D"/>
    <w:p w14:paraId="44BD9472" w14:textId="77777777" w:rsidR="004375A6" w:rsidRDefault="004375A6" w:rsidP="004375A6">
      <w:pPr>
        <w:pStyle w:val="Heading2"/>
      </w:pPr>
      <w:bookmarkStart w:id="263" w:name="_Toc346311020"/>
      <w:r>
        <w:t>summary</w:t>
      </w:r>
      <w:r w:rsidR="00D825AE">
        <w:t xml:space="preserve"> of </w:t>
      </w:r>
      <w:r w:rsidR="00F72BA0">
        <w:t>Liquid Absorption Behavior Chapter</w:t>
      </w:r>
      <w:bookmarkEnd w:id="263"/>
    </w:p>
    <w:p w14:paraId="37F4A5D7" w14:textId="5431FEE2" w:rsidR="00BC65ED" w:rsidRDefault="000346CD" w:rsidP="00BC65ED">
      <w:pPr>
        <w:ind w:firstLine="360"/>
      </w:pPr>
      <w:r>
        <w:t>This Chapter introduced the effect of l</w:t>
      </w:r>
      <w:r w:rsidR="003D627C">
        <w:t xml:space="preserve">ong-term hydraulic fluid contamination </w:t>
      </w:r>
      <w:r>
        <w:t xml:space="preserve">for the </w:t>
      </w:r>
      <w:r w:rsidR="003D627C">
        <w:t xml:space="preserve">three aerospace-grade composite prepregs.  </w:t>
      </w:r>
      <w:r>
        <w:t xml:space="preserve">The equipment and experimental procedure used to conduct the long-term absorption study was presented in Section </w:t>
      </w:r>
      <w:r>
        <w:fldChar w:fldCharType="begin"/>
      </w:r>
      <w:r>
        <w:instrText xml:space="preserve"> REF _Ref464475179 \r \h </w:instrText>
      </w:r>
      <w:r>
        <w:fldChar w:fldCharType="separate"/>
      </w:r>
      <w:r w:rsidR="008A1992">
        <w:t>5.2</w:t>
      </w:r>
      <w:r>
        <w:fldChar w:fldCharType="end"/>
      </w:r>
      <w:r>
        <w:t xml:space="preserve">.  Then, Section </w:t>
      </w:r>
      <w:r>
        <w:fldChar w:fldCharType="begin"/>
      </w:r>
      <w:r>
        <w:instrText xml:space="preserve"> REF _Ref462220092 \r \h </w:instrText>
      </w:r>
      <w:r>
        <w:fldChar w:fldCharType="separate"/>
      </w:r>
      <w:r w:rsidR="008A1992">
        <w:t>5.3</w:t>
      </w:r>
      <w:r>
        <w:fldChar w:fldCharType="end"/>
      </w:r>
      <w:r>
        <w:t xml:space="preserve"> introduced the long-term experimental absorption data and initial assessment on the effect of varying humidity exposure and f</w:t>
      </w:r>
      <w:r w:rsidR="000074DB">
        <w:t>abrication cure</w:t>
      </w:r>
      <w:r>
        <w:t>.  Quartz-reinforced laminates and carbon</w:t>
      </w:r>
      <w:r w:rsidR="000074DB">
        <w:t xml:space="preserve"> fiber</w:t>
      </w:r>
      <w:r>
        <w:t xml:space="preserve">-reinforced laminates were exposed to hydraulic fluid for a period of 24 months and 18 months, respectively.  </w:t>
      </w:r>
      <w:r w:rsidR="003D627C">
        <w:t xml:space="preserve">There are many techniques used for modeling the effect of liquid contaminants in polymer materials, which were </w:t>
      </w:r>
      <w:r w:rsidR="00465005">
        <w:t>discussed in Section</w:t>
      </w:r>
      <w:r w:rsidR="00D311E2">
        <w:t xml:space="preserve"> </w:t>
      </w:r>
      <w:r w:rsidR="00D311E2">
        <w:fldChar w:fldCharType="begin"/>
      </w:r>
      <w:r w:rsidR="00D311E2">
        <w:instrText xml:space="preserve"> REF _Ref346289024 \r \h </w:instrText>
      </w:r>
      <w:r w:rsidR="00D311E2">
        <w:fldChar w:fldCharType="separate"/>
      </w:r>
      <w:r w:rsidR="008A1992">
        <w:t>5.4</w:t>
      </w:r>
      <w:r w:rsidR="00D311E2">
        <w:fldChar w:fldCharType="end"/>
      </w:r>
      <w:r w:rsidR="00887F4C">
        <w:t xml:space="preserve">. </w:t>
      </w:r>
      <w:r w:rsidR="000074DB">
        <w:t xml:space="preserve"> The hindered diffusion model has been shown to accurately characterize the absorption behavior for anisotropic materials, including the materials used in this study. </w:t>
      </w:r>
      <w:r w:rsidR="00D311E2">
        <w:t xml:space="preserve"> </w:t>
      </w:r>
      <w:r w:rsidR="000074DB">
        <w:t xml:space="preserve">The equilibrium fluid content determined from the hindered diffusion model indicated that quartz/BMI (Section </w:t>
      </w:r>
      <w:r w:rsidR="000074DB">
        <w:fldChar w:fldCharType="begin"/>
      </w:r>
      <w:r w:rsidR="000074DB">
        <w:instrText xml:space="preserve"> REF _Ref344552630 \r \h </w:instrText>
      </w:r>
      <w:r w:rsidR="000074DB">
        <w:fldChar w:fldCharType="separate"/>
      </w:r>
      <w:r w:rsidR="008A1992">
        <w:t>5.5.1</w:t>
      </w:r>
      <w:r w:rsidR="000074DB">
        <w:fldChar w:fldCharType="end"/>
      </w:r>
      <w:r w:rsidR="000074DB">
        <w:t xml:space="preserve">) and quartz/epoxy (Section </w:t>
      </w:r>
      <w:r w:rsidR="000074DB">
        <w:fldChar w:fldCharType="begin"/>
      </w:r>
      <w:r w:rsidR="000074DB">
        <w:instrText xml:space="preserve"> REF _Ref344552719 \r \h </w:instrText>
      </w:r>
      <w:r w:rsidR="000074DB">
        <w:fldChar w:fldCharType="separate"/>
      </w:r>
      <w:r w:rsidR="008A1992">
        <w:t>5.5.2</w:t>
      </w:r>
      <w:r w:rsidR="000074DB">
        <w:fldChar w:fldCharType="end"/>
      </w:r>
      <w:r w:rsidR="000074DB">
        <w:t xml:space="preserve">) specimens were at or nearing saturation after 24 months of absorption.  Alternatively, many carbon/epoxy specimens (Section </w:t>
      </w:r>
      <w:r w:rsidR="000074DB">
        <w:fldChar w:fldCharType="begin"/>
      </w:r>
      <w:r w:rsidR="000074DB">
        <w:instrText xml:space="preserve"> REF _Ref344552704 \r \h </w:instrText>
      </w:r>
      <w:r w:rsidR="000074DB">
        <w:fldChar w:fldCharType="separate"/>
      </w:r>
      <w:r w:rsidR="008A1992">
        <w:t>5.5.3</w:t>
      </w:r>
      <w:r w:rsidR="000074DB">
        <w:fldChar w:fldCharType="end"/>
      </w:r>
      <w:r w:rsidR="000074DB">
        <w:t>) continue to absorb fluid after 18 months</w:t>
      </w:r>
      <w:r w:rsidR="002817F9">
        <w:t xml:space="preserve"> and do not appear to be approaching saturation. </w:t>
      </w:r>
      <w:r w:rsidR="000074DB">
        <w:t xml:space="preserve"> </w:t>
      </w:r>
      <w:r w:rsidR="00465005">
        <w:t>Finally, a co</w:t>
      </w:r>
      <w:r w:rsidR="00E8322D">
        <w:t xml:space="preserve">mparison of </w:t>
      </w:r>
      <w:r w:rsidR="002817F9">
        <w:t xml:space="preserve">the effect of resin material selection (BMI or epoxy) </w:t>
      </w:r>
      <w:r w:rsidR="00E8322D">
        <w:t>w</w:t>
      </w:r>
      <w:r w:rsidR="002817F9">
        <w:t>ith identical fiber reinforcement (AQIII Quartz)</w:t>
      </w:r>
      <w:r w:rsidR="00E8322D">
        <w:t xml:space="preserve"> </w:t>
      </w:r>
      <w:r w:rsidR="002817F9">
        <w:t xml:space="preserve">on the equilibrium fluid content </w:t>
      </w:r>
      <w:r w:rsidR="00E8322D">
        <w:t xml:space="preserve">was discussed in Section </w:t>
      </w:r>
      <w:r w:rsidR="00E8322D">
        <w:fldChar w:fldCharType="begin"/>
      </w:r>
      <w:r w:rsidR="00E8322D">
        <w:instrText xml:space="preserve"> REF _Ref340842868 \r \h </w:instrText>
      </w:r>
      <w:r w:rsidR="00E8322D">
        <w:fldChar w:fldCharType="separate"/>
      </w:r>
      <w:r w:rsidR="008A1992">
        <w:t>5.6</w:t>
      </w:r>
      <w:r w:rsidR="00E8322D">
        <w:fldChar w:fldCharType="end"/>
      </w:r>
      <w:r w:rsidR="002817F9">
        <w:t xml:space="preserve">. </w:t>
      </w:r>
      <w:r w:rsidR="00E8322D">
        <w:t xml:space="preserve"> </w:t>
      </w:r>
      <w:r w:rsidR="002817F9">
        <w:t xml:space="preserve">The equilibrium fluid content for </w:t>
      </w:r>
      <w:r w:rsidR="00BC65ED">
        <w:t xml:space="preserve">BMI </w:t>
      </w:r>
      <w:r w:rsidR="002817F9">
        <w:t>resin was shown to be more sensitive to variations in prepreg humidity exposure and fabrication cure pressure</w:t>
      </w:r>
      <w:r w:rsidR="00BC65ED">
        <w:t xml:space="preserve"> </w:t>
      </w:r>
      <w:r w:rsidR="00E8322D">
        <w:t>when compared to the</w:t>
      </w:r>
      <w:r w:rsidR="002817F9">
        <w:t xml:space="preserve"> EX-1522</w:t>
      </w:r>
      <w:r w:rsidR="00E8322D">
        <w:t xml:space="preserve"> epoxy </w:t>
      </w:r>
      <w:r w:rsidR="002817F9">
        <w:t>resin</w:t>
      </w:r>
      <w:r w:rsidR="00E8322D">
        <w:t>.</w:t>
      </w:r>
    </w:p>
    <w:p w14:paraId="3F8B0D6F" w14:textId="77777777" w:rsidR="004375A6" w:rsidRDefault="004375A6" w:rsidP="00BC65ED">
      <w:pPr>
        <w:ind w:firstLine="360"/>
      </w:pPr>
      <w:r>
        <w:br w:type="page"/>
      </w:r>
    </w:p>
    <w:p w14:paraId="548F3D7B" w14:textId="77777777" w:rsidR="0029124B" w:rsidRDefault="0029124B" w:rsidP="0029124B">
      <w:pPr>
        <w:pStyle w:val="Heading1"/>
        <w:numPr>
          <w:ilvl w:val="0"/>
          <w:numId w:val="0"/>
        </w:numPr>
        <w:ind w:left="432"/>
      </w:pPr>
      <w:bookmarkStart w:id="264" w:name="_Toc464644108"/>
      <w:bookmarkStart w:id="265" w:name="_Toc465250317"/>
      <w:bookmarkStart w:id="266" w:name="_Toc345066610"/>
      <w:bookmarkStart w:id="267" w:name="_Toc346311021"/>
      <w:r>
        <w:t xml:space="preserve">chapter </w:t>
      </w:r>
      <w:bookmarkEnd w:id="264"/>
      <w:bookmarkEnd w:id="265"/>
      <w:r w:rsidR="00A53241">
        <w:t>6</w:t>
      </w:r>
      <w:bookmarkEnd w:id="266"/>
      <w:bookmarkEnd w:id="267"/>
    </w:p>
    <w:p w14:paraId="16366F94" w14:textId="06C3D42E" w:rsidR="0029124B" w:rsidRDefault="002926AC" w:rsidP="0029124B">
      <w:pPr>
        <w:pStyle w:val="Heading1"/>
      </w:pPr>
      <w:bookmarkStart w:id="268" w:name="_Ref464565238"/>
      <w:bookmarkStart w:id="269" w:name="_Ref341343397"/>
      <w:bookmarkStart w:id="270" w:name="_Toc346311022"/>
      <w:r>
        <w:t xml:space="preserve">The Effect of </w:t>
      </w:r>
      <w:r w:rsidR="004B019A">
        <w:t>Long-term Hydraulic Fluid</w:t>
      </w:r>
      <w:r w:rsidR="00983613">
        <w:t xml:space="preserve"> Contamination on</w:t>
      </w:r>
      <w:r w:rsidR="00683F8D">
        <w:t xml:space="preserve"> Flexur</w:t>
      </w:r>
      <w:r w:rsidR="008D254E">
        <w:t>al</w:t>
      </w:r>
      <w:r w:rsidR="00683F8D">
        <w:t xml:space="preserve"> Properties</w:t>
      </w:r>
      <w:bookmarkEnd w:id="268"/>
      <w:r w:rsidR="008D254E">
        <w:t xml:space="preserve"> for Quartz-Reinforced Laminates</w:t>
      </w:r>
      <w:bookmarkEnd w:id="269"/>
      <w:bookmarkEnd w:id="270"/>
    </w:p>
    <w:p w14:paraId="416336B7" w14:textId="77777777" w:rsidR="00D825AE" w:rsidRDefault="00D825AE" w:rsidP="00D825AE"/>
    <w:p w14:paraId="1980D8DA" w14:textId="4BE12681" w:rsidR="002926AC" w:rsidRPr="00D825AE" w:rsidRDefault="00463AA7" w:rsidP="002926AC">
      <w:pPr>
        <w:ind w:firstLine="360"/>
      </w:pPr>
      <w:r>
        <w:t>The consensus among researchers is that an increase in void fraction will reduce mechanical performance and cause laminates to be more susceptible to fluid absorption or fatigue damage</w:t>
      </w:r>
      <w:r w:rsidR="006F421E">
        <w:t xml:space="preserve"> [1,2,18,20-23,25]</w:t>
      </w:r>
      <w:r>
        <w:t>.  The magnitude of void effect on these parameters is a matter of debate however.  A majority of research is focused on the effect on mechanical performance at discrete le</w:t>
      </w:r>
      <w:r w:rsidR="004D3D07">
        <w:t>vels of fiber volume fraction,</w:t>
      </w:r>
      <w:r>
        <w:t xml:space="preserve"> void </w:t>
      </w:r>
      <w:r w:rsidR="006F421E">
        <w:t xml:space="preserve">volume </w:t>
      </w:r>
      <w:r>
        <w:t>fractions</w:t>
      </w:r>
      <w:r w:rsidR="004D3D07">
        <w:t>, or fluid contents</w:t>
      </w:r>
      <w:r>
        <w:t xml:space="preserve">.  </w:t>
      </w:r>
      <w:r w:rsidR="004D3D07">
        <w:t xml:space="preserve">However, a detailed study that examines the combined effect of prepreg humidity exposure, fabrication pressure, and fluid absorption on the mechanical performance has not been reported.  </w:t>
      </w:r>
      <w:r>
        <w:t xml:space="preserve">Since voids primarily influence matrix-dominated phenomena in laminates, a majority of void research has focused on </w:t>
      </w:r>
      <w:r w:rsidR="004D3D07">
        <w:t xml:space="preserve">the </w:t>
      </w:r>
      <w:r>
        <w:t xml:space="preserve">laminate </w:t>
      </w:r>
      <w:r w:rsidR="004D3D07">
        <w:t>flexural</w:t>
      </w:r>
      <w:r>
        <w:t xml:space="preserve"> strength [15-22, 24, 35]</w:t>
      </w:r>
      <w:r w:rsidR="0049753B">
        <w:t>.</w:t>
      </w:r>
      <w:r w:rsidR="00BF37D8">
        <w:t xml:space="preserve"> </w:t>
      </w:r>
      <w:r w:rsidR="003F1B9E">
        <w:t xml:space="preserve"> </w:t>
      </w:r>
      <w:r w:rsidR="004D3D07">
        <w:t>T</w:t>
      </w:r>
      <w:r w:rsidR="002926AC">
        <w:t xml:space="preserve">he remainder of this Chapter will introduce the experimental procedure used to contaminate the </w:t>
      </w:r>
      <w:r w:rsidR="003F1B9E">
        <w:t>two quartz-reinforced</w:t>
      </w:r>
      <w:r w:rsidR="002926AC">
        <w:t xml:space="preserve"> prepregs with an aerospace-grade hydraulic fluid.  </w:t>
      </w:r>
      <w:r w:rsidR="003F1B9E">
        <w:t>The effect of hydraulic fluid on flexural properties was conducted for quartz-reinforced prepregs because the hindered diffusion model analysis, presented in Chapter</w:t>
      </w:r>
      <w:r w:rsidR="00BE33D4">
        <w:t xml:space="preserve"> </w:t>
      </w:r>
      <w:r w:rsidR="00BE33D4">
        <w:fldChar w:fldCharType="begin"/>
      </w:r>
      <w:r w:rsidR="00BE33D4">
        <w:instrText xml:space="preserve"> REF _Ref464121241 \r \h </w:instrText>
      </w:r>
      <w:r w:rsidR="00BE33D4">
        <w:fldChar w:fldCharType="separate"/>
      </w:r>
      <w:r w:rsidR="008A1992">
        <w:t>5</w:t>
      </w:r>
      <w:r w:rsidR="00BE33D4">
        <w:fldChar w:fldCharType="end"/>
      </w:r>
      <w:r w:rsidR="003F1B9E">
        <w:t xml:space="preserve">, indicated that these material systems </w:t>
      </w:r>
      <w:r w:rsidR="00444059">
        <w:t xml:space="preserve">have </w:t>
      </w:r>
      <w:r w:rsidR="003F1B9E">
        <w:t>approach</w:t>
      </w:r>
      <w:r w:rsidR="00444059">
        <w:t>ed</w:t>
      </w:r>
      <w:r w:rsidR="003F1B9E">
        <w:t xml:space="preserve"> near saturation</w:t>
      </w:r>
      <w:r w:rsidR="00444059">
        <w:t xml:space="preserve">.  </w:t>
      </w:r>
      <w:r w:rsidR="003F1B9E">
        <w:t xml:space="preserve">Flexural testing was conducted in accordance with ASTM Standards and identically to the procedure for baseline testing presented in Chapter </w:t>
      </w:r>
      <w:r w:rsidR="003F1B9E">
        <w:fldChar w:fldCharType="begin"/>
      </w:r>
      <w:r w:rsidR="003F1B9E">
        <w:instrText xml:space="preserve"> REF _Ref464564658 \r \h </w:instrText>
      </w:r>
      <w:r w:rsidR="003F1B9E">
        <w:fldChar w:fldCharType="separate"/>
      </w:r>
      <w:r w:rsidR="008A1992">
        <w:t>3</w:t>
      </w:r>
      <w:r w:rsidR="003F1B9E">
        <w:fldChar w:fldCharType="end"/>
      </w:r>
      <w:r w:rsidR="003F1B9E">
        <w:t>.</w:t>
      </w:r>
    </w:p>
    <w:p w14:paraId="1636DBEE" w14:textId="178F009A" w:rsidR="00D825AE" w:rsidRDefault="002926AC" w:rsidP="00D825AE">
      <w:pPr>
        <w:pStyle w:val="Heading2"/>
      </w:pPr>
      <w:bookmarkStart w:id="271" w:name="_Toc346311023"/>
      <w:r>
        <w:t xml:space="preserve">Experimental Procedure for </w:t>
      </w:r>
      <w:r w:rsidR="00A62F60">
        <w:t>Hydraulic Fluid</w:t>
      </w:r>
      <w:r w:rsidR="00983613">
        <w:t xml:space="preserve"> Absorption</w:t>
      </w:r>
      <w:r w:rsidR="006F421E">
        <w:t xml:space="preserve"> of</w:t>
      </w:r>
      <w:r w:rsidR="00983613">
        <w:t xml:space="preserve"> </w:t>
      </w:r>
      <w:r>
        <w:t>Quartz-Reinforced</w:t>
      </w:r>
      <w:r w:rsidR="00983613">
        <w:t xml:space="preserve"> Flexur</w:t>
      </w:r>
      <w:r w:rsidR="008D254E">
        <w:t>al</w:t>
      </w:r>
      <w:r w:rsidR="00983613">
        <w:t xml:space="preserve"> Specimens</w:t>
      </w:r>
      <w:bookmarkEnd w:id="271"/>
    </w:p>
    <w:p w14:paraId="281381A6" w14:textId="6416D056" w:rsidR="00BB6E78" w:rsidRDefault="000C7603" w:rsidP="000D143F">
      <w:pPr>
        <w:ind w:firstLine="360"/>
      </w:pPr>
      <w:r>
        <w:t xml:space="preserve">The same </w:t>
      </w:r>
      <w:r w:rsidR="008D254E">
        <w:t>experimental</w:t>
      </w:r>
      <w:r w:rsidR="00444059">
        <w:t xml:space="preserve"> equipment and</w:t>
      </w:r>
      <w:r w:rsidR="008D254E">
        <w:t xml:space="preserve"> procedure </w:t>
      </w:r>
      <w:r>
        <w:t xml:space="preserve">used </w:t>
      </w:r>
      <w:r w:rsidR="008D254E">
        <w:t>for hydraulic fluid absorption</w:t>
      </w:r>
      <w:r>
        <w:t xml:space="preserve"> was used for long-term contamination of flexural specimens described in this Chapter.  A summary of the experimental procedure follows, which was</w:t>
      </w:r>
      <w:r w:rsidR="008D254E">
        <w:t xml:space="preserve"> described in </w:t>
      </w:r>
      <w:r>
        <w:t xml:space="preserve">detail in </w:t>
      </w:r>
      <w:r w:rsidR="008D254E">
        <w:t xml:space="preserve">Section </w:t>
      </w:r>
      <w:r w:rsidR="00CF0651">
        <w:fldChar w:fldCharType="begin"/>
      </w:r>
      <w:r w:rsidR="008D254E">
        <w:instrText xml:space="preserve"> REF _Ref464475179 \r \h </w:instrText>
      </w:r>
      <w:r w:rsidR="00CF0651">
        <w:fldChar w:fldCharType="separate"/>
      </w:r>
      <w:r w:rsidR="008A1992">
        <w:t>5.2</w:t>
      </w:r>
      <w:r w:rsidR="00CF0651">
        <w:fldChar w:fldCharType="end"/>
      </w:r>
      <w:r>
        <w:t xml:space="preserve">.  </w:t>
      </w:r>
      <w:r w:rsidR="00444059">
        <w:t>Six flexural specimens for each prepreg humidity exposure level and fabrication pressure with approximate planar dimensions of 57 mm by 12.7 mm were prepared for absorption testing.  Prior to fluid exposure, any initial moisture present in the composite specimens was removed by drying the specimens in a vacuum-oven at 40°C until an equilibrium weight was achieved.  The dried specimens were immersed in sealed glass containers filled with hydraulic fluid.  The temperature of each glass container was maintained at room temperature (25°C) with</w:t>
      </w:r>
      <w:r w:rsidR="00BB6E78">
        <w:t xml:space="preserve"> a Thermo Scientific water bath</w:t>
      </w:r>
      <w:r w:rsidR="00444059">
        <w:t xml:space="preserve">.  Similar to the absorption specimens presented in Chapter </w:t>
      </w:r>
      <w:r w:rsidR="00444059">
        <w:fldChar w:fldCharType="begin"/>
      </w:r>
      <w:r w:rsidR="00444059">
        <w:instrText xml:space="preserve"> REF _Ref464121241 \r \h </w:instrText>
      </w:r>
      <w:r w:rsidR="00444059">
        <w:fldChar w:fldCharType="separate"/>
      </w:r>
      <w:r w:rsidR="008A1992">
        <w:t>5</w:t>
      </w:r>
      <w:r w:rsidR="00444059">
        <w:fldChar w:fldCharType="end"/>
      </w:r>
      <w:r w:rsidR="00444059">
        <w:t xml:space="preserve">, a significant amount of hydraulic fluid remained on the laminate surface after removing the specimen from the immersion container.  </w:t>
      </w:r>
      <w:r w:rsidR="00BB6E78">
        <w:t>Surface fluid was removed from each specimen with a lint-free cloth prior to measuring the fluid uptake for a given immersion time period with a high-precision analytical balance.  The fluid absorption was monitored periodically until near-saturation was observed in the mass gain measurements and validated with hindered diffusion model predictions.  Equilibrium was achieved for the quartz-reinforced laminates after an absorption period of 21</w:t>
      </w:r>
      <w:r w:rsidR="00444059">
        <w:t xml:space="preserve"> months.  All gravimetric data reported in this Chapter is an average of six specimens for a specific laminate series with uncertainty levels calculated using 95% confidence</w:t>
      </w:r>
      <w:r w:rsidR="00BB6E78">
        <w:t xml:space="preserve">.  After equilibrium, the flexural properties </w:t>
      </w:r>
      <w:r w:rsidR="000D143F">
        <w:t>were</w:t>
      </w:r>
      <w:r w:rsidR="00BB6E78">
        <w:t xml:space="preserve"> determined </w:t>
      </w:r>
      <w:r w:rsidR="000D143F">
        <w:t xml:space="preserve">in accordance with the ASTM testing standard for </w:t>
      </w:r>
      <w:r>
        <w:t>fiber-reinforced polymers D790.  The ASTM Standard D790 was used to determine flexural properties of dry specimens,</w:t>
      </w:r>
      <w:r w:rsidR="000D143F">
        <w:t xml:space="preserve"> </w:t>
      </w:r>
      <w:r>
        <w:t>presented</w:t>
      </w:r>
      <w:r w:rsidR="00BB6E78">
        <w:t xml:space="preserve"> in Section </w:t>
      </w:r>
      <w:r w:rsidR="00BB6E78">
        <w:fldChar w:fldCharType="begin"/>
      </w:r>
      <w:r w:rsidR="00BB6E78">
        <w:instrText xml:space="preserve"> REF _Ref465672219 \r \h </w:instrText>
      </w:r>
      <w:r w:rsidR="00BB6E78">
        <w:fldChar w:fldCharType="separate"/>
      </w:r>
      <w:r w:rsidR="008A1992">
        <w:t>3.2</w:t>
      </w:r>
      <w:r w:rsidR="00BB6E78">
        <w:fldChar w:fldCharType="end"/>
      </w:r>
      <w:r w:rsidR="000D143F">
        <w:t xml:space="preserve">.  </w:t>
      </w:r>
      <w:r w:rsidR="00BB6E78">
        <w:t xml:space="preserve">Flexural properties were determined from a bar of rectangular cross section resting on two supports and loaded </w:t>
      </w:r>
      <w:r>
        <w:t>using a</w:t>
      </w:r>
      <w:r w:rsidR="00BB6E78">
        <w:t xml:space="preserve"> nose located midway between the two supports. </w:t>
      </w:r>
    </w:p>
    <w:p w14:paraId="205710C7" w14:textId="458B7AED" w:rsidR="00842DE7" w:rsidRDefault="00BB6E78" w:rsidP="00842DE7">
      <w:pPr>
        <w:ind w:firstLine="360"/>
      </w:pPr>
      <w:r>
        <w:t xml:space="preserve">With regards to the flexural testing conducted in this study, the support span-to-depth ratio for all prepreg </w:t>
      </w:r>
      <w:r w:rsidR="000D143F">
        <w:t>specimens</w:t>
      </w:r>
      <w:r>
        <w:t xml:space="preserve"> was chosen to be 20:1.  This value was chosen because (i) it allowed for a larger span-to-depth ratio to account for the l</w:t>
      </w:r>
      <w:r w:rsidR="000D143F">
        <w:t>aminated composite specimens,</w:t>
      </w:r>
      <w:r>
        <w:t xml:space="preserve"> (ii) specimen overall lengths were within the range of useable space for the fabricated laminates</w:t>
      </w:r>
      <w:r w:rsidR="000D143F">
        <w:t xml:space="preserve">, and (iii) was identical to the baseline study presented in Section </w:t>
      </w:r>
      <w:r w:rsidR="000D143F">
        <w:fldChar w:fldCharType="begin"/>
      </w:r>
      <w:r w:rsidR="000D143F">
        <w:instrText xml:space="preserve"> REF _Ref465672219 \r \h </w:instrText>
      </w:r>
      <w:r w:rsidR="000D143F">
        <w:fldChar w:fldCharType="separate"/>
      </w:r>
      <w:r w:rsidR="008A1992">
        <w:t>3.2</w:t>
      </w:r>
      <w:r w:rsidR="000D143F">
        <w:fldChar w:fldCharType="end"/>
      </w:r>
      <w:r>
        <w:t>.  All specimens ruptured prior to the 5.0% maximum strain threshold, and loading was conducted at the specified strain rate of 0.01 mm/mm/min.</w:t>
      </w:r>
      <w:r w:rsidR="000D143F">
        <w:t xml:space="preserve">  The flexural properties for hydraulic fluid contaminated specimens were compared with the baseline (i.e. dry) flexural stiffness and flexural strength, presented in Sections </w:t>
      </w:r>
      <w:r w:rsidR="000D143F">
        <w:fldChar w:fldCharType="begin"/>
      </w:r>
      <w:r w:rsidR="000D143F">
        <w:instrText xml:space="preserve"> REF _Ref461605451 \r \h </w:instrText>
      </w:r>
      <w:r w:rsidR="000D143F">
        <w:fldChar w:fldCharType="separate"/>
      </w:r>
      <w:r w:rsidR="008A1992">
        <w:t>3.2.2</w:t>
      </w:r>
      <w:r w:rsidR="000D143F">
        <w:fldChar w:fldCharType="end"/>
      </w:r>
      <w:r w:rsidR="000D143F">
        <w:t xml:space="preserve"> and </w:t>
      </w:r>
      <w:r w:rsidR="000D143F">
        <w:fldChar w:fldCharType="begin"/>
      </w:r>
      <w:r w:rsidR="000D143F">
        <w:instrText xml:space="preserve"> REF _Ref344617975 \r \h </w:instrText>
      </w:r>
      <w:r w:rsidR="000D143F">
        <w:fldChar w:fldCharType="separate"/>
      </w:r>
      <w:r w:rsidR="008A1992">
        <w:t>3.2.3</w:t>
      </w:r>
      <w:r w:rsidR="000D143F">
        <w:fldChar w:fldCharType="end"/>
      </w:r>
      <w:r w:rsidR="000D143F">
        <w:t>, respectively.</w:t>
      </w:r>
      <w:r w:rsidR="00842DE7">
        <w:t xml:space="preserve">  Percent reductions of flexural properties (stiffness and strength) were calculated to evaluate the extent of damage due to hydraulic fluid contamination.  The percent reduction, </w:t>
      </w:r>
      <w:r w:rsidR="00842DE7" w:rsidRPr="00842DE7">
        <w:rPr>
          <w:i/>
        </w:rPr>
        <w:t>%</w:t>
      </w:r>
      <w:r w:rsidR="00842DE7" w:rsidRPr="00842DE7">
        <w:rPr>
          <w:i/>
          <w:vertAlign w:val="subscript"/>
        </w:rPr>
        <w:t>red</w:t>
      </w:r>
      <w:r w:rsidR="00842DE7">
        <w:t>, of each specimen series was calculated by:</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gridCol w:w="630"/>
      </w:tblGrid>
      <w:tr w:rsidR="00842DE7" w14:paraId="4C6118F1" w14:textId="77777777" w:rsidTr="00842DE7">
        <w:tc>
          <w:tcPr>
            <w:tcW w:w="7920" w:type="dxa"/>
            <w:shd w:val="clear" w:color="auto" w:fill="auto"/>
            <w:vAlign w:val="center"/>
          </w:tcPr>
          <w:p w14:paraId="472B7457" w14:textId="77777777" w:rsidR="00842DE7" w:rsidRDefault="007F38FB" w:rsidP="00B37796">
            <w:pPr>
              <w:jc w:val="center"/>
            </w:pPr>
            <m:oMathPara>
              <m:oMath>
                <m:sSub>
                  <m:sSubPr>
                    <m:ctrlPr>
                      <w:rPr>
                        <w:rFonts w:ascii="Cambria Math" w:hAnsi="Cambria Math"/>
                        <w:i/>
                      </w:rPr>
                    </m:ctrlPr>
                  </m:sSubPr>
                  <m:e>
                    <m:r>
                      <w:rPr>
                        <w:rFonts w:ascii="Cambria Math" w:hAnsi="Cambria Math"/>
                      </w:rPr>
                      <m:t>%</m:t>
                    </m:r>
                  </m:e>
                  <m:sub>
                    <m:r>
                      <w:rPr>
                        <w:rFonts w:ascii="Cambria Math" w:hAnsi="Cambria Math"/>
                      </w:rPr>
                      <m:t>red</m:t>
                    </m:r>
                  </m:sub>
                </m:sSub>
                <m:r>
                  <w:rPr>
                    <w:rFonts w:ascii="Cambria Math" w:hAnsi="Cambria Math"/>
                  </w:rPr>
                  <m:t>=1-</m:t>
                </m:r>
                <m:d>
                  <m:dPr>
                    <m:begChr m:val="["/>
                    <m:endChr m:val="]"/>
                    <m:ctrlPr>
                      <w:rPr>
                        <w:rFonts w:ascii="Cambria Math" w:hAnsi="Cambria Math"/>
                        <w:i/>
                      </w:rPr>
                    </m:ctrlPr>
                  </m:dPr>
                  <m:e>
                    <m:f>
                      <m:fPr>
                        <m:ctrlPr>
                          <w:rPr>
                            <w:rFonts w:ascii="Cambria Math" w:hAnsi="Cambria Math"/>
                            <w:i/>
                          </w:rPr>
                        </m:ctrlPr>
                      </m:fPr>
                      <m:num>
                        <m:r>
                          <w:rPr>
                            <w:rFonts w:ascii="Cambria Math" w:hAnsi="Cambria Math"/>
                          </w:rPr>
                          <m:t>Wet</m:t>
                        </m:r>
                      </m:num>
                      <m:den>
                        <m:r>
                          <w:rPr>
                            <w:rFonts w:ascii="Cambria Math" w:hAnsi="Cambria Math"/>
                          </w:rPr>
                          <m:t>Dry</m:t>
                        </m:r>
                      </m:den>
                    </m:f>
                  </m:e>
                </m:d>
              </m:oMath>
            </m:oMathPara>
          </w:p>
        </w:tc>
        <w:tc>
          <w:tcPr>
            <w:tcW w:w="630" w:type="dxa"/>
            <w:shd w:val="clear" w:color="auto" w:fill="auto"/>
            <w:vAlign w:val="center"/>
          </w:tcPr>
          <w:p w14:paraId="691B0379" w14:textId="77777777" w:rsidR="00842DE7" w:rsidRDefault="00842DE7" w:rsidP="00B37796">
            <w:pPr>
              <w:jc w:val="right"/>
            </w:pPr>
            <w:r>
              <w:t>(12)</w:t>
            </w:r>
          </w:p>
        </w:tc>
      </w:tr>
    </w:tbl>
    <w:p w14:paraId="4DAED614" w14:textId="26EDE5ED" w:rsidR="00842DE7" w:rsidRPr="00CC21F7" w:rsidRDefault="00842DE7" w:rsidP="00B37796">
      <w:proofErr w:type="gramStart"/>
      <w:r>
        <w:t>where</w:t>
      </w:r>
      <w:proofErr w:type="gramEnd"/>
      <w:r>
        <w:t xml:space="preserve"> </w:t>
      </w:r>
      <w:r>
        <w:rPr>
          <w:i/>
        </w:rPr>
        <w:t>Wet</w:t>
      </w:r>
      <w:r>
        <w:t xml:space="preserve"> is the flexural stiffness or strength after 21 months of hydraulic fluid contamination, and </w:t>
      </w:r>
      <w:r>
        <w:rPr>
          <w:i/>
        </w:rPr>
        <w:t>Dry</w:t>
      </w:r>
      <w:r>
        <w:t xml:space="preserve"> is </w:t>
      </w:r>
      <w:r w:rsidR="00B37796">
        <w:t xml:space="preserve">the flexural stiffness or strength of the baseline study presented in Section </w:t>
      </w:r>
      <w:r w:rsidR="00B37796">
        <w:fldChar w:fldCharType="begin"/>
      </w:r>
      <w:r w:rsidR="00B37796">
        <w:instrText xml:space="preserve"> REF _Ref465672219 \r \h </w:instrText>
      </w:r>
      <w:r w:rsidR="00B37796">
        <w:fldChar w:fldCharType="separate"/>
      </w:r>
      <w:r w:rsidR="008A1992">
        <w:t>3.2</w:t>
      </w:r>
      <w:r w:rsidR="00B37796">
        <w:fldChar w:fldCharType="end"/>
      </w:r>
      <w:r>
        <w:t>.</w:t>
      </w:r>
    </w:p>
    <w:p w14:paraId="47BF0D90" w14:textId="07781CE4" w:rsidR="009A73E4" w:rsidRDefault="009A73E4" w:rsidP="009A73E4">
      <w:pPr>
        <w:pStyle w:val="Heading2"/>
      </w:pPr>
      <w:bookmarkStart w:id="272" w:name="_Toc346311024"/>
      <w:r>
        <w:t>Hydraulic Fluid Absorption for Quartz-Reinforced Laminates</w:t>
      </w:r>
      <w:bookmarkEnd w:id="272"/>
    </w:p>
    <w:p w14:paraId="555EA9F9" w14:textId="0048A4B7" w:rsidR="00D724AE" w:rsidRPr="00D724AE" w:rsidRDefault="00D724AE" w:rsidP="00D724AE">
      <w:pPr>
        <w:pStyle w:val="Heading3"/>
      </w:pPr>
      <w:bookmarkStart w:id="273" w:name="_Toc346311025"/>
      <w:r>
        <w:t xml:space="preserve">Long-term Hydraulic Fluid Absorption for Quartz/BMI </w:t>
      </w:r>
      <w:r w:rsidR="000D143F">
        <w:t xml:space="preserve">(AQIII/BMI) </w:t>
      </w:r>
      <w:r>
        <w:t>Flexural Specimens</w:t>
      </w:r>
      <w:bookmarkEnd w:id="273"/>
    </w:p>
    <w:p w14:paraId="4695B6CB" w14:textId="5B568C13" w:rsidR="00664EB2" w:rsidRDefault="00664EB2" w:rsidP="00664EB2">
      <w:pPr>
        <w:ind w:firstLine="360"/>
      </w:pPr>
      <w:r>
        <w:t>The fluid mass gain for Quartz/BMI flexural specimens subjected to long-term</w:t>
      </w:r>
      <w:r w:rsidR="000C7603">
        <w:t xml:space="preserve"> hydraulic fluid </w:t>
      </w:r>
      <w:r>
        <w:t xml:space="preserve">exposure is shown in </w:t>
      </w:r>
      <w:r>
        <w:fldChar w:fldCharType="begin"/>
      </w:r>
      <w:r>
        <w:instrText xml:space="preserve"> REF _Ref344618594 \h </w:instrText>
      </w:r>
      <w:r>
        <w:fldChar w:fldCharType="separate"/>
      </w:r>
      <w:r w:rsidR="008A1992" w:rsidRPr="003E68B9">
        <w:t xml:space="preserve">Figure </w:t>
      </w:r>
      <w:r w:rsidR="008A1992">
        <w:rPr>
          <w:noProof/>
        </w:rPr>
        <w:t>6</w:t>
      </w:r>
      <w:r w:rsidR="008A1992">
        <w:t>.</w:t>
      </w:r>
      <w:r w:rsidR="008A1992">
        <w:rPr>
          <w:noProof/>
        </w:rPr>
        <w:t>1</w:t>
      </w:r>
      <w:r>
        <w:fldChar w:fldCharType="end"/>
      </w:r>
      <w:r>
        <w:t xml:space="preserve">.  The maximum fluid mass gain ranged from 3.1-8.9 %wt. </w:t>
      </w:r>
      <w:r w:rsidR="004B3E16">
        <w:t>for laminates fabricated at a low pressure (69 kPa) and reduced to 1.4-4.2 %wt. for laminates fabricated at a high pressure (483 kPa).  The average fluid content for flexural specimens was generally slightly greater than the</w:t>
      </w:r>
      <w:r w:rsidR="005455BD">
        <w:t xml:space="preserve"> square (aspect ratio 1.0)</w:t>
      </w:r>
      <w:r w:rsidR="004B3E16">
        <w:t xml:space="preserve"> absorption specimens presented in Section </w:t>
      </w:r>
      <w:r w:rsidR="004B3E16">
        <w:fldChar w:fldCharType="begin"/>
      </w:r>
      <w:r w:rsidR="004B3E16">
        <w:instrText xml:space="preserve"> REF _Ref344530586 \r \h </w:instrText>
      </w:r>
      <w:r w:rsidR="004B3E16">
        <w:fldChar w:fldCharType="separate"/>
      </w:r>
      <w:r w:rsidR="008A1992">
        <w:t>5.3.1</w:t>
      </w:r>
      <w:r w:rsidR="004B3E16">
        <w:fldChar w:fldCharType="end"/>
      </w:r>
      <w:r w:rsidR="004B3E16">
        <w:t xml:space="preserve">.  This may be attributed to some variations with the void volume fraction, or unique interactions </w:t>
      </w:r>
      <w:r w:rsidR="005455BD">
        <w:t>due to</w:t>
      </w:r>
      <w:r w:rsidR="004B3E16">
        <w:t xml:space="preserve"> the </w:t>
      </w:r>
      <w:r w:rsidR="005455BD">
        <w:t xml:space="preserve">different </w:t>
      </w:r>
      <w:r w:rsidR="004B3E16">
        <w:t>specimen planar dimensions.</w:t>
      </w:r>
      <w:r w:rsidR="005455BD">
        <w:t xml:space="preserve">  Similar absorption behavior was observed between the flexural specimens and square-shaped specimens.  Such as the largest reduction in fluid mass gain occurring when fabrication pressure increased from 69 kPa to 207 kPa.  Additionally, the fluid mass gain was slightly larger for prepregs conditioned at 70% relative humidity when compared to prepregs conditioned at 99% relative humidity for fabrication pressures up to 345 kPa.</w:t>
      </w:r>
      <w:r w:rsidR="000C7603">
        <w:t xml:space="preserve">  Additional comparisons between the two specimen planar dimensions will be discussed in the following Sections.</w:t>
      </w:r>
    </w:p>
    <w:p w14:paraId="25F9068F" w14:textId="77777777" w:rsidR="009A73E4" w:rsidRDefault="009A73E4" w:rsidP="009A73E4"/>
    <w:p w14:paraId="44699487" w14:textId="77777777" w:rsidR="003E68B9" w:rsidRDefault="00D724AE" w:rsidP="003E68B9">
      <w:pPr>
        <w:keepNext/>
        <w:jc w:val="center"/>
      </w:pPr>
      <w:r>
        <w:rPr>
          <w:noProof/>
        </w:rPr>
        <mc:AlternateContent>
          <mc:Choice Requires="wpg">
            <w:drawing>
              <wp:inline distT="0" distB="0" distL="0" distR="0" wp14:anchorId="3270181B" wp14:editId="6440221A">
                <wp:extent cx="5394960" cy="5485109"/>
                <wp:effectExtent l="0" t="0" r="0" b="1905"/>
                <wp:docPr id="5" name="Group 12"/>
                <wp:cNvGraphicFramePr/>
                <a:graphic xmlns:a="http://schemas.openxmlformats.org/drawingml/2006/main">
                  <a:graphicData uri="http://schemas.microsoft.com/office/word/2010/wordprocessingGroup">
                    <wpg:wgp>
                      <wpg:cNvGrpSpPr/>
                      <wpg:grpSpPr>
                        <a:xfrm>
                          <a:off x="0" y="0"/>
                          <a:ext cx="5394960" cy="5485109"/>
                          <a:chOff x="0" y="0"/>
                          <a:chExt cx="5396230" cy="5486401"/>
                        </a:xfrm>
                      </wpg:grpSpPr>
                      <wpg:graphicFrame>
                        <wpg:cNvPr id="9" name="Chart 9"/>
                        <wpg:cNvFrPr>
                          <a:graphicFrameLocks/>
                        </wpg:cNvFrPr>
                        <wpg:xfrm>
                          <a:off x="0" y="0"/>
                          <a:ext cx="2691146" cy="2744453"/>
                        </wpg:xfrm>
                        <a:graphic>
                          <a:graphicData uri="http://schemas.openxmlformats.org/drawingml/2006/chart">
                            <c:chart xmlns:c="http://schemas.openxmlformats.org/drawingml/2006/chart" xmlns:r="http://schemas.openxmlformats.org/officeDocument/2006/relationships" r:id="rId156"/>
                          </a:graphicData>
                        </a:graphic>
                      </wpg:graphicFrame>
                      <wpg:graphicFrame>
                        <wpg:cNvPr id="10" name="Chart 10"/>
                        <wpg:cNvFrPr>
                          <a:graphicFrameLocks/>
                        </wpg:cNvFrPr>
                        <wpg:xfrm>
                          <a:off x="2692413" y="0"/>
                          <a:ext cx="2703817" cy="2744453"/>
                        </wpg:xfrm>
                        <a:graphic>
                          <a:graphicData uri="http://schemas.openxmlformats.org/drawingml/2006/chart">
                            <c:chart xmlns:c="http://schemas.openxmlformats.org/drawingml/2006/chart" xmlns:r="http://schemas.openxmlformats.org/officeDocument/2006/relationships" r:id="rId157"/>
                          </a:graphicData>
                        </a:graphic>
                      </wpg:graphicFrame>
                      <wpg:graphicFrame>
                        <wpg:cNvPr id="16" name="Chart 16"/>
                        <wpg:cNvFrPr>
                          <a:graphicFrameLocks/>
                        </wpg:cNvFrPr>
                        <wpg:xfrm>
                          <a:off x="0" y="2744454"/>
                          <a:ext cx="2691146" cy="2741947"/>
                        </wpg:xfrm>
                        <a:graphic>
                          <a:graphicData uri="http://schemas.openxmlformats.org/drawingml/2006/chart">
                            <c:chart xmlns:c="http://schemas.openxmlformats.org/drawingml/2006/chart" xmlns:r="http://schemas.openxmlformats.org/officeDocument/2006/relationships" r:id="rId158"/>
                          </a:graphicData>
                        </a:graphic>
                      </wpg:graphicFrame>
                      <wpg:graphicFrame>
                        <wpg:cNvPr id="17" name="Chart 17"/>
                        <wpg:cNvFrPr>
                          <a:graphicFrameLocks/>
                        </wpg:cNvFrPr>
                        <wpg:xfrm>
                          <a:off x="2692413" y="2744454"/>
                          <a:ext cx="2703817" cy="2741947"/>
                        </wpg:xfrm>
                        <a:graphic>
                          <a:graphicData uri="http://schemas.openxmlformats.org/drawingml/2006/chart">
                            <c:chart xmlns:c="http://schemas.openxmlformats.org/drawingml/2006/chart" xmlns:r="http://schemas.openxmlformats.org/officeDocument/2006/relationships" r:id="rId159"/>
                          </a:graphicData>
                        </a:graphic>
                      </wpg:graphicFrame>
                    </wpg:wgp>
                  </a:graphicData>
                </a:graphic>
              </wp:inline>
            </w:drawing>
          </mc:Choice>
          <mc:Fallback xmlns:w15="http://schemas.microsoft.com/office/word/2012/wordml">
            <w:pict>
              <v:group w14:anchorId="5311771C" id="Group 12" o:spid="_x0000_s1026" style="width:424.8pt;height:431.9pt;mso-position-horizontal-relative:char;mso-position-vertical-relative:line" coordsize="53962,54864" o:gfxdata="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">
                <v:shape id="Chart 9" o:spid="_x0000_s1027" type="#_x0000_t75" style="position:absolute;width:26950;height:274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">
                  <v:imagedata r:id="rId160" o:title=""/>
                  <o:lock v:ext="edit" aspectratio="f"/>
                </v:shape>
                <v:shape id="Chart 10" o:spid="_x0000_s1028" type="#_x0000_t75" style="position:absolute;left:26889;width:27073;height:274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">
                  <v:imagedata r:id="rId161" o:title=""/>
                  <o:lock v:ext="edit" aspectratio="f"/>
                </v:shape>
                <v:shape id="Chart 16" o:spid="_x0000_s1029" type="#_x0000_t75" style="position:absolute;top:27438;width:26950;height:2743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">
                  <v:imagedata r:id="rId162" o:title=""/>
                  <o:lock v:ext="edit" aspectratio="f"/>
                </v:shape>
                <v:shape id="Chart 17" o:spid="_x0000_s1030" type="#_x0000_t75" style="position:absolute;left:26889;top:27438;width:27073;height:2743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">
                  <v:imagedata r:id="rId163" o:title=""/>
                  <o:lock v:ext="edit" aspectratio="f"/>
                </v:shape>
                <w10:anchorlock/>
              </v:group>
            </w:pict>
          </mc:Fallback>
        </mc:AlternateContent>
      </w:r>
    </w:p>
    <w:p w14:paraId="2BAB8FE6" w14:textId="0B946FB9" w:rsidR="00D724AE" w:rsidRDefault="003E68B9" w:rsidP="003E68B9">
      <w:pPr>
        <w:pStyle w:val="Caption"/>
        <w:spacing w:line="240" w:lineRule="auto"/>
        <w:jc w:val="center"/>
        <w:rPr>
          <w:sz w:val="24"/>
        </w:rPr>
      </w:pPr>
      <w:bookmarkStart w:id="274" w:name="_Ref344618594"/>
      <w:bookmarkStart w:id="275" w:name="_Toc346310449"/>
      <w:proofErr w:type="gramStart"/>
      <w:r w:rsidRPr="003E68B9">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6</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1</w:t>
      </w:r>
      <w:r w:rsidR="00C16D85">
        <w:rPr>
          <w:sz w:val="24"/>
        </w:rPr>
        <w:fldChar w:fldCharType="end"/>
      </w:r>
      <w:bookmarkEnd w:id="274"/>
      <w:r>
        <w:rPr>
          <w:sz w:val="24"/>
        </w:rPr>
        <w:t xml:space="preserve"> Long-term (21</w:t>
      </w:r>
      <w:r w:rsidRPr="00C61F19">
        <w:rPr>
          <w:sz w:val="24"/>
        </w:rPr>
        <w:t xml:space="preserve"> months) hydraulic fluid absorption for </w:t>
      </w:r>
      <w:r>
        <w:rPr>
          <w:sz w:val="24"/>
        </w:rPr>
        <w:t xml:space="preserve">flexural specimens of </w:t>
      </w:r>
      <w:r w:rsidRPr="00C61F19">
        <w:rPr>
          <w:sz w:val="24"/>
        </w:rPr>
        <w:t xml:space="preserve">conditioned AQIII/BMI prepregs cured at fabrication pressures of (a) 69 kPa, (b) 207 kPa, (c) 345 kPa, and (d) 483 kPa. Error bars associated with 95% confidence for </w:t>
      </w:r>
      <w:r w:rsidR="00426540">
        <w:rPr>
          <w:sz w:val="24"/>
        </w:rPr>
        <w:t>n=6 samples</w:t>
      </w:r>
      <w:bookmarkEnd w:id="275"/>
    </w:p>
    <w:p w14:paraId="285D257A" w14:textId="77777777" w:rsidR="003E68B9" w:rsidRPr="003E68B9" w:rsidRDefault="003E68B9" w:rsidP="003E68B9"/>
    <w:p w14:paraId="5D7D6A79" w14:textId="77777777" w:rsidR="009A73E4" w:rsidRDefault="009A73E4" w:rsidP="009A73E4"/>
    <w:p w14:paraId="560ACE80" w14:textId="24618555" w:rsidR="00D724AE" w:rsidRPr="00D724AE" w:rsidRDefault="00D724AE" w:rsidP="00D724AE">
      <w:pPr>
        <w:pStyle w:val="Heading3"/>
      </w:pPr>
      <w:bookmarkStart w:id="276" w:name="_Toc346311026"/>
      <w:r>
        <w:t xml:space="preserve">Long-term Hydraulic Fluid Absorption for Quartz/Epoxy </w:t>
      </w:r>
      <w:r w:rsidR="000D143F">
        <w:t xml:space="preserve">(AQIII/EX-1522) </w:t>
      </w:r>
      <w:r>
        <w:t>Flexural Specimens</w:t>
      </w:r>
      <w:bookmarkEnd w:id="276"/>
    </w:p>
    <w:p w14:paraId="66F5D52D" w14:textId="28A328D2" w:rsidR="00D724AE" w:rsidRDefault="00854882" w:rsidP="00145AF6">
      <w:pPr>
        <w:ind w:firstLine="360"/>
      </w:pPr>
      <w:r>
        <w:t>The fluid mass gain for Quartz/</w:t>
      </w:r>
      <w:r w:rsidR="001024F9">
        <w:t>Epoxy</w:t>
      </w:r>
      <w:r>
        <w:t xml:space="preserve"> flexural specimens subjected to long-term </w:t>
      </w:r>
      <w:r w:rsidR="000C7603">
        <w:t xml:space="preserve">hydraulic fluid </w:t>
      </w:r>
      <w:r>
        <w:t>exposure is shown in</w:t>
      </w:r>
      <w:r w:rsidR="001024F9">
        <w:t xml:space="preserve"> </w:t>
      </w:r>
      <w:r w:rsidR="001024F9">
        <w:fldChar w:fldCharType="begin"/>
      </w:r>
      <w:r w:rsidR="001024F9">
        <w:instrText xml:space="preserve"> REF _Ref344620189 \h </w:instrText>
      </w:r>
      <w:r w:rsidR="001024F9">
        <w:fldChar w:fldCharType="separate"/>
      </w:r>
      <w:r w:rsidR="008A1992" w:rsidRPr="003E68B9">
        <w:t xml:space="preserve">Figure </w:t>
      </w:r>
      <w:r w:rsidR="008A1992">
        <w:rPr>
          <w:noProof/>
        </w:rPr>
        <w:t>6</w:t>
      </w:r>
      <w:r w:rsidR="008A1992">
        <w:t>.</w:t>
      </w:r>
      <w:r w:rsidR="008A1992">
        <w:rPr>
          <w:noProof/>
        </w:rPr>
        <w:t>2</w:t>
      </w:r>
      <w:r w:rsidR="001024F9">
        <w:fldChar w:fldCharType="end"/>
      </w:r>
      <w:r>
        <w:t>.  The maximum</w:t>
      </w:r>
      <w:r w:rsidR="001024F9">
        <w:t xml:space="preserve"> fluid mass gain ranged from 0.6</w:t>
      </w:r>
      <w:r>
        <w:t>-</w:t>
      </w:r>
      <w:r w:rsidR="001024F9">
        <w:t>1</w:t>
      </w:r>
      <w:r>
        <w:t>.</w:t>
      </w:r>
      <w:r w:rsidR="001024F9">
        <w:t>6</w:t>
      </w:r>
      <w:r>
        <w:t xml:space="preserve"> %wt. for laminates fabricated at a low pres</w:t>
      </w:r>
      <w:r w:rsidR="001024F9">
        <w:t>sure (69 kPa) and reduced slightly to 0.5-1.1</w:t>
      </w:r>
      <w:r>
        <w:t xml:space="preserve"> %wt.</w:t>
      </w:r>
      <w:r w:rsidR="001024F9">
        <w:t xml:space="preserve"> as fabrication pressure increased</w:t>
      </w:r>
      <w:r>
        <w:t xml:space="preserve">.  </w:t>
      </w:r>
      <w:r w:rsidR="00145AF6">
        <w:t xml:space="preserve">Similar to the trend observed with BMI, the average fluid content for flexural specimens was slightly higher, although not by a significant amount, than the square (aspect ratio 1.0) absorption specimens presented in Section </w:t>
      </w:r>
      <w:r w:rsidR="00145AF6">
        <w:fldChar w:fldCharType="begin"/>
      </w:r>
      <w:r w:rsidR="00145AF6">
        <w:instrText xml:space="preserve"> REF _Ref344552654 \r \h </w:instrText>
      </w:r>
      <w:r w:rsidR="00145AF6">
        <w:fldChar w:fldCharType="separate"/>
      </w:r>
      <w:r w:rsidR="008A1992">
        <w:t>5.3.2</w:t>
      </w:r>
      <w:r w:rsidR="00145AF6">
        <w:fldChar w:fldCharType="end"/>
      </w:r>
      <w:r w:rsidR="00145AF6">
        <w:t xml:space="preserve">.  </w:t>
      </w:r>
      <w:r w:rsidR="001024F9">
        <w:t>Generally, hydraulic fluid uptake was more gradual when compared to the absorption behavior of BMI.  Prepregs conditioned at 99% relative humidity had the most apparent two-stage absorption behavior with rapid diffusion up to hr</w:t>
      </w:r>
      <w:r w:rsidR="001024F9" w:rsidRPr="00C94E05">
        <w:rPr>
          <w:vertAlign w:val="superscript"/>
        </w:rPr>
        <w:t>0.5</w:t>
      </w:r>
      <w:r w:rsidR="001024F9" w:rsidRPr="00C94E05">
        <w:t xml:space="preserve"> </w:t>
      </w:r>
      <w:r w:rsidR="001024F9">
        <w:rPr>
          <w:rFonts w:eastAsia="MS Gothic"/>
          <w:color w:val="000000"/>
        </w:rPr>
        <w:t>≈ 20</w:t>
      </w:r>
      <w:r w:rsidR="001024F9" w:rsidRPr="00C94E05">
        <w:rPr>
          <w:rFonts w:eastAsia="MS Gothic"/>
          <w:color w:val="000000"/>
        </w:rPr>
        <w:t>.0</w:t>
      </w:r>
      <w:r w:rsidR="001024F9">
        <w:rPr>
          <w:rFonts w:eastAsia="MS Gothic"/>
          <w:color w:val="000000"/>
        </w:rPr>
        <w:t>, followed by a more gradual uptake, particularly at higher fabrication pressures.</w:t>
      </w:r>
      <w:r w:rsidR="00145AF6">
        <w:rPr>
          <w:rFonts w:eastAsia="MS Gothic"/>
          <w:color w:val="000000"/>
        </w:rPr>
        <w:t xml:space="preserve">  </w:t>
      </w:r>
      <w:r w:rsidR="00145AF6">
        <w:t xml:space="preserve">Sampling variation increased as prepreg humidity exposure increased, which is indicated by the larger confidence intervals for 99% relative humidity specimens in </w:t>
      </w:r>
      <w:r w:rsidR="00145AF6">
        <w:fldChar w:fldCharType="begin"/>
      </w:r>
      <w:r w:rsidR="00145AF6">
        <w:instrText xml:space="preserve"> REF _Ref344620189 \h </w:instrText>
      </w:r>
      <w:r w:rsidR="00145AF6">
        <w:fldChar w:fldCharType="separate"/>
      </w:r>
      <w:r w:rsidR="008A1992" w:rsidRPr="003E68B9">
        <w:t xml:space="preserve">Figure </w:t>
      </w:r>
      <w:r w:rsidR="008A1992">
        <w:rPr>
          <w:noProof/>
        </w:rPr>
        <w:t>6</w:t>
      </w:r>
      <w:r w:rsidR="008A1992">
        <w:t>.</w:t>
      </w:r>
      <w:r w:rsidR="008A1992">
        <w:rPr>
          <w:noProof/>
        </w:rPr>
        <w:t>2</w:t>
      </w:r>
      <w:r w:rsidR="00145AF6">
        <w:fldChar w:fldCharType="end"/>
      </w:r>
      <w:r w:rsidR="00145AF6">
        <w:t>.</w:t>
      </w:r>
    </w:p>
    <w:p w14:paraId="0A067AD0" w14:textId="77777777" w:rsidR="003E68B9" w:rsidRDefault="00654323" w:rsidP="003E68B9">
      <w:pPr>
        <w:keepNext/>
        <w:jc w:val="center"/>
      </w:pPr>
      <w:r>
        <w:rPr>
          <w:noProof/>
        </w:rPr>
        <mc:AlternateContent>
          <mc:Choice Requires="wpg">
            <w:drawing>
              <wp:inline distT="0" distB="0" distL="0" distR="0" wp14:anchorId="7BA530DD" wp14:editId="664F73AC">
                <wp:extent cx="5394960" cy="5487648"/>
                <wp:effectExtent l="0" t="0" r="0" b="0"/>
                <wp:docPr id="18" name="Group 12"/>
                <wp:cNvGraphicFramePr/>
                <a:graphic xmlns:a="http://schemas.openxmlformats.org/drawingml/2006/main">
                  <a:graphicData uri="http://schemas.microsoft.com/office/word/2010/wordprocessingGroup">
                    <wpg:wgp>
                      <wpg:cNvGrpSpPr/>
                      <wpg:grpSpPr>
                        <a:xfrm>
                          <a:off x="0" y="0"/>
                          <a:ext cx="5394960" cy="5487648"/>
                          <a:chOff x="0" y="0"/>
                          <a:chExt cx="5396230" cy="5488941"/>
                        </a:xfrm>
                      </wpg:grpSpPr>
                      <wpg:graphicFrame>
                        <wpg:cNvPr id="23" name="Chart 23"/>
                        <wpg:cNvFrPr>
                          <a:graphicFrameLocks/>
                        </wpg:cNvFrPr>
                        <wpg:xfrm>
                          <a:off x="0" y="0"/>
                          <a:ext cx="2697480" cy="2745740"/>
                        </wpg:xfrm>
                        <a:graphic>
                          <a:graphicData uri="http://schemas.openxmlformats.org/drawingml/2006/chart">
                            <c:chart xmlns:c="http://schemas.openxmlformats.org/drawingml/2006/chart" xmlns:r="http://schemas.openxmlformats.org/officeDocument/2006/relationships" r:id="rId164"/>
                          </a:graphicData>
                        </a:graphic>
                      </wpg:graphicFrame>
                      <wpg:graphicFrame>
                        <wpg:cNvPr id="24" name="Chart 24"/>
                        <wpg:cNvFrPr>
                          <a:graphicFrameLocks/>
                        </wpg:cNvFrPr>
                        <wpg:xfrm>
                          <a:off x="2698750" y="0"/>
                          <a:ext cx="2697480" cy="2745740"/>
                        </wpg:xfrm>
                        <a:graphic>
                          <a:graphicData uri="http://schemas.openxmlformats.org/drawingml/2006/chart">
                            <c:chart xmlns:c="http://schemas.openxmlformats.org/drawingml/2006/chart" xmlns:r="http://schemas.openxmlformats.org/officeDocument/2006/relationships" r:id="rId165"/>
                          </a:graphicData>
                        </a:graphic>
                      </wpg:graphicFrame>
                      <wpg:graphicFrame>
                        <wpg:cNvPr id="25" name="Chart 25"/>
                        <wpg:cNvFrPr>
                          <a:graphicFrameLocks/>
                        </wpg:cNvFrPr>
                        <wpg:xfrm>
                          <a:off x="0" y="2745741"/>
                          <a:ext cx="2697480" cy="2743200"/>
                        </wpg:xfrm>
                        <a:graphic>
                          <a:graphicData uri="http://schemas.openxmlformats.org/drawingml/2006/chart">
                            <c:chart xmlns:c="http://schemas.openxmlformats.org/drawingml/2006/chart" xmlns:r="http://schemas.openxmlformats.org/officeDocument/2006/relationships" r:id="rId166"/>
                          </a:graphicData>
                        </a:graphic>
                      </wpg:graphicFrame>
                      <wpg:graphicFrame>
                        <wpg:cNvPr id="26" name="Chart 26"/>
                        <wpg:cNvFrPr>
                          <a:graphicFrameLocks/>
                        </wpg:cNvFrPr>
                        <wpg:xfrm>
                          <a:off x="2698750" y="2745741"/>
                          <a:ext cx="2697480" cy="2743200"/>
                        </wpg:xfrm>
                        <a:graphic>
                          <a:graphicData uri="http://schemas.openxmlformats.org/drawingml/2006/chart">
                            <c:chart xmlns:c="http://schemas.openxmlformats.org/drawingml/2006/chart" xmlns:r="http://schemas.openxmlformats.org/officeDocument/2006/relationships" r:id="rId167"/>
                          </a:graphicData>
                        </a:graphic>
                      </wpg:graphicFrame>
                    </wpg:wgp>
                  </a:graphicData>
                </a:graphic>
              </wp:inline>
            </w:drawing>
          </mc:Choice>
          <mc:Fallback xmlns:w15="http://schemas.microsoft.com/office/word/2012/wordml">
            <w:pict>
              <v:group w14:anchorId="5D8A8EEC" id="Group 12" o:spid="_x0000_s1026" style="width:424.8pt;height:432.1pt;mso-position-horizontal-relative:char;mso-position-vertical-relative:line" coordsize="53962,54889" o:gfxdata="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">
                <v:shape id="Chart 23" o:spid="_x0000_s1027" type="#_x0000_t75" style="position:absolute;width:27011;height:274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">
                  <v:imagedata r:id="rId168" o:title=""/>
                  <o:lock v:ext="edit" aspectratio="f"/>
                </v:shape>
                <v:shape id="Chart 24" o:spid="_x0000_s1028" type="#_x0000_t75" style="position:absolute;left:26950;width:27012;height:274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">
                  <v:imagedata r:id="rId169" o:title=""/>
                  <o:lock v:ext="edit" aspectratio="f"/>
                </v:shape>
                <v:shape id="Chart 25" o:spid="_x0000_s1029" type="#_x0000_t75" style="position:absolute;top:27438;width:27011;height:274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">
                  <v:imagedata r:id="rId170" o:title=""/>
                  <o:lock v:ext="edit" aspectratio="f"/>
                </v:shape>
                <v:shape id="Chart 26" o:spid="_x0000_s1030" type="#_x0000_t75" style="position:absolute;left:26950;top:27438;width:27012;height:274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">
                  <v:imagedata r:id="rId171" o:title=""/>
                  <o:lock v:ext="edit" aspectratio="f"/>
                </v:shape>
                <w10:anchorlock/>
              </v:group>
            </w:pict>
          </mc:Fallback>
        </mc:AlternateContent>
      </w:r>
    </w:p>
    <w:p w14:paraId="41F34B31" w14:textId="7B2ABE06" w:rsidR="00D724AE" w:rsidRPr="009A73E4" w:rsidRDefault="003E68B9" w:rsidP="00145AF6">
      <w:pPr>
        <w:pStyle w:val="Caption"/>
        <w:spacing w:line="240" w:lineRule="auto"/>
        <w:jc w:val="center"/>
      </w:pPr>
      <w:bookmarkStart w:id="277" w:name="_Ref344620189"/>
      <w:bookmarkStart w:id="278" w:name="_Toc346310450"/>
      <w:proofErr w:type="gramStart"/>
      <w:r w:rsidRPr="003E68B9">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6</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2</w:t>
      </w:r>
      <w:r w:rsidR="00C16D85">
        <w:rPr>
          <w:sz w:val="24"/>
        </w:rPr>
        <w:fldChar w:fldCharType="end"/>
      </w:r>
      <w:bookmarkEnd w:id="277"/>
      <w:r>
        <w:rPr>
          <w:sz w:val="24"/>
        </w:rPr>
        <w:t xml:space="preserve"> Long-term (21</w:t>
      </w:r>
      <w:r w:rsidRPr="00C61F19">
        <w:rPr>
          <w:sz w:val="24"/>
        </w:rPr>
        <w:t xml:space="preserve"> months) hydraulic fluid absorption for </w:t>
      </w:r>
      <w:r>
        <w:rPr>
          <w:sz w:val="24"/>
        </w:rPr>
        <w:t>flexural specimens of conditioned AQIII/EX-1522</w:t>
      </w:r>
      <w:r w:rsidRPr="00C61F19">
        <w:rPr>
          <w:sz w:val="24"/>
        </w:rPr>
        <w:t xml:space="preserve"> prepregs cured at fabrication pressures of (a) 69 kPa, (b) 207 kPa, (c) 345 kPa, and (d) 483 kPa. Error bars associated with 95% confidence for</w:t>
      </w:r>
      <w:r w:rsidR="00426540">
        <w:rPr>
          <w:sz w:val="24"/>
        </w:rPr>
        <w:t xml:space="preserve"> n=6 samples</w:t>
      </w:r>
      <w:bookmarkEnd w:id="278"/>
    </w:p>
    <w:p w14:paraId="01DE0782" w14:textId="6CDBB4CF" w:rsidR="00983613" w:rsidRDefault="002A0AC1" w:rsidP="00983613">
      <w:pPr>
        <w:pStyle w:val="Heading2"/>
      </w:pPr>
      <w:bookmarkStart w:id="279" w:name="_Ref345047533"/>
      <w:bookmarkStart w:id="280" w:name="_Toc346311027"/>
      <w:r>
        <w:t>Evaluation</w:t>
      </w:r>
      <w:r w:rsidR="00A62F60">
        <w:t xml:space="preserve"> of Hydraulic Fluid Contamination on </w:t>
      </w:r>
      <w:r w:rsidR="00E8322D">
        <w:t xml:space="preserve">Laminate </w:t>
      </w:r>
      <w:r w:rsidR="00F72BA0">
        <w:t>Flexur</w:t>
      </w:r>
      <w:r w:rsidR="00025454">
        <w:t>al</w:t>
      </w:r>
      <w:r w:rsidR="00F72BA0">
        <w:t xml:space="preserve"> Property</w:t>
      </w:r>
      <w:bookmarkEnd w:id="279"/>
      <w:bookmarkEnd w:id="280"/>
    </w:p>
    <w:p w14:paraId="3DD2AA7E" w14:textId="61E8AE8A" w:rsidR="000F24BE" w:rsidRDefault="00145AF6" w:rsidP="000F24BE">
      <w:pPr>
        <w:pStyle w:val="Heading3"/>
      </w:pPr>
      <w:bookmarkStart w:id="281" w:name="_Toc346311028"/>
      <w:r>
        <w:t xml:space="preserve">Effect of </w:t>
      </w:r>
      <w:r w:rsidR="000F24BE">
        <w:t xml:space="preserve">Humidity </w:t>
      </w:r>
      <w:r>
        <w:t xml:space="preserve">Exposure, </w:t>
      </w:r>
      <w:r w:rsidR="000F24BE">
        <w:t xml:space="preserve">Processing </w:t>
      </w:r>
      <w:r>
        <w:t>Pressure, and Hydraulic Fluid</w:t>
      </w:r>
      <w:r w:rsidR="000F24BE">
        <w:t xml:space="preserve"> on Laminate Flexural Stiffness</w:t>
      </w:r>
      <w:bookmarkEnd w:id="281"/>
    </w:p>
    <w:p w14:paraId="5653FF60" w14:textId="4346AF43" w:rsidR="005C4815" w:rsidRDefault="0081286D" w:rsidP="00AA197B">
      <w:pPr>
        <w:ind w:firstLine="360"/>
      </w:pPr>
      <w:r>
        <w:fldChar w:fldCharType="begin"/>
      </w:r>
      <w:r>
        <w:instrText xml:space="preserve"> REF _Ref465678649 \h </w:instrText>
      </w:r>
      <w:r>
        <w:fldChar w:fldCharType="separate"/>
      </w:r>
      <w:r w:rsidR="008A1992" w:rsidRPr="00F66D28">
        <w:t xml:space="preserve">Figure </w:t>
      </w:r>
      <w:r w:rsidR="008A1992">
        <w:rPr>
          <w:noProof/>
        </w:rPr>
        <w:t>6</w:t>
      </w:r>
      <w:r w:rsidR="008A1992">
        <w:t>.</w:t>
      </w:r>
      <w:r w:rsidR="008A1992">
        <w:rPr>
          <w:noProof/>
        </w:rPr>
        <w:t>3</w:t>
      </w:r>
      <w:r>
        <w:fldChar w:fldCharType="end"/>
      </w:r>
      <w:proofErr w:type="gramStart"/>
      <w:r>
        <w:t>a and</w:t>
      </w:r>
      <w:proofErr w:type="gramEnd"/>
      <w:r>
        <w:t xml:space="preserve"> b indicate both quartz-reinforced laminates have similar flexural stiffness values regardless of the </w:t>
      </w:r>
      <w:r w:rsidR="004A799D">
        <w:t>resin</w:t>
      </w:r>
      <w:r>
        <w:t xml:space="preserve"> material (BMI or epoxy)</w:t>
      </w:r>
      <w:r w:rsidR="004A799D">
        <w:t>.  Stiffness for the baseline specimens</w:t>
      </w:r>
      <w:r>
        <w:t xml:space="preserve"> range</w:t>
      </w:r>
      <w:r w:rsidR="004A799D">
        <w:t>d</w:t>
      </w:r>
      <w:r>
        <w:t xml:space="preserve"> </w:t>
      </w:r>
      <w:r w:rsidR="004A799D">
        <w:t>from</w:t>
      </w:r>
      <w:r>
        <w:t xml:space="preserve"> 22 to 29 GPa.  </w:t>
      </w:r>
      <w:r w:rsidR="004A799D">
        <w:t>Comparatively, stiffness for hydraulic fluid contaminated specimens ranged from 21 to 28 GPa.  F</w:t>
      </w:r>
      <w:r>
        <w:t xml:space="preserve">lexural stiffness showed a strong dependence on the </w:t>
      </w:r>
      <w:r w:rsidR="004A799D">
        <w:t xml:space="preserve">applied cure </w:t>
      </w:r>
      <w:r>
        <w:t xml:space="preserve">pressure, while prepreg </w:t>
      </w:r>
      <w:r w:rsidR="004A799D">
        <w:t>humidity exposure</w:t>
      </w:r>
      <w:r>
        <w:t xml:space="preserve"> did not seem to yield a discernible effect on the laminate flexural stiffness.  </w:t>
      </w:r>
      <w:r w:rsidR="005C4815">
        <w:t>Both resin systems were fairly resilient to long-term hydra</w:t>
      </w:r>
      <w:r w:rsidR="00D2214C">
        <w:t>ulic fluid contamination.  For q</w:t>
      </w:r>
      <w:r w:rsidR="005C4815">
        <w:t xml:space="preserve">uartz/BMI, shown in </w:t>
      </w:r>
      <w:r w:rsidR="005C4815">
        <w:fldChar w:fldCharType="begin"/>
      </w:r>
      <w:r w:rsidR="005C4815">
        <w:instrText xml:space="preserve"> REF _Ref465678649 \h </w:instrText>
      </w:r>
      <w:r w:rsidR="005C4815">
        <w:fldChar w:fldCharType="separate"/>
      </w:r>
      <w:r w:rsidR="008A1992" w:rsidRPr="00F66D28">
        <w:t xml:space="preserve">Figure </w:t>
      </w:r>
      <w:r w:rsidR="008A1992">
        <w:rPr>
          <w:noProof/>
        </w:rPr>
        <w:t>6</w:t>
      </w:r>
      <w:r w:rsidR="008A1992">
        <w:t>.</w:t>
      </w:r>
      <w:r w:rsidR="008A1992">
        <w:rPr>
          <w:noProof/>
        </w:rPr>
        <w:t>3</w:t>
      </w:r>
      <w:r w:rsidR="005C4815">
        <w:fldChar w:fldCharType="end"/>
      </w:r>
      <w:r w:rsidR="005C4815">
        <w:t xml:space="preserve">a, flexural stiffness was reduced by no more than 5% after nearly two years of hydraulic fluid exposure.  This trend </w:t>
      </w:r>
      <w:r w:rsidR="004855FC">
        <w:t>is seen</w:t>
      </w:r>
      <w:r w:rsidR="005C4815">
        <w:t xml:space="preserve"> for nearly all humidity conditioning treatments and fabrication pressures.  The </w:t>
      </w:r>
      <w:r w:rsidR="004855FC">
        <w:t>only</w:t>
      </w:r>
      <w:r w:rsidR="005C4815">
        <w:t xml:space="preserve"> exception was prepregs conditioned in the driest environment (2% RH) and cured at 69 kPa, which observed a flexural stiffness reduction of 9</w:t>
      </w:r>
      <w:r w:rsidR="00D2214C">
        <w:t>%</w:t>
      </w:r>
      <w:r w:rsidR="009521CC">
        <w:t xml:space="preserve"> after nearly two years of hydraulic fluid exposure</w:t>
      </w:r>
      <w:r w:rsidR="00D2214C">
        <w:t>.  The flexural stiffness for quartz/e</w:t>
      </w:r>
      <w:r w:rsidR="005C4815">
        <w:t xml:space="preserve">poxy laminates, shown in </w:t>
      </w:r>
      <w:r w:rsidR="005C4815">
        <w:fldChar w:fldCharType="begin"/>
      </w:r>
      <w:r w:rsidR="005C4815">
        <w:instrText xml:space="preserve"> REF _Ref465678649 \h </w:instrText>
      </w:r>
      <w:r w:rsidR="005C4815">
        <w:fldChar w:fldCharType="separate"/>
      </w:r>
      <w:r w:rsidR="008A1992" w:rsidRPr="00F66D28">
        <w:t xml:space="preserve">Figure </w:t>
      </w:r>
      <w:r w:rsidR="008A1992">
        <w:rPr>
          <w:noProof/>
        </w:rPr>
        <w:t>6</w:t>
      </w:r>
      <w:r w:rsidR="008A1992">
        <w:t>.</w:t>
      </w:r>
      <w:r w:rsidR="008A1992">
        <w:rPr>
          <w:noProof/>
        </w:rPr>
        <w:t>3</w:t>
      </w:r>
      <w:r w:rsidR="005C4815">
        <w:fldChar w:fldCharType="end"/>
      </w:r>
      <w:r w:rsidR="005C4815">
        <w:t>b, was influenced less by hydraulic fluid when compared to the BMI resin.  All humidity exposure levels and fabrication pressures had stiffness reductions of less than 5%.  Generally, the s</w:t>
      </w:r>
      <w:r w:rsidR="00D2214C">
        <w:t>tiffness percent reduction for quartz/e</w:t>
      </w:r>
      <w:r w:rsidR="005C4815">
        <w:t xml:space="preserve">poxy increased as </w:t>
      </w:r>
      <w:r w:rsidR="009D5872">
        <w:t xml:space="preserve">both humidity exposure and cure pressure increased.  Additional observations and trends associated with the stiffness percent reduction will be discussed later in Section </w:t>
      </w:r>
      <w:r w:rsidR="009D5872">
        <w:fldChar w:fldCharType="begin"/>
      </w:r>
      <w:r w:rsidR="009D5872">
        <w:instrText xml:space="preserve"> REF _Ref344623019 \r \h </w:instrText>
      </w:r>
      <w:r w:rsidR="009D5872">
        <w:fldChar w:fldCharType="separate"/>
      </w:r>
      <w:r w:rsidR="008A1992">
        <w:t>6.4</w:t>
      </w:r>
      <w:r w:rsidR="009D5872">
        <w:fldChar w:fldCharType="end"/>
      </w:r>
      <w:r w:rsidR="009D5872">
        <w:t>.</w:t>
      </w:r>
    </w:p>
    <w:p w14:paraId="7E4FD2C5" w14:textId="77777777" w:rsidR="009F2D9D" w:rsidRDefault="009F2D9D" w:rsidP="00AA197B">
      <w:pPr>
        <w:ind w:firstLine="360"/>
      </w:pPr>
    </w:p>
    <w:p w14:paraId="12D85E67" w14:textId="41E48536" w:rsidR="000F24BE" w:rsidRDefault="00671FF8" w:rsidP="00671FF8">
      <w:pPr>
        <w:spacing w:line="240" w:lineRule="auto"/>
        <w:jc w:val="center"/>
      </w:pPr>
      <w:r>
        <w:rPr>
          <w:noProof/>
        </w:rPr>
        <w:drawing>
          <wp:inline distT="0" distB="0" distL="0" distR="0" wp14:anchorId="76D74225" wp14:editId="6ED59DB4">
            <wp:extent cx="5394960" cy="2514600"/>
            <wp:effectExtent l="0" t="0" r="0" b="0"/>
            <wp:docPr id="236" name="Chart 2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2"/>
              </a:graphicData>
            </a:graphic>
          </wp:inline>
        </w:drawing>
      </w:r>
    </w:p>
    <w:p w14:paraId="134F755B" w14:textId="484B3F10" w:rsidR="003A6024" w:rsidRDefault="00671FF8" w:rsidP="00671FF8">
      <w:pPr>
        <w:spacing w:after="240" w:line="240" w:lineRule="auto"/>
        <w:jc w:val="center"/>
      </w:pPr>
      <w:r>
        <w:rPr>
          <w:noProof/>
        </w:rPr>
        <w:drawing>
          <wp:inline distT="0" distB="0" distL="0" distR="0" wp14:anchorId="09BF2F78" wp14:editId="140FECB8">
            <wp:extent cx="5394960" cy="2514600"/>
            <wp:effectExtent l="0" t="0" r="0" b="0"/>
            <wp:docPr id="237" name="Chart 2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3"/>
              </a:graphicData>
            </a:graphic>
          </wp:inline>
        </w:drawing>
      </w:r>
    </w:p>
    <w:p w14:paraId="366D29B3" w14:textId="31C8F2FA" w:rsidR="00215FCB" w:rsidRDefault="000F24BE" w:rsidP="000F24BE">
      <w:pPr>
        <w:pStyle w:val="Caption"/>
        <w:spacing w:line="240" w:lineRule="auto"/>
        <w:jc w:val="center"/>
        <w:rPr>
          <w:sz w:val="24"/>
        </w:rPr>
      </w:pPr>
      <w:bookmarkStart w:id="282" w:name="_Ref465678649"/>
      <w:bookmarkStart w:id="283" w:name="_Toc346310451"/>
      <w:proofErr w:type="gramStart"/>
      <w:r w:rsidRPr="00F66D28">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6</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proofErr w:type="gramStart"/>
      <w:r w:rsidR="008A1992">
        <w:rPr>
          <w:noProof/>
          <w:sz w:val="24"/>
        </w:rPr>
        <w:t>3</w:t>
      </w:r>
      <w:r w:rsidR="00C16D85">
        <w:rPr>
          <w:sz w:val="24"/>
        </w:rPr>
        <w:fldChar w:fldCharType="end"/>
      </w:r>
      <w:bookmarkEnd w:id="282"/>
      <w:r w:rsidRPr="00F66D28">
        <w:rPr>
          <w:sz w:val="24"/>
        </w:rPr>
        <w:t xml:space="preserve"> </w:t>
      </w:r>
      <w:r w:rsidR="00671FF8">
        <w:rPr>
          <w:sz w:val="24"/>
        </w:rPr>
        <w:t>Effect of long-term (21 months) hydraulic fluid contamination on f</w:t>
      </w:r>
      <w:r w:rsidR="00D24D6C">
        <w:rPr>
          <w:sz w:val="24"/>
        </w:rPr>
        <w:t xml:space="preserve">lexural stiffness </w:t>
      </w:r>
      <w:r w:rsidR="00671FF8">
        <w:rPr>
          <w:sz w:val="24"/>
        </w:rPr>
        <w:t>for quartz-reinforced laminates with either (a) BMI resin or (b) EX-1522 epoxy resin</w:t>
      </w:r>
      <w:r>
        <w:rPr>
          <w:sz w:val="24"/>
        </w:rPr>
        <w:t>.</w:t>
      </w:r>
      <w:proofErr w:type="gramEnd"/>
      <w:r>
        <w:rPr>
          <w:sz w:val="24"/>
        </w:rPr>
        <w:t xml:space="preserve">  Error bars are associated with 95% confidence</w:t>
      </w:r>
      <w:r w:rsidR="00426540">
        <w:rPr>
          <w:sz w:val="24"/>
        </w:rPr>
        <w:t xml:space="preserve"> for n=6 samples</w:t>
      </w:r>
      <w:bookmarkEnd w:id="283"/>
    </w:p>
    <w:p w14:paraId="519730E3" w14:textId="6F27A8B6" w:rsidR="000F24BE" w:rsidRDefault="000F24BE" w:rsidP="00215FCB">
      <w:pPr>
        <w:pStyle w:val="Caption"/>
        <w:jc w:val="center"/>
        <w:rPr>
          <w:b w:val="0"/>
          <w:bCs w:val="0"/>
        </w:rPr>
      </w:pPr>
    </w:p>
    <w:p w14:paraId="269AE677" w14:textId="7F1B53A3" w:rsidR="009F2D9D" w:rsidRDefault="00D2214C" w:rsidP="009F2D9D">
      <w:pPr>
        <w:pStyle w:val="Heading3"/>
      </w:pPr>
      <w:bookmarkStart w:id="284" w:name="_Toc346311029"/>
      <w:r>
        <w:t xml:space="preserve">Effect of Humidity Exposure, Processing Pressure, and Hydraulic Fluid </w:t>
      </w:r>
      <w:r w:rsidR="009F2D9D">
        <w:t>on Laminate Flexural Strength</w:t>
      </w:r>
      <w:bookmarkEnd w:id="284"/>
    </w:p>
    <w:p w14:paraId="47BDC09C" w14:textId="19913CCE" w:rsidR="00D2214C" w:rsidRDefault="00F01ADB" w:rsidP="00F01ADB">
      <w:pPr>
        <w:ind w:firstLine="360"/>
      </w:pPr>
      <w:r>
        <w:t xml:space="preserve">The average flexural strength for baseline and long-term hydraulic fluid contaminated quartz-reinforced laminates is shown in </w:t>
      </w:r>
      <w:r>
        <w:fldChar w:fldCharType="begin"/>
      </w:r>
      <w:r>
        <w:instrText xml:space="preserve"> REF _Ref344033100 \h </w:instrText>
      </w:r>
      <w:r>
        <w:fldChar w:fldCharType="separate"/>
      </w:r>
      <w:r w:rsidR="008A1992" w:rsidRPr="00936D78">
        <w:t xml:space="preserve">Figure </w:t>
      </w:r>
      <w:r w:rsidR="008A1992">
        <w:rPr>
          <w:noProof/>
        </w:rPr>
        <w:t>6</w:t>
      </w:r>
      <w:r w:rsidR="008A1992">
        <w:t>.</w:t>
      </w:r>
      <w:r w:rsidR="008A1992">
        <w:rPr>
          <w:noProof/>
        </w:rPr>
        <w:t>4</w:t>
      </w:r>
      <w:r>
        <w:fldChar w:fldCharType="end"/>
      </w:r>
      <w:r w:rsidR="00D2214C">
        <w:t>.  Strength for baseli</w:t>
      </w:r>
      <w:r w:rsidR="00D638D0">
        <w:t>ne specimens ranged from 425-603 MPa and 562-967</w:t>
      </w:r>
      <w:r w:rsidR="00D2214C">
        <w:t xml:space="preserve"> MPa for quartz/BMI and quartz/epoxy, respectively.  Comparatively, strength for hydraulic fluid contaminated specimens</w:t>
      </w:r>
      <w:r w:rsidR="00D638D0">
        <w:t xml:space="preserve"> was slightly lower, and</w:t>
      </w:r>
      <w:r w:rsidR="00D2214C">
        <w:t xml:space="preserve"> ranged from 396-</w:t>
      </w:r>
      <w:r w:rsidR="00D638D0">
        <w:t>588</w:t>
      </w:r>
      <w:r w:rsidR="00D2214C">
        <w:t xml:space="preserve"> MPa and 560-829 MPa for quartz/BMI and quartz/epoxy, respectively.</w:t>
      </w:r>
      <w:r w:rsidR="00D638D0" w:rsidRPr="00D638D0">
        <w:t xml:space="preserve"> </w:t>
      </w:r>
      <w:r w:rsidR="00D638D0">
        <w:t xml:space="preserve"> A complex, coupled interaction between humidity exposure and fabrication pressure on the flexural strength was observed for both resin materials.  Overall, strength was improved when relative humidity level decreased and fabrication</w:t>
      </w:r>
      <w:r w:rsidR="0048754A">
        <w:t xml:space="preserve"> pressure increased.  G</w:t>
      </w:r>
      <w:r w:rsidR="00D638D0">
        <w:t xml:space="preserve">reater sensitivities </w:t>
      </w:r>
      <w:r w:rsidR="0048754A">
        <w:t>to</w:t>
      </w:r>
      <w:r w:rsidR="00D638D0">
        <w:t xml:space="preserve"> both processing conditions</w:t>
      </w:r>
      <w:r w:rsidR="0048754A">
        <w:t>, humidity and pressure,</w:t>
      </w:r>
      <w:r w:rsidR="00D638D0">
        <w:t xml:space="preserve"> were observed when at low pressures.</w:t>
      </w:r>
      <w:r w:rsidR="0048754A">
        <w:t xml:space="preserve">  The effect of long-term hydraulic fluid on flexural strength was less pronounced for quartz/BMI (</w:t>
      </w:r>
      <w:r w:rsidR="0048754A">
        <w:fldChar w:fldCharType="begin"/>
      </w:r>
      <w:r w:rsidR="0048754A">
        <w:instrText xml:space="preserve"> REF _Ref344033100 \h </w:instrText>
      </w:r>
      <w:r w:rsidR="0048754A">
        <w:fldChar w:fldCharType="separate"/>
      </w:r>
      <w:r w:rsidR="008A1992" w:rsidRPr="00936D78">
        <w:t xml:space="preserve">Figure </w:t>
      </w:r>
      <w:r w:rsidR="008A1992">
        <w:rPr>
          <w:noProof/>
        </w:rPr>
        <w:t>6</w:t>
      </w:r>
      <w:r w:rsidR="008A1992">
        <w:t>.</w:t>
      </w:r>
      <w:r w:rsidR="008A1992">
        <w:rPr>
          <w:noProof/>
        </w:rPr>
        <w:t>4</w:t>
      </w:r>
      <w:r w:rsidR="0048754A">
        <w:fldChar w:fldCharType="end"/>
      </w:r>
      <w:r w:rsidR="0048754A">
        <w:t>a) when compared to quartz/epoxy (</w:t>
      </w:r>
      <w:r w:rsidR="0048754A">
        <w:fldChar w:fldCharType="begin"/>
      </w:r>
      <w:r w:rsidR="0048754A">
        <w:instrText xml:space="preserve"> REF _Ref344033100 \h </w:instrText>
      </w:r>
      <w:r w:rsidR="0048754A">
        <w:fldChar w:fldCharType="separate"/>
      </w:r>
      <w:r w:rsidR="008A1992" w:rsidRPr="00936D78">
        <w:t xml:space="preserve">Figure </w:t>
      </w:r>
      <w:r w:rsidR="008A1992">
        <w:rPr>
          <w:noProof/>
        </w:rPr>
        <w:t>6</w:t>
      </w:r>
      <w:r w:rsidR="008A1992">
        <w:t>.</w:t>
      </w:r>
      <w:r w:rsidR="008A1992">
        <w:rPr>
          <w:noProof/>
        </w:rPr>
        <w:t>4</w:t>
      </w:r>
      <w:r w:rsidR="0048754A">
        <w:fldChar w:fldCharType="end"/>
      </w:r>
      <w:r w:rsidR="0048754A">
        <w:t xml:space="preserve">b).  </w:t>
      </w:r>
      <w:r w:rsidR="001A1349">
        <w:t xml:space="preserve">Quartz/BMI flexural strength was reduced by no more than 8% after nearly two years of hydraulic fluid exposure for all humidity exposure levels and fabrication pressures.  </w:t>
      </w:r>
      <w:r w:rsidR="00B01B40">
        <w:t xml:space="preserve">The largest percent reduction for quartz/BMI occurred when at low fabrication pressures.  When laminates were fabricated at high pressure (i.e. greater than 350 kPa) the effect of long-term hydraulic fluid contamination on the flexural strength generally declined.  </w:t>
      </w:r>
      <w:r w:rsidR="001A1349">
        <w:t xml:space="preserve">Alternatively, </w:t>
      </w:r>
      <w:r w:rsidR="005C5FAA">
        <w:t xml:space="preserve">the flexural strength for quartz/epoxy was reduced by nearly 15%.  </w:t>
      </w:r>
      <w:r w:rsidR="00B01B40">
        <w:t xml:space="preserve">Consider also that epoxy resin laminates had higher magnitudes of flexural strength when compared to BMI resin.  Therefore, the epoxy laminates had larger variance in flexural strength due to long-term hydraulic fluid contamination.  Additional observations and trends associated with the strength percent reduction will be discussed later in Section </w:t>
      </w:r>
      <w:r w:rsidR="00B01B40">
        <w:fldChar w:fldCharType="begin"/>
      </w:r>
      <w:r w:rsidR="00B01B40">
        <w:instrText xml:space="preserve"> REF _Ref344623019 \r \h </w:instrText>
      </w:r>
      <w:r w:rsidR="00B01B40">
        <w:fldChar w:fldCharType="separate"/>
      </w:r>
      <w:r w:rsidR="008A1992">
        <w:t>6.4</w:t>
      </w:r>
      <w:r w:rsidR="00B01B40">
        <w:fldChar w:fldCharType="end"/>
      </w:r>
      <w:r w:rsidR="00B01B40">
        <w:t>.</w:t>
      </w:r>
    </w:p>
    <w:p w14:paraId="77561EA0" w14:textId="77777777" w:rsidR="0048754A" w:rsidRDefault="0048754A" w:rsidP="00F01ADB">
      <w:pPr>
        <w:ind w:firstLine="360"/>
      </w:pPr>
    </w:p>
    <w:p w14:paraId="5491C19C" w14:textId="03789537" w:rsidR="0055125B" w:rsidRDefault="0055125B" w:rsidP="0055125B">
      <w:pPr>
        <w:jc w:val="center"/>
      </w:pPr>
      <w:r>
        <w:rPr>
          <w:noProof/>
        </w:rPr>
        <w:drawing>
          <wp:inline distT="0" distB="0" distL="0" distR="0" wp14:anchorId="440121D1" wp14:editId="01FB5600">
            <wp:extent cx="5394960" cy="25146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4"/>
              </a:graphicData>
            </a:graphic>
          </wp:inline>
        </w:drawing>
      </w:r>
    </w:p>
    <w:p w14:paraId="585B06E5" w14:textId="7080CEAD" w:rsidR="0055125B" w:rsidRDefault="0055125B" w:rsidP="0055125B">
      <w:pPr>
        <w:jc w:val="center"/>
      </w:pPr>
      <w:r>
        <w:rPr>
          <w:noProof/>
        </w:rPr>
        <w:drawing>
          <wp:inline distT="0" distB="0" distL="0" distR="0" wp14:anchorId="1885C094" wp14:editId="221EECE8">
            <wp:extent cx="5394960" cy="2514600"/>
            <wp:effectExtent l="0" t="0" r="0" b="0"/>
            <wp:docPr id="246" name="Chart 2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5"/>
              </a:graphicData>
            </a:graphic>
          </wp:inline>
        </w:drawing>
      </w:r>
    </w:p>
    <w:p w14:paraId="55D9138D" w14:textId="051E31F9" w:rsidR="00F91CEE" w:rsidRDefault="009F2D9D" w:rsidP="009F2D9D">
      <w:pPr>
        <w:pStyle w:val="Caption"/>
        <w:spacing w:line="240" w:lineRule="auto"/>
        <w:jc w:val="center"/>
        <w:rPr>
          <w:sz w:val="24"/>
        </w:rPr>
      </w:pPr>
      <w:bookmarkStart w:id="285" w:name="_Ref344033100"/>
      <w:bookmarkStart w:id="286" w:name="_Toc346310452"/>
      <w:proofErr w:type="gramStart"/>
      <w:r w:rsidRPr="00936D78">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6</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proofErr w:type="gramStart"/>
      <w:r w:rsidR="008A1992">
        <w:rPr>
          <w:noProof/>
          <w:sz w:val="24"/>
        </w:rPr>
        <w:t>4</w:t>
      </w:r>
      <w:r w:rsidR="00C16D85">
        <w:rPr>
          <w:sz w:val="24"/>
        </w:rPr>
        <w:fldChar w:fldCharType="end"/>
      </w:r>
      <w:bookmarkEnd w:id="285"/>
      <w:r>
        <w:rPr>
          <w:sz w:val="24"/>
        </w:rPr>
        <w:t xml:space="preserve"> </w:t>
      </w:r>
      <w:r w:rsidR="00F91CEE">
        <w:rPr>
          <w:sz w:val="24"/>
        </w:rPr>
        <w:t>Effect of long-term (21 months) hydraulic fluid contamination on flexural strength for quartz-reinforced laminates with either (a) BMI resin or (b) EX-1522 epoxy resin.</w:t>
      </w:r>
      <w:proofErr w:type="gramEnd"/>
      <w:r w:rsidR="00F91CEE">
        <w:rPr>
          <w:sz w:val="24"/>
        </w:rPr>
        <w:t xml:space="preserve">  Error bars are associated with 95% confidence</w:t>
      </w:r>
      <w:r w:rsidR="00426540">
        <w:rPr>
          <w:sz w:val="24"/>
        </w:rPr>
        <w:t xml:space="preserve"> for n=6 samples</w:t>
      </w:r>
      <w:bookmarkEnd w:id="286"/>
    </w:p>
    <w:p w14:paraId="411829ED" w14:textId="77777777" w:rsidR="009F2D9D" w:rsidRPr="00656FA9" w:rsidRDefault="009F2D9D" w:rsidP="009F2D9D"/>
    <w:p w14:paraId="34F9B4F1" w14:textId="34ACC74C" w:rsidR="002A0AC1" w:rsidRDefault="002A0AC1" w:rsidP="002A0AC1">
      <w:pPr>
        <w:pStyle w:val="Heading2"/>
      </w:pPr>
      <w:bookmarkStart w:id="287" w:name="_Ref344623019"/>
      <w:bookmarkStart w:id="288" w:name="_Toc346311030"/>
      <w:r>
        <w:t>Percent Reduction of Flexural Properties due to Long-Term Hydraulic Fluid Contamination</w:t>
      </w:r>
      <w:bookmarkEnd w:id="287"/>
      <w:bookmarkEnd w:id="288"/>
    </w:p>
    <w:p w14:paraId="77D5071C" w14:textId="144AB101" w:rsidR="00656FA9" w:rsidRDefault="00656FA9" w:rsidP="00656FA9">
      <w:pPr>
        <w:pStyle w:val="Heading3"/>
      </w:pPr>
      <w:bookmarkStart w:id="289" w:name="_Toc346311031"/>
      <w:r>
        <w:t>Effect of Prepreg Humidity Exposure on Flexural Stiffness Percent Reduction</w:t>
      </w:r>
      <w:bookmarkEnd w:id="289"/>
    </w:p>
    <w:p w14:paraId="0B170F19" w14:textId="450E6540" w:rsidR="00371538" w:rsidRDefault="00B36B28" w:rsidP="00F91CEE">
      <w:pPr>
        <w:ind w:firstLine="360"/>
      </w:pPr>
      <w:r>
        <w:t xml:space="preserve">The effect of prepreg humidity conditioning on the laminate flexural stiffness percent reduction is shown in </w:t>
      </w:r>
      <w:r>
        <w:fldChar w:fldCharType="begin"/>
      </w:r>
      <w:r>
        <w:instrText xml:space="preserve"> REF _Ref344630116 \h </w:instrText>
      </w:r>
      <w:r>
        <w:fldChar w:fldCharType="separate"/>
      </w:r>
      <w:r w:rsidR="008A1992" w:rsidRPr="00F91CEE">
        <w:t xml:space="preserve">Figure </w:t>
      </w:r>
      <w:r w:rsidR="008A1992">
        <w:rPr>
          <w:noProof/>
        </w:rPr>
        <w:t>6</w:t>
      </w:r>
      <w:r w:rsidR="008A1992">
        <w:t>.</w:t>
      </w:r>
      <w:r w:rsidR="008A1992">
        <w:rPr>
          <w:noProof/>
        </w:rPr>
        <w:t>5</w:t>
      </w:r>
      <w:r>
        <w:fldChar w:fldCharType="end"/>
      </w:r>
      <w:r>
        <w:t xml:space="preserve">.  </w:t>
      </w:r>
      <w:r w:rsidR="00371538">
        <w:t xml:space="preserve">Although obvious trends (i.e. linear or power functions) of the effect of humidity exposure on the reduction of flexural stiffness were not immediately apparent for either resin material, some general conclusions can be deduced.  Hydraulic fluid influenced flexural stiffness for quartz/BMI, shown in </w:t>
      </w:r>
      <w:r w:rsidR="00371538">
        <w:fldChar w:fldCharType="begin"/>
      </w:r>
      <w:r w:rsidR="00371538">
        <w:instrText xml:space="preserve"> REF _Ref344630116 \h </w:instrText>
      </w:r>
      <w:r w:rsidR="00371538">
        <w:fldChar w:fldCharType="separate"/>
      </w:r>
      <w:r w:rsidR="008A1992" w:rsidRPr="00F91CEE">
        <w:t xml:space="preserve">Figure </w:t>
      </w:r>
      <w:r w:rsidR="008A1992">
        <w:rPr>
          <w:noProof/>
        </w:rPr>
        <w:t>6</w:t>
      </w:r>
      <w:r w:rsidR="008A1992">
        <w:t>.</w:t>
      </w:r>
      <w:r w:rsidR="008A1992">
        <w:rPr>
          <w:noProof/>
        </w:rPr>
        <w:t>5</w:t>
      </w:r>
      <w:r w:rsidR="00371538">
        <w:fldChar w:fldCharType="end"/>
      </w:r>
      <w:r w:rsidR="00371538">
        <w:t xml:space="preserve">a, to larger degree when humidity exposure was low.  For prepregs conditioned at 2% relative humidity, stiffness had a percent reduction range of 1.0-8.8%. </w:t>
      </w:r>
      <w:r w:rsidR="00E31BFE">
        <w:t xml:space="preserve"> </w:t>
      </w:r>
      <w:proofErr w:type="gramStart"/>
      <w:r w:rsidR="00E31BFE">
        <w:t xml:space="preserve">For prepregs exposed to low humidity levels, the effect of hydraulic fluid on flexural stiffness </w:t>
      </w:r>
      <w:r w:rsidR="00426540">
        <w:t>could</w:t>
      </w:r>
      <w:r w:rsidR="00E31BFE">
        <w:t xml:space="preserve"> be minimized by using sufficiently high cure pressures</w:t>
      </w:r>
      <w:proofErr w:type="gramEnd"/>
      <w:r w:rsidR="00E31BFE">
        <w:t xml:space="preserve"> (i.e. 345 kPa and above).  Additionally, laminates fabricated at high cure pressures were generally the most resilient to hydraulic fluid affects on flexural stiffness.  Stiffness reduced by 1.0-4.1% and 2.2-3.9% for laminates fabricated at 345 and 483 kPa, respectively.</w:t>
      </w:r>
      <w:r w:rsidR="000A4193">
        <w:t xml:space="preserve">  Mentioned previously, stiffness for epoxy resin specimens were generally affected to a lower degree when compared to BMI.  Variations in humidity exposure had little affect on level of damage caused by hydraulic fluid absorption.  Therefore, it can be concluded that long-term hydraulic fluid exposure did not have a significant detrimental effect on the fibers’ used for either prepreg.  Additional analysis regarding the effect of fabrication pressure on flexural stiffness percent reduction will be discussed in the next Section</w:t>
      </w:r>
    </w:p>
    <w:p w14:paraId="50296E9C" w14:textId="77777777" w:rsidR="00371538" w:rsidRDefault="00371538" w:rsidP="00F91CEE">
      <w:pPr>
        <w:ind w:firstLine="360"/>
      </w:pPr>
    </w:p>
    <w:p w14:paraId="4ECE793E" w14:textId="06DB10FA" w:rsidR="00F91CEE" w:rsidRDefault="004E785C" w:rsidP="00F91CEE">
      <w:pPr>
        <w:keepNext/>
        <w:jc w:val="center"/>
      </w:pPr>
      <w:r>
        <w:rPr>
          <w:noProof/>
        </w:rPr>
        <mc:AlternateContent>
          <mc:Choice Requires="wpg">
            <w:drawing>
              <wp:inline distT="0" distB="0" distL="0" distR="0" wp14:anchorId="1D270CF5" wp14:editId="7E28C713">
                <wp:extent cx="5363780" cy="2414693"/>
                <wp:effectExtent l="0" t="0" r="0" b="0"/>
                <wp:docPr id="48" name="Group 6"/>
                <wp:cNvGraphicFramePr/>
                <a:graphic xmlns:a="http://schemas.openxmlformats.org/drawingml/2006/main">
                  <a:graphicData uri="http://schemas.microsoft.com/office/word/2010/wordprocessingGroup">
                    <wpg:wgp>
                      <wpg:cNvGrpSpPr/>
                      <wpg:grpSpPr>
                        <a:xfrm>
                          <a:off x="0" y="0"/>
                          <a:ext cx="5363780" cy="2414693"/>
                          <a:chOff x="0" y="0"/>
                          <a:chExt cx="5391720" cy="2381673"/>
                        </a:xfrm>
                      </wpg:grpSpPr>
                      <wpg:graphicFrame>
                        <wpg:cNvPr id="49" name="Chart 49"/>
                        <wpg:cNvFrPr>
                          <a:graphicFrameLocks/>
                        </wpg:cNvFrPr>
                        <wpg:xfrm>
                          <a:off x="0" y="0"/>
                          <a:ext cx="2697480" cy="2377440"/>
                        </wpg:xfrm>
                        <a:graphic>
                          <a:graphicData uri="http://schemas.openxmlformats.org/drawingml/2006/chart">
                            <c:chart xmlns:c="http://schemas.openxmlformats.org/drawingml/2006/chart" xmlns:r="http://schemas.openxmlformats.org/officeDocument/2006/relationships" r:id="rId176"/>
                          </a:graphicData>
                        </a:graphic>
                      </wpg:graphicFrame>
                      <wpg:graphicFrame>
                        <wpg:cNvPr id="264" name="Chart 264"/>
                        <wpg:cNvFrPr>
                          <a:graphicFrameLocks/>
                        </wpg:cNvFrPr>
                        <wpg:xfrm>
                          <a:off x="2698474" y="0"/>
                          <a:ext cx="2693246" cy="2381673"/>
                        </wpg:xfrm>
                        <a:graphic>
                          <a:graphicData uri="http://schemas.openxmlformats.org/drawingml/2006/chart">
                            <c:chart xmlns:c="http://schemas.openxmlformats.org/drawingml/2006/chart" xmlns:r="http://schemas.openxmlformats.org/officeDocument/2006/relationships" r:id="rId177"/>
                          </a:graphicData>
                        </a:graphic>
                      </wpg:graphicFrame>
                    </wpg:wgp>
                  </a:graphicData>
                </a:graphic>
              </wp:inline>
            </w:drawing>
          </mc:Choice>
          <mc:Fallback>
            <w:pict>
              <v:group id="Group 6" o:spid="_x0000_s1026" style="width:422.35pt;height:190.15pt;mso-position-horizontal-relative:char;mso-position-vertical-relative:line" coordsize="5391720,2381673" o:gfxdata="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">
                <v:shape id="Chart 49" o:spid="_x0000_s1027" type="#_x0000_t75" style="position:absolute;width:2696212;height:2374993;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">
                  <v:imagedata r:id="rId178" o:title=""/>
                  <o:lock v:ext="edit" aspectratio="f"/>
                </v:shape>
                <v:shape id="Chart 264" o:spid="_x0000_s1028" type="#_x0000_t75" style="position:absolute;left:2696212;width:2696212;height:2381005;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">
                  <v:imagedata r:id="rId179" o:title=""/>
                  <o:lock v:ext="edit" aspectratio="f"/>
                </v:shape>
                <w10:anchorlock/>
              </v:group>
            </w:pict>
          </mc:Fallback>
        </mc:AlternateContent>
      </w:r>
    </w:p>
    <w:p w14:paraId="4B682B98" w14:textId="367EA349" w:rsidR="00656FA9" w:rsidRPr="00F91CEE" w:rsidRDefault="00F91CEE" w:rsidP="00F91CEE">
      <w:pPr>
        <w:pStyle w:val="Caption"/>
        <w:spacing w:line="240" w:lineRule="auto"/>
        <w:jc w:val="center"/>
        <w:rPr>
          <w:sz w:val="24"/>
          <w:szCs w:val="24"/>
        </w:rPr>
      </w:pPr>
      <w:bookmarkStart w:id="290" w:name="_Ref344630116"/>
      <w:bookmarkStart w:id="291" w:name="_Toc346310453"/>
      <w:proofErr w:type="gramStart"/>
      <w:r w:rsidRPr="00F91CEE">
        <w:rPr>
          <w:sz w:val="24"/>
          <w:szCs w:val="24"/>
        </w:rPr>
        <w:t xml:space="preserve">Figure </w:t>
      </w:r>
      <w:r w:rsidR="00C16D85">
        <w:rPr>
          <w:sz w:val="24"/>
          <w:szCs w:val="24"/>
        </w:rPr>
        <w:fldChar w:fldCharType="begin"/>
      </w:r>
      <w:r w:rsidR="00C16D85">
        <w:rPr>
          <w:sz w:val="24"/>
          <w:szCs w:val="24"/>
        </w:rPr>
        <w:instrText xml:space="preserve"> STYLEREF 1 \s </w:instrText>
      </w:r>
      <w:r w:rsidR="00C16D85">
        <w:rPr>
          <w:sz w:val="24"/>
          <w:szCs w:val="24"/>
        </w:rPr>
        <w:fldChar w:fldCharType="separate"/>
      </w:r>
      <w:r w:rsidR="008A1992">
        <w:rPr>
          <w:noProof/>
          <w:sz w:val="24"/>
          <w:szCs w:val="24"/>
        </w:rPr>
        <w:t>6</w:t>
      </w:r>
      <w:r w:rsidR="00C16D85">
        <w:rPr>
          <w:sz w:val="24"/>
          <w:szCs w:val="24"/>
        </w:rPr>
        <w:fldChar w:fldCharType="end"/>
      </w:r>
      <w:r w:rsidR="00C16D85">
        <w:rPr>
          <w:sz w:val="24"/>
          <w:szCs w:val="24"/>
        </w:rPr>
        <w:t>.</w:t>
      </w:r>
      <w:proofErr w:type="gramEnd"/>
      <w:r w:rsidR="00C16D85">
        <w:rPr>
          <w:sz w:val="24"/>
          <w:szCs w:val="24"/>
        </w:rPr>
        <w:fldChar w:fldCharType="begin"/>
      </w:r>
      <w:r w:rsidR="00C16D85">
        <w:rPr>
          <w:sz w:val="24"/>
          <w:szCs w:val="24"/>
        </w:rPr>
        <w:instrText xml:space="preserve"> SEQ Figure \* ARABIC \s 1 </w:instrText>
      </w:r>
      <w:r w:rsidR="00C16D85">
        <w:rPr>
          <w:sz w:val="24"/>
          <w:szCs w:val="24"/>
        </w:rPr>
        <w:fldChar w:fldCharType="separate"/>
      </w:r>
      <w:r w:rsidR="008A1992">
        <w:rPr>
          <w:noProof/>
          <w:sz w:val="24"/>
          <w:szCs w:val="24"/>
        </w:rPr>
        <w:t>5</w:t>
      </w:r>
      <w:r w:rsidR="00C16D85">
        <w:rPr>
          <w:sz w:val="24"/>
          <w:szCs w:val="24"/>
        </w:rPr>
        <w:fldChar w:fldCharType="end"/>
      </w:r>
      <w:bookmarkEnd w:id="290"/>
      <w:r w:rsidRPr="00F91CEE">
        <w:rPr>
          <w:sz w:val="24"/>
          <w:szCs w:val="24"/>
        </w:rPr>
        <w:t xml:space="preserve"> Effect of prepreg humidity exposure on the flexural stiffness percent reduction for (a) Quartz/BMI, and (b) Quartz/EX-1522 epoxy</w:t>
      </w:r>
      <w:bookmarkEnd w:id="291"/>
    </w:p>
    <w:p w14:paraId="6F1ED4B8" w14:textId="77777777" w:rsidR="00371538" w:rsidRDefault="00371538" w:rsidP="00371538"/>
    <w:p w14:paraId="46F024DE" w14:textId="29CE559B" w:rsidR="00656FA9" w:rsidRDefault="00656FA9" w:rsidP="00656FA9">
      <w:pPr>
        <w:pStyle w:val="Heading3"/>
      </w:pPr>
      <w:bookmarkStart w:id="292" w:name="_Toc346311032"/>
      <w:r>
        <w:t>Effect of Fabrication Pressure on Flexural Stiffness Percent Reduction</w:t>
      </w:r>
      <w:bookmarkEnd w:id="292"/>
    </w:p>
    <w:p w14:paraId="28200035" w14:textId="36884775" w:rsidR="004A2121" w:rsidRDefault="000A4193" w:rsidP="004A2121">
      <w:pPr>
        <w:ind w:firstLine="360"/>
      </w:pPr>
      <w:r>
        <w:t xml:space="preserve">The effect of applied cure pressure on the laminate flexural stiffness percent reduction is shown in </w:t>
      </w:r>
      <w:r>
        <w:fldChar w:fldCharType="begin"/>
      </w:r>
      <w:r>
        <w:instrText xml:space="preserve"> REF _Ref344033649 \h </w:instrText>
      </w:r>
      <w:r>
        <w:fldChar w:fldCharType="separate"/>
      </w:r>
      <w:r w:rsidR="008A1992" w:rsidRPr="00F91CEE">
        <w:t xml:space="preserve">Figure </w:t>
      </w:r>
      <w:r w:rsidR="008A1992">
        <w:rPr>
          <w:noProof/>
        </w:rPr>
        <w:t>6</w:t>
      </w:r>
      <w:r w:rsidR="008A1992">
        <w:t>.</w:t>
      </w:r>
      <w:r w:rsidR="008A1992">
        <w:rPr>
          <w:noProof/>
        </w:rPr>
        <w:t>6</w:t>
      </w:r>
      <w:r>
        <w:fldChar w:fldCharType="end"/>
      </w:r>
      <w:r>
        <w:t xml:space="preserve">.  </w:t>
      </w:r>
      <w:r w:rsidR="004A2121">
        <w:t xml:space="preserve">As fabrication pressure increased for quartz/BMI laminates, shown in </w:t>
      </w:r>
      <w:r w:rsidR="004A2121">
        <w:fldChar w:fldCharType="begin"/>
      </w:r>
      <w:r w:rsidR="004A2121">
        <w:instrText xml:space="preserve"> REF _Ref344033649 \h </w:instrText>
      </w:r>
      <w:r w:rsidR="004A2121">
        <w:fldChar w:fldCharType="separate"/>
      </w:r>
      <w:r w:rsidR="008A1992" w:rsidRPr="00F91CEE">
        <w:t xml:space="preserve">Figure </w:t>
      </w:r>
      <w:r w:rsidR="008A1992">
        <w:rPr>
          <w:noProof/>
        </w:rPr>
        <w:t>6</w:t>
      </w:r>
      <w:r w:rsidR="008A1992">
        <w:t>.</w:t>
      </w:r>
      <w:r w:rsidR="008A1992">
        <w:rPr>
          <w:noProof/>
        </w:rPr>
        <w:t>6</w:t>
      </w:r>
      <w:r w:rsidR="004A2121">
        <w:fldChar w:fldCharType="end"/>
      </w:r>
      <w:r w:rsidR="004A2121">
        <w:t xml:space="preserve">a, the difference in flexural stiffness percent reduction progressively narrowed.  At 69 kPa, the range of stiffness percent reduction was 1.5-8.8%.  Meanwhile, the range of stiffness percent reduction was 2.2-3.9% when pressure increased to 483 kPa.  </w:t>
      </w:r>
      <w:r w:rsidR="00A041F5">
        <w:t xml:space="preserve">With regards to quartz/epoxy, shown in </w:t>
      </w:r>
      <w:r w:rsidR="00A041F5">
        <w:fldChar w:fldCharType="begin"/>
      </w:r>
      <w:r w:rsidR="00A041F5">
        <w:instrText xml:space="preserve"> REF _Ref344033649 \h </w:instrText>
      </w:r>
      <w:r w:rsidR="00A041F5">
        <w:fldChar w:fldCharType="separate"/>
      </w:r>
      <w:r w:rsidR="008A1992" w:rsidRPr="00F91CEE">
        <w:t xml:space="preserve">Figure </w:t>
      </w:r>
      <w:r w:rsidR="008A1992">
        <w:rPr>
          <w:noProof/>
        </w:rPr>
        <w:t>6</w:t>
      </w:r>
      <w:r w:rsidR="008A1992">
        <w:t>.</w:t>
      </w:r>
      <w:r w:rsidR="008A1992">
        <w:rPr>
          <w:noProof/>
        </w:rPr>
        <w:t>6</w:t>
      </w:r>
      <w:r w:rsidR="00A041F5">
        <w:fldChar w:fldCharType="end"/>
      </w:r>
      <w:r w:rsidR="00A041F5">
        <w:t>b, hydraulic fluid contamination reduced stiffness to a larger degree when fabrication pressure was high</w:t>
      </w:r>
      <w:r w:rsidR="004A2121">
        <w:t>.</w:t>
      </w:r>
      <w:r w:rsidR="00A041F5">
        <w:t xml:space="preserve">  At a </w:t>
      </w:r>
      <w:r w:rsidR="004855FC">
        <w:t>specific</w:t>
      </w:r>
      <w:r w:rsidR="00A041F5">
        <w:t xml:space="preserve"> cure pressure, the stiffness percent reduction was tightly grouped for varying humidity exposures.</w:t>
      </w:r>
    </w:p>
    <w:p w14:paraId="1613DE55" w14:textId="77777777" w:rsidR="00B36B28" w:rsidRDefault="00B36B28" w:rsidP="009F2D9D">
      <w:pPr>
        <w:ind w:firstLine="360"/>
      </w:pPr>
    </w:p>
    <w:p w14:paraId="7197F8FC" w14:textId="77777777" w:rsidR="00F91CEE" w:rsidRDefault="00F91CEE" w:rsidP="00F91CEE"/>
    <w:p w14:paraId="1A5E09D3" w14:textId="1B05089F" w:rsidR="00F91CEE" w:rsidRDefault="004E785C" w:rsidP="00F91CEE">
      <w:pPr>
        <w:keepNext/>
        <w:jc w:val="center"/>
      </w:pPr>
      <w:r>
        <w:rPr>
          <w:noProof/>
        </w:rPr>
        <mc:AlternateContent>
          <mc:Choice Requires="wpg">
            <w:drawing>
              <wp:inline distT="0" distB="0" distL="0" distR="0" wp14:anchorId="2B287156" wp14:editId="114491FF">
                <wp:extent cx="5368014" cy="2412153"/>
                <wp:effectExtent l="0" t="0" r="0" b="1270"/>
                <wp:docPr id="4" name="Group 3"/>
                <wp:cNvGraphicFramePr/>
                <a:graphic xmlns:a="http://schemas.openxmlformats.org/drawingml/2006/main">
                  <a:graphicData uri="http://schemas.microsoft.com/office/word/2010/wordprocessingGroup">
                    <wpg:wgp>
                      <wpg:cNvGrpSpPr/>
                      <wpg:grpSpPr>
                        <a:xfrm>
                          <a:off x="0" y="0"/>
                          <a:ext cx="5368014" cy="2412153"/>
                          <a:chOff x="0" y="0"/>
                          <a:chExt cx="5395954" cy="2381673"/>
                        </a:xfrm>
                      </wpg:grpSpPr>
                      <wpg:graphicFrame>
                        <wpg:cNvPr id="2" name="Chart 2"/>
                        <wpg:cNvFrPr/>
                        <wpg:xfrm>
                          <a:off x="0" y="0"/>
                          <a:ext cx="2697480" cy="2377440"/>
                        </wpg:xfrm>
                        <a:graphic>
                          <a:graphicData uri="http://schemas.openxmlformats.org/drawingml/2006/chart">
                            <c:chart xmlns:c="http://schemas.openxmlformats.org/drawingml/2006/chart" xmlns:r="http://schemas.openxmlformats.org/officeDocument/2006/relationships" r:id="rId180"/>
                          </a:graphicData>
                        </a:graphic>
                      </wpg:graphicFrame>
                      <wpg:graphicFrame>
                        <wpg:cNvPr id="3" name="Chart 3"/>
                        <wpg:cNvFrPr>
                          <a:graphicFrameLocks/>
                        </wpg:cNvFrPr>
                        <wpg:xfrm>
                          <a:off x="2698474" y="0"/>
                          <a:ext cx="2697480" cy="2381673"/>
                        </wpg:xfrm>
                        <a:graphic>
                          <a:graphicData uri="http://schemas.openxmlformats.org/drawingml/2006/chart">
                            <c:chart xmlns:c="http://schemas.openxmlformats.org/drawingml/2006/chart" xmlns:r="http://schemas.openxmlformats.org/officeDocument/2006/relationships" r:id="rId181"/>
                          </a:graphicData>
                        </a:graphic>
                      </wpg:graphicFrame>
                    </wpg:wgp>
                  </a:graphicData>
                </a:graphic>
              </wp:inline>
            </w:drawing>
          </mc:Choice>
          <mc:Fallback>
            <w:pict>
              <v:group id="Group 3" o:spid="_x0000_s1026" style="width:422.7pt;height:189.95pt;mso-position-horizontal-relative:char;mso-position-vertical-relative:line" coordsize="5395954,2381673" o:gfxdata="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">
                <v:shape id="Chart 2" o:spid="_x0000_s1027" type="#_x0000_t75" style="position:absolute;width:2696201;height:2377493;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">
                  <v:imagedata r:id="rId182" o:title=""/>
                  <o:lock v:ext="edit" aspectratio="f"/>
                </v:shape>
                <v:shape id="Chart 3" o:spid="_x0000_s1028" type="#_x0000_t75" style="position:absolute;left:2696201;width:2702329;height:238351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">
                  <v:imagedata r:id="rId183" o:title=""/>
                  <o:lock v:ext="edit" aspectratio="f"/>
                </v:shape>
                <w10:anchorlock/>
              </v:group>
            </w:pict>
          </mc:Fallback>
        </mc:AlternateContent>
      </w:r>
    </w:p>
    <w:p w14:paraId="6E37C4AB" w14:textId="51EA81B5" w:rsidR="00F91CEE" w:rsidRDefault="00F91CEE" w:rsidP="00F91CEE">
      <w:pPr>
        <w:pStyle w:val="Caption"/>
        <w:spacing w:line="240" w:lineRule="auto"/>
        <w:jc w:val="center"/>
        <w:rPr>
          <w:sz w:val="24"/>
          <w:szCs w:val="24"/>
        </w:rPr>
      </w:pPr>
      <w:bookmarkStart w:id="293" w:name="_Ref344033649"/>
      <w:bookmarkStart w:id="294" w:name="_Toc346310454"/>
      <w:proofErr w:type="gramStart"/>
      <w:r w:rsidRPr="00F91CEE">
        <w:rPr>
          <w:sz w:val="24"/>
          <w:szCs w:val="24"/>
        </w:rPr>
        <w:t xml:space="preserve">Figure </w:t>
      </w:r>
      <w:r w:rsidR="00C16D85">
        <w:rPr>
          <w:sz w:val="24"/>
          <w:szCs w:val="24"/>
        </w:rPr>
        <w:fldChar w:fldCharType="begin"/>
      </w:r>
      <w:r w:rsidR="00C16D85">
        <w:rPr>
          <w:sz w:val="24"/>
          <w:szCs w:val="24"/>
        </w:rPr>
        <w:instrText xml:space="preserve"> STYLEREF 1 \s </w:instrText>
      </w:r>
      <w:r w:rsidR="00C16D85">
        <w:rPr>
          <w:sz w:val="24"/>
          <w:szCs w:val="24"/>
        </w:rPr>
        <w:fldChar w:fldCharType="separate"/>
      </w:r>
      <w:r w:rsidR="008A1992">
        <w:rPr>
          <w:noProof/>
          <w:sz w:val="24"/>
          <w:szCs w:val="24"/>
        </w:rPr>
        <w:t>6</w:t>
      </w:r>
      <w:r w:rsidR="00C16D85">
        <w:rPr>
          <w:sz w:val="24"/>
          <w:szCs w:val="24"/>
        </w:rPr>
        <w:fldChar w:fldCharType="end"/>
      </w:r>
      <w:r w:rsidR="00C16D85">
        <w:rPr>
          <w:sz w:val="24"/>
          <w:szCs w:val="24"/>
        </w:rPr>
        <w:t>.</w:t>
      </w:r>
      <w:proofErr w:type="gramEnd"/>
      <w:r w:rsidR="00C16D85">
        <w:rPr>
          <w:sz w:val="24"/>
          <w:szCs w:val="24"/>
        </w:rPr>
        <w:fldChar w:fldCharType="begin"/>
      </w:r>
      <w:r w:rsidR="00C16D85">
        <w:rPr>
          <w:sz w:val="24"/>
          <w:szCs w:val="24"/>
        </w:rPr>
        <w:instrText xml:space="preserve"> SEQ Figure \* ARABIC \s 1 </w:instrText>
      </w:r>
      <w:r w:rsidR="00C16D85">
        <w:rPr>
          <w:sz w:val="24"/>
          <w:szCs w:val="24"/>
        </w:rPr>
        <w:fldChar w:fldCharType="separate"/>
      </w:r>
      <w:r w:rsidR="008A1992">
        <w:rPr>
          <w:noProof/>
          <w:sz w:val="24"/>
          <w:szCs w:val="24"/>
        </w:rPr>
        <w:t>6</w:t>
      </w:r>
      <w:r w:rsidR="00C16D85">
        <w:rPr>
          <w:sz w:val="24"/>
          <w:szCs w:val="24"/>
        </w:rPr>
        <w:fldChar w:fldCharType="end"/>
      </w:r>
      <w:bookmarkEnd w:id="293"/>
      <w:r w:rsidRPr="00F91CEE">
        <w:rPr>
          <w:sz w:val="24"/>
          <w:szCs w:val="24"/>
        </w:rPr>
        <w:t xml:space="preserve"> Effect of fabrication pressure on the flexural stiffness percent reduction for (a) Quartz/BMI, and (b) Quartz/EX-1522 epoxy</w:t>
      </w:r>
      <w:bookmarkEnd w:id="294"/>
    </w:p>
    <w:p w14:paraId="236B5AA3" w14:textId="77777777" w:rsidR="009F2D9D" w:rsidRPr="009F2D9D" w:rsidRDefault="009F2D9D" w:rsidP="009F2D9D"/>
    <w:p w14:paraId="07DA46AB" w14:textId="20947ACF" w:rsidR="00656FA9" w:rsidRDefault="00656FA9" w:rsidP="00656FA9">
      <w:pPr>
        <w:pStyle w:val="Heading3"/>
      </w:pPr>
      <w:bookmarkStart w:id="295" w:name="_Ref344640405"/>
      <w:bookmarkStart w:id="296" w:name="_Toc346311033"/>
      <w:r>
        <w:t>Effect of Prepreg Humidity Exposure on Flexural Strength Percent Reduction</w:t>
      </w:r>
      <w:bookmarkEnd w:id="295"/>
      <w:bookmarkEnd w:id="296"/>
    </w:p>
    <w:p w14:paraId="535DAEC5" w14:textId="61808022" w:rsidR="00705563" w:rsidRDefault="00705563" w:rsidP="00ED5497">
      <w:pPr>
        <w:ind w:firstLine="360"/>
      </w:pPr>
      <w:r>
        <w:t xml:space="preserve">The effect of prepreg humidity exposure on the laminate flexural strength percent reduction is shown in </w:t>
      </w:r>
      <w:r w:rsidR="00ED5497">
        <w:t>Figure 6.7</w:t>
      </w:r>
      <w:r>
        <w:t xml:space="preserve">.  </w:t>
      </w:r>
      <w:r w:rsidR="00E128D5">
        <w:t xml:space="preserve">Overall, both resin materials demonstrated slight increases in the strength degradation due to hydraulic fluid as humidity exposure increased.  With regards to quartz/BMI, shown in </w:t>
      </w:r>
      <w:r w:rsidR="00ED5497">
        <w:t>Figure 6.7</w:t>
      </w:r>
      <w:r w:rsidR="00E128D5">
        <w:t>a, detrimental effects of hydraulic fluid can be minimized by increasing the fabrication pressure.  Additionally, the effect of hydraulic fluid was much more substantial for quartz/BMI</w:t>
      </w:r>
      <w:r w:rsidR="004855FC">
        <w:t>,</w:t>
      </w:r>
      <w:r w:rsidR="00E128D5">
        <w:t xml:space="preserve"> when humidity exposure was low.  Therefore, </w:t>
      </w:r>
      <w:r w:rsidR="007355BA">
        <w:t>it is increasingly important to utilize</w:t>
      </w:r>
      <w:r w:rsidR="00E128D5">
        <w:t xml:space="preserve"> high cure press</w:t>
      </w:r>
      <w:r w:rsidR="007355BA">
        <w:t xml:space="preserve">ures for this scenario.  Overall, the strength percent reduction for quartz/epoxy, shown in </w:t>
      </w:r>
      <w:r w:rsidR="00ED5497">
        <w:t>Figure 6.7</w:t>
      </w:r>
      <w:r w:rsidR="007355BA">
        <w:t>b, narrowed as humidity exposure increased.  The largest detrimental effect of hydraulic fluid contamination on quartz/epoxy strength was observed when prepregs were exposed to mid-range humidity levels of 40-70% relative humidity.</w:t>
      </w:r>
    </w:p>
    <w:p w14:paraId="38717F37" w14:textId="62A86DE6" w:rsidR="00D961B3" w:rsidRDefault="004E785C" w:rsidP="00D961B3">
      <w:pPr>
        <w:keepNext/>
        <w:jc w:val="center"/>
      </w:pPr>
      <w:r>
        <w:rPr>
          <w:noProof/>
        </w:rPr>
        <mc:AlternateContent>
          <mc:Choice Requires="wpg">
            <w:drawing>
              <wp:inline distT="0" distB="0" distL="0" distR="0" wp14:anchorId="728CED17" wp14:editId="237071B6">
                <wp:extent cx="5366320" cy="2414693"/>
                <wp:effectExtent l="0" t="0" r="0" b="0"/>
                <wp:docPr id="267" name="Group 19"/>
                <wp:cNvGraphicFramePr/>
                <a:graphic xmlns:a="http://schemas.openxmlformats.org/drawingml/2006/main">
                  <a:graphicData uri="http://schemas.microsoft.com/office/word/2010/wordprocessingGroup">
                    <wpg:wgp>
                      <wpg:cNvGrpSpPr/>
                      <wpg:grpSpPr>
                        <a:xfrm>
                          <a:off x="0" y="0"/>
                          <a:ext cx="5366320" cy="2414693"/>
                          <a:chOff x="0" y="0"/>
                          <a:chExt cx="5391720" cy="2381673"/>
                        </a:xfrm>
                      </wpg:grpSpPr>
                      <wpg:graphicFrame>
                        <wpg:cNvPr id="283" name="Chart 283"/>
                        <wpg:cNvFrPr>
                          <a:graphicFrameLocks/>
                        </wpg:cNvFrPr>
                        <wpg:xfrm>
                          <a:off x="0" y="0"/>
                          <a:ext cx="2697480" cy="2377440"/>
                        </wpg:xfrm>
                        <a:graphic>
                          <a:graphicData uri="http://schemas.openxmlformats.org/drawingml/2006/chart">
                            <c:chart xmlns:c="http://schemas.openxmlformats.org/drawingml/2006/chart" xmlns:r="http://schemas.openxmlformats.org/officeDocument/2006/relationships" r:id="rId184"/>
                          </a:graphicData>
                        </a:graphic>
                      </wpg:graphicFrame>
                      <wpg:graphicFrame>
                        <wpg:cNvPr id="284" name="Chart 284"/>
                        <wpg:cNvFrPr>
                          <a:graphicFrameLocks/>
                        </wpg:cNvFrPr>
                        <wpg:xfrm>
                          <a:off x="2698474" y="0"/>
                          <a:ext cx="2693246" cy="2381673"/>
                        </wpg:xfrm>
                        <a:graphic>
                          <a:graphicData uri="http://schemas.openxmlformats.org/drawingml/2006/chart">
                            <c:chart xmlns:c="http://schemas.openxmlformats.org/drawingml/2006/chart" xmlns:r="http://schemas.openxmlformats.org/officeDocument/2006/relationships" r:id="rId185"/>
                          </a:graphicData>
                        </a:graphic>
                      </wpg:graphicFrame>
                    </wpg:wgp>
                  </a:graphicData>
                </a:graphic>
              </wp:inline>
            </w:drawing>
          </mc:Choice>
          <mc:Fallback>
            <w:pict>
              <v:group id="Group 19" o:spid="_x0000_s1026" style="width:422.55pt;height:190.15pt;mso-position-horizontal-relative:char;mso-position-vertical-relative:line" coordsize="5391720,2381673" o:gfxdata="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">
                <v:shape id="Chart 283" o:spid="_x0000_s1027" type="#_x0000_t75" style="position:absolute;width:2694936;height:2374993;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">
                  <v:imagedata r:id="rId186" o:title=""/>
                  <o:lock v:ext="edit" aspectratio="f"/>
                </v:shape>
                <v:shape id="Chart 284" o:spid="_x0000_s1028" type="#_x0000_t75" style="position:absolute;left:2694936;width:2694936;height:2381005;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">
                  <v:imagedata r:id="rId187" o:title=""/>
                  <o:lock v:ext="edit" aspectratio="f"/>
                </v:shape>
                <w10:anchorlock/>
              </v:group>
            </w:pict>
          </mc:Fallback>
        </mc:AlternateContent>
      </w:r>
    </w:p>
    <w:p w14:paraId="7767FA16" w14:textId="77777777" w:rsidR="00F106C7" w:rsidRDefault="00F106C7" w:rsidP="00D961B3">
      <w:pPr>
        <w:pStyle w:val="Caption"/>
        <w:spacing w:line="240" w:lineRule="auto"/>
        <w:jc w:val="center"/>
        <w:rPr>
          <w:sz w:val="24"/>
          <w:szCs w:val="24"/>
        </w:rPr>
      </w:pPr>
      <w:bookmarkStart w:id="297" w:name="_Ref344634947"/>
      <w:bookmarkStart w:id="298" w:name="_Toc346310455"/>
    </w:p>
    <w:p w14:paraId="44843B73" w14:textId="461AC8CE" w:rsidR="00D961B3" w:rsidRPr="00D961B3" w:rsidRDefault="00D961B3" w:rsidP="00D961B3">
      <w:pPr>
        <w:pStyle w:val="Caption"/>
        <w:spacing w:line="240" w:lineRule="auto"/>
        <w:jc w:val="center"/>
        <w:rPr>
          <w:sz w:val="24"/>
          <w:szCs w:val="24"/>
        </w:rPr>
      </w:pPr>
      <w:proofErr w:type="gramStart"/>
      <w:r w:rsidRPr="00D961B3">
        <w:rPr>
          <w:sz w:val="24"/>
          <w:szCs w:val="24"/>
        </w:rPr>
        <w:t xml:space="preserve">Figure </w:t>
      </w:r>
      <w:r w:rsidR="00C16D85">
        <w:rPr>
          <w:sz w:val="24"/>
          <w:szCs w:val="24"/>
        </w:rPr>
        <w:fldChar w:fldCharType="begin"/>
      </w:r>
      <w:r w:rsidR="00C16D85">
        <w:rPr>
          <w:sz w:val="24"/>
          <w:szCs w:val="24"/>
        </w:rPr>
        <w:instrText xml:space="preserve"> STYLEREF 1 \s </w:instrText>
      </w:r>
      <w:r w:rsidR="00C16D85">
        <w:rPr>
          <w:sz w:val="24"/>
          <w:szCs w:val="24"/>
        </w:rPr>
        <w:fldChar w:fldCharType="separate"/>
      </w:r>
      <w:r w:rsidR="008A1992">
        <w:rPr>
          <w:noProof/>
          <w:sz w:val="24"/>
          <w:szCs w:val="24"/>
        </w:rPr>
        <w:t>6</w:t>
      </w:r>
      <w:r w:rsidR="00C16D85">
        <w:rPr>
          <w:sz w:val="24"/>
          <w:szCs w:val="24"/>
        </w:rPr>
        <w:fldChar w:fldCharType="end"/>
      </w:r>
      <w:r w:rsidR="00C16D85">
        <w:rPr>
          <w:sz w:val="24"/>
          <w:szCs w:val="24"/>
        </w:rPr>
        <w:t>.</w:t>
      </w:r>
      <w:proofErr w:type="gramEnd"/>
      <w:r w:rsidR="00C16D85">
        <w:rPr>
          <w:sz w:val="24"/>
          <w:szCs w:val="24"/>
        </w:rPr>
        <w:fldChar w:fldCharType="begin"/>
      </w:r>
      <w:r w:rsidR="00C16D85">
        <w:rPr>
          <w:sz w:val="24"/>
          <w:szCs w:val="24"/>
        </w:rPr>
        <w:instrText xml:space="preserve"> SEQ Figure \* ARABIC \s 1 </w:instrText>
      </w:r>
      <w:r w:rsidR="00C16D85">
        <w:rPr>
          <w:sz w:val="24"/>
          <w:szCs w:val="24"/>
        </w:rPr>
        <w:fldChar w:fldCharType="separate"/>
      </w:r>
      <w:r w:rsidR="008A1992">
        <w:rPr>
          <w:noProof/>
          <w:sz w:val="24"/>
          <w:szCs w:val="24"/>
        </w:rPr>
        <w:t>7</w:t>
      </w:r>
      <w:r w:rsidR="00C16D85">
        <w:rPr>
          <w:sz w:val="24"/>
          <w:szCs w:val="24"/>
        </w:rPr>
        <w:fldChar w:fldCharType="end"/>
      </w:r>
      <w:bookmarkEnd w:id="297"/>
      <w:r w:rsidRPr="00D961B3">
        <w:rPr>
          <w:sz w:val="24"/>
          <w:szCs w:val="24"/>
        </w:rPr>
        <w:t xml:space="preserve"> Effect of prepreg humidity exposure on the flexural strength percent reduction for (a) Quartz/BMI, and (b) Quartz/EX-1522 epoxy</w:t>
      </w:r>
      <w:bookmarkEnd w:id="298"/>
    </w:p>
    <w:p w14:paraId="49379497" w14:textId="77777777" w:rsidR="00E128D5" w:rsidRPr="00D961B3" w:rsidRDefault="00E128D5" w:rsidP="00D961B3"/>
    <w:p w14:paraId="7CA45224" w14:textId="33E6B384" w:rsidR="00656FA9" w:rsidRDefault="00656FA9" w:rsidP="00656FA9">
      <w:pPr>
        <w:pStyle w:val="Heading3"/>
      </w:pPr>
      <w:bookmarkStart w:id="299" w:name="_Toc346311034"/>
      <w:r>
        <w:t>Effect of Fabrication Pressure on Flexural Strength Percent Reduction</w:t>
      </w:r>
      <w:bookmarkEnd w:id="299"/>
    </w:p>
    <w:p w14:paraId="0EE134E0" w14:textId="47CD9729" w:rsidR="00116C02" w:rsidRDefault="00E70530" w:rsidP="00116C02">
      <w:pPr>
        <w:ind w:firstLine="360"/>
      </w:pPr>
      <w:r>
        <w:fldChar w:fldCharType="begin"/>
      </w:r>
      <w:r>
        <w:instrText xml:space="preserve"> REF _Ref344636432 \h </w:instrText>
      </w:r>
      <w:r>
        <w:fldChar w:fldCharType="separate"/>
      </w:r>
      <w:r w:rsidR="008A1992" w:rsidRPr="00D961B3">
        <w:t xml:space="preserve">Figure </w:t>
      </w:r>
      <w:r w:rsidR="008A1992">
        <w:rPr>
          <w:noProof/>
        </w:rPr>
        <w:t>6</w:t>
      </w:r>
      <w:r w:rsidR="008A1992">
        <w:t>.</w:t>
      </w:r>
      <w:r w:rsidR="008A1992">
        <w:rPr>
          <w:noProof/>
        </w:rPr>
        <w:t>8</w:t>
      </w:r>
      <w:r>
        <w:fldChar w:fldCharType="end"/>
      </w:r>
      <w:r>
        <w:t xml:space="preserve"> illustrates t</w:t>
      </w:r>
      <w:r w:rsidR="00116C02">
        <w:t>he effect of applied cure pressure on the laminate flexural strength percent reduction</w:t>
      </w:r>
      <w:r>
        <w:t xml:space="preserve">.  </w:t>
      </w:r>
      <w:r w:rsidR="00116C02">
        <w:fldChar w:fldCharType="begin"/>
      </w:r>
      <w:r w:rsidR="00116C02">
        <w:instrText xml:space="preserve"> REF _Ref344636432 \h </w:instrText>
      </w:r>
      <w:r w:rsidR="00116C02">
        <w:fldChar w:fldCharType="separate"/>
      </w:r>
      <w:r w:rsidR="008A1992" w:rsidRPr="00D961B3">
        <w:t xml:space="preserve">Figure </w:t>
      </w:r>
      <w:r w:rsidR="008A1992">
        <w:rPr>
          <w:noProof/>
        </w:rPr>
        <w:t>6</w:t>
      </w:r>
      <w:r w:rsidR="008A1992">
        <w:t>.</w:t>
      </w:r>
      <w:r w:rsidR="008A1992">
        <w:rPr>
          <w:noProof/>
        </w:rPr>
        <w:t>8</w:t>
      </w:r>
      <w:r w:rsidR="00116C02">
        <w:fldChar w:fldCharType="end"/>
      </w:r>
      <w:r>
        <w:t>a clearly indicate that the effect of hydraulic fluid contamination on flexural strength reduces as cure pressure increases.  The range of strengt</w:t>
      </w:r>
      <w:r w:rsidR="004855FC">
        <w:t>h reduction at low pressure (69 kPa) was</w:t>
      </w:r>
      <w:r>
        <w:t xml:space="preserve"> 4.8-7.8%, and</w:t>
      </w:r>
      <w:r w:rsidR="004855FC">
        <w:t xml:space="preserve"> reduced to</w:t>
      </w:r>
      <w:r>
        <w:t xml:space="preserve"> 2.4-6.0% as pressure increased to 483 kPa.  Conversely, </w:t>
      </w:r>
      <w:proofErr w:type="gramStart"/>
      <w:r>
        <w:t>high pressure</w:t>
      </w:r>
      <w:proofErr w:type="gramEnd"/>
      <w:r>
        <w:t xml:space="preserve"> fabrication for quartz/epoxy (</w:t>
      </w:r>
      <w:r>
        <w:fldChar w:fldCharType="begin"/>
      </w:r>
      <w:r>
        <w:instrText xml:space="preserve"> REF _Ref344636432 \h </w:instrText>
      </w:r>
      <w:r>
        <w:fldChar w:fldCharType="separate"/>
      </w:r>
      <w:r w:rsidR="008A1992" w:rsidRPr="00D961B3">
        <w:t xml:space="preserve">Figure </w:t>
      </w:r>
      <w:r w:rsidR="008A1992">
        <w:rPr>
          <w:noProof/>
        </w:rPr>
        <w:t>6</w:t>
      </w:r>
      <w:r w:rsidR="008A1992">
        <w:t>.</w:t>
      </w:r>
      <w:r w:rsidR="008A1992">
        <w:rPr>
          <w:noProof/>
        </w:rPr>
        <w:t>8</w:t>
      </w:r>
      <w:r>
        <w:fldChar w:fldCharType="end"/>
      </w:r>
      <w:r>
        <w:t>b) produced laminates more susceptible to hydraulic fluid damage.  The strength reduction range at a particular cure pressure was much larger for epoxy resin when compared to BMI resin, which may be attributed to the quartz/epoxy laminates having a wide range of void fractions.</w:t>
      </w:r>
    </w:p>
    <w:p w14:paraId="25AFB57F" w14:textId="77777777" w:rsidR="00116C02" w:rsidRDefault="00116C02" w:rsidP="00116C02">
      <w:pPr>
        <w:ind w:firstLine="360"/>
      </w:pPr>
    </w:p>
    <w:p w14:paraId="73E92744" w14:textId="443D9AB2" w:rsidR="00D961B3" w:rsidRDefault="004E785C" w:rsidP="00D961B3">
      <w:pPr>
        <w:keepNext/>
        <w:jc w:val="center"/>
      </w:pPr>
      <w:r>
        <w:rPr>
          <w:noProof/>
        </w:rPr>
        <mc:AlternateContent>
          <mc:Choice Requires="wpg">
            <w:drawing>
              <wp:inline distT="0" distB="0" distL="0" distR="0" wp14:anchorId="0A647104" wp14:editId="6B28C2EF">
                <wp:extent cx="5370554" cy="2412153"/>
                <wp:effectExtent l="0" t="0" r="0" b="1270"/>
                <wp:docPr id="285" name="Group 18"/>
                <wp:cNvGraphicFramePr/>
                <a:graphic xmlns:a="http://schemas.openxmlformats.org/drawingml/2006/main">
                  <a:graphicData uri="http://schemas.microsoft.com/office/word/2010/wordprocessingGroup">
                    <wpg:wgp>
                      <wpg:cNvGrpSpPr/>
                      <wpg:grpSpPr>
                        <a:xfrm>
                          <a:off x="0" y="0"/>
                          <a:ext cx="5370554" cy="2412153"/>
                          <a:chOff x="0" y="0"/>
                          <a:chExt cx="5395954" cy="2381673"/>
                        </a:xfrm>
                      </wpg:grpSpPr>
                      <wpg:graphicFrame>
                        <wpg:cNvPr id="287" name="Chart 287"/>
                        <wpg:cNvFrPr/>
                        <wpg:xfrm>
                          <a:off x="0" y="0"/>
                          <a:ext cx="2697480" cy="2377440"/>
                        </wpg:xfrm>
                        <a:graphic>
                          <a:graphicData uri="http://schemas.openxmlformats.org/drawingml/2006/chart">
                            <c:chart xmlns:c="http://schemas.openxmlformats.org/drawingml/2006/chart" xmlns:r="http://schemas.openxmlformats.org/officeDocument/2006/relationships" r:id="rId188"/>
                          </a:graphicData>
                        </a:graphic>
                      </wpg:graphicFrame>
                      <wpg:graphicFrame>
                        <wpg:cNvPr id="65" name="Chart 65"/>
                        <wpg:cNvFrPr>
                          <a:graphicFrameLocks/>
                        </wpg:cNvFrPr>
                        <wpg:xfrm>
                          <a:off x="2698474" y="0"/>
                          <a:ext cx="2697480" cy="2381673"/>
                        </wpg:xfrm>
                        <a:graphic>
                          <a:graphicData uri="http://schemas.openxmlformats.org/drawingml/2006/chart">
                            <c:chart xmlns:c="http://schemas.openxmlformats.org/drawingml/2006/chart" xmlns:r="http://schemas.openxmlformats.org/officeDocument/2006/relationships" r:id="rId189"/>
                          </a:graphicData>
                        </a:graphic>
                      </wpg:graphicFrame>
                    </wpg:wgp>
                  </a:graphicData>
                </a:graphic>
              </wp:inline>
            </w:drawing>
          </mc:Choice>
          <mc:Fallback>
            <w:pict>
              <v:group id="Group 18" o:spid="_x0000_s1026" style="width:422.9pt;height:189.95pt;mso-position-horizontal-relative:char;mso-position-vertical-relative:line" coordsize="5395954,2381673" o:gfxdata="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">
                <v:shape id="Chart 287" o:spid="_x0000_s1027" type="#_x0000_t75" style="position:absolute;width:2694926;height:2377493;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">
                  <v:imagedata r:id="rId190" o:title=""/>
                  <o:lock v:ext="edit" aspectratio="f"/>
                </v:shape>
                <v:shape id="Chart 65" o:spid="_x0000_s1028" type="#_x0000_t75" style="position:absolute;left:2694926;width:2701050;height:238351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">
                  <v:imagedata r:id="rId191" o:title=""/>
                  <o:lock v:ext="edit" aspectratio="f"/>
                </v:shape>
                <w10:anchorlock/>
              </v:group>
            </w:pict>
          </mc:Fallback>
        </mc:AlternateContent>
      </w:r>
    </w:p>
    <w:p w14:paraId="72E2CF0D" w14:textId="70193140" w:rsidR="00D961B3" w:rsidRPr="00D961B3" w:rsidRDefault="00D961B3" w:rsidP="00D961B3">
      <w:pPr>
        <w:pStyle w:val="Caption"/>
        <w:spacing w:line="240" w:lineRule="auto"/>
        <w:jc w:val="center"/>
        <w:rPr>
          <w:sz w:val="24"/>
          <w:szCs w:val="24"/>
        </w:rPr>
      </w:pPr>
      <w:bookmarkStart w:id="300" w:name="_Ref344636432"/>
      <w:bookmarkStart w:id="301" w:name="_Toc346310456"/>
      <w:proofErr w:type="gramStart"/>
      <w:r w:rsidRPr="00D961B3">
        <w:rPr>
          <w:sz w:val="24"/>
          <w:szCs w:val="24"/>
        </w:rPr>
        <w:t xml:space="preserve">Figure </w:t>
      </w:r>
      <w:r w:rsidR="00C16D85">
        <w:rPr>
          <w:sz w:val="24"/>
          <w:szCs w:val="24"/>
        </w:rPr>
        <w:fldChar w:fldCharType="begin"/>
      </w:r>
      <w:r w:rsidR="00C16D85">
        <w:rPr>
          <w:sz w:val="24"/>
          <w:szCs w:val="24"/>
        </w:rPr>
        <w:instrText xml:space="preserve"> STYLEREF 1 \s </w:instrText>
      </w:r>
      <w:r w:rsidR="00C16D85">
        <w:rPr>
          <w:sz w:val="24"/>
          <w:szCs w:val="24"/>
        </w:rPr>
        <w:fldChar w:fldCharType="separate"/>
      </w:r>
      <w:r w:rsidR="008A1992">
        <w:rPr>
          <w:noProof/>
          <w:sz w:val="24"/>
          <w:szCs w:val="24"/>
        </w:rPr>
        <w:t>6</w:t>
      </w:r>
      <w:r w:rsidR="00C16D85">
        <w:rPr>
          <w:sz w:val="24"/>
          <w:szCs w:val="24"/>
        </w:rPr>
        <w:fldChar w:fldCharType="end"/>
      </w:r>
      <w:r w:rsidR="00C16D85">
        <w:rPr>
          <w:sz w:val="24"/>
          <w:szCs w:val="24"/>
        </w:rPr>
        <w:t>.</w:t>
      </w:r>
      <w:proofErr w:type="gramEnd"/>
      <w:r w:rsidR="00C16D85">
        <w:rPr>
          <w:sz w:val="24"/>
          <w:szCs w:val="24"/>
        </w:rPr>
        <w:fldChar w:fldCharType="begin"/>
      </w:r>
      <w:r w:rsidR="00C16D85">
        <w:rPr>
          <w:sz w:val="24"/>
          <w:szCs w:val="24"/>
        </w:rPr>
        <w:instrText xml:space="preserve"> SEQ Figure \* ARABIC \s 1 </w:instrText>
      </w:r>
      <w:r w:rsidR="00C16D85">
        <w:rPr>
          <w:sz w:val="24"/>
          <w:szCs w:val="24"/>
        </w:rPr>
        <w:fldChar w:fldCharType="separate"/>
      </w:r>
      <w:r w:rsidR="008A1992">
        <w:rPr>
          <w:noProof/>
          <w:sz w:val="24"/>
          <w:szCs w:val="24"/>
        </w:rPr>
        <w:t>8</w:t>
      </w:r>
      <w:r w:rsidR="00C16D85">
        <w:rPr>
          <w:sz w:val="24"/>
          <w:szCs w:val="24"/>
        </w:rPr>
        <w:fldChar w:fldCharType="end"/>
      </w:r>
      <w:bookmarkEnd w:id="300"/>
      <w:r w:rsidRPr="00D961B3">
        <w:rPr>
          <w:sz w:val="24"/>
          <w:szCs w:val="24"/>
        </w:rPr>
        <w:t xml:space="preserve"> Effect of fabrication cure pressure on the flexural strength percent reduction for (a) Quartz/BMI, and (b) Quartz/EX-1522 epoxy</w:t>
      </w:r>
      <w:bookmarkEnd w:id="301"/>
    </w:p>
    <w:p w14:paraId="753E86E0" w14:textId="77777777" w:rsidR="00D961B3" w:rsidRDefault="00D961B3" w:rsidP="00D961B3"/>
    <w:p w14:paraId="494CA1DE" w14:textId="0214F856" w:rsidR="00656FA9" w:rsidRPr="00656FA9" w:rsidRDefault="00656FA9" w:rsidP="00656FA9">
      <w:pPr>
        <w:pStyle w:val="Heading2"/>
      </w:pPr>
      <w:bookmarkStart w:id="302" w:name="_Toc346311035"/>
      <w:r>
        <w:t>Contribution of Equilibrium Fluid Content on Flexural Properties of Quartz-Reinforced Laminates</w:t>
      </w:r>
      <w:bookmarkEnd w:id="302"/>
    </w:p>
    <w:p w14:paraId="62EEA24B" w14:textId="15827845" w:rsidR="00656FA9" w:rsidRDefault="00656FA9" w:rsidP="00656FA9">
      <w:pPr>
        <w:pStyle w:val="Heading3"/>
      </w:pPr>
      <w:bookmarkStart w:id="303" w:name="_Toc346311036"/>
      <w:r>
        <w:t>Effect of Equilibrium Fluid Content on Flexural Stiffness Percent Reduction</w:t>
      </w:r>
      <w:bookmarkEnd w:id="303"/>
    </w:p>
    <w:p w14:paraId="4F9E7D64" w14:textId="0DA0E114" w:rsidR="00D961B3" w:rsidRDefault="009168B0" w:rsidP="009168B0">
      <w:pPr>
        <w:ind w:firstLine="360"/>
      </w:pPr>
      <w:r>
        <w:t xml:space="preserve">The effect of hydraulic fluid content on the laminate flexural stiffness percent reduction for varying humidity exposure levels is shown in </w:t>
      </w:r>
      <w:r>
        <w:fldChar w:fldCharType="begin"/>
      </w:r>
      <w:r>
        <w:instrText xml:space="preserve"> REF _Ref344637621 \h </w:instrText>
      </w:r>
      <w:r>
        <w:fldChar w:fldCharType="separate"/>
      </w:r>
      <w:r w:rsidR="008A1992" w:rsidRPr="000C4E7E">
        <w:t xml:space="preserve">Figure </w:t>
      </w:r>
      <w:r w:rsidR="008A1992">
        <w:rPr>
          <w:noProof/>
        </w:rPr>
        <w:t>6</w:t>
      </w:r>
      <w:r w:rsidR="008A1992">
        <w:t>.</w:t>
      </w:r>
      <w:r w:rsidR="008A1992">
        <w:rPr>
          <w:noProof/>
        </w:rPr>
        <w:t>9</w:t>
      </w:r>
      <w:r>
        <w:fldChar w:fldCharType="end"/>
      </w:r>
      <w:r>
        <w:t>.  For both resin materials, the largest variation and sensitivity to hydraulic fluid contamination was observed for prepregs conditioned in a dry envi</w:t>
      </w:r>
      <w:r w:rsidR="00D6082F">
        <w:t>ronment (i.e. 2% RH).  Nearly all quartz/BMI laminates (</w:t>
      </w:r>
      <w:r w:rsidR="00D6082F">
        <w:fldChar w:fldCharType="begin"/>
      </w:r>
      <w:r w:rsidR="00D6082F">
        <w:instrText xml:space="preserve"> REF _Ref344637621 \h </w:instrText>
      </w:r>
      <w:r w:rsidR="00D6082F">
        <w:fldChar w:fldCharType="separate"/>
      </w:r>
      <w:r w:rsidR="008A1992" w:rsidRPr="000C4E7E">
        <w:t xml:space="preserve">Figure </w:t>
      </w:r>
      <w:r w:rsidR="008A1992">
        <w:rPr>
          <w:noProof/>
        </w:rPr>
        <w:t>6</w:t>
      </w:r>
      <w:r w:rsidR="008A1992">
        <w:t>.</w:t>
      </w:r>
      <w:r w:rsidR="008A1992">
        <w:rPr>
          <w:noProof/>
        </w:rPr>
        <w:t>9</w:t>
      </w:r>
      <w:r w:rsidR="00D6082F">
        <w:fldChar w:fldCharType="end"/>
      </w:r>
      <w:r w:rsidR="00D6082F">
        <w:t>a) had stiffness reductions of less than 5%, e</w:t>
      </w:r>
      <w:r>
        <w:t xml:space="preserve">ven with a </w:t>
      </w:r>
      <w:r w:rsidR="00D6082F">
        <w:t xml:space="preserve">substantially </w:t>
      </w:r>
      <w:r>
        <w:t>wide range of hydraulic fluid content levels</w:t>
      </w:r>
      <w:r w:rsidR="00D6082F">
        <w:t xml:space="preserve"> of up to 9 %wt.  Conversely, the quartz/epoxy laminates (</w:t>
      </w:r>
      <w:r w:rsidR="00D6082F">
        <w:fldChar w:fldCharType="begin"/>
      </w:r>
      <w:r w:rsidR="00D6082F">
        <w:instrText xml:space="preserve"> REF _Ref344637621 \h </w:instrText>
      </w:r>
      <w:r w:rsidR="00D6082F">
        <w:fldChar w:fldCharType="separate"/>
      </w:r>
      <w:r w:rsidR="008A1992" w:rsidRPr="000C4E7E">
        <w:t xml:space="preserve">Figure </w:t>
      </w:r>
      <w:r w:rsidR="008A1992">
        <w:rPr>
          <w:noProof/>
        </w:rPr>
        <w:t>6</w:t>
      </w:r>
      <w:r w:rsidR="008A1992">
        <w:t>.</w:t>
      </w:r>
      <w:r w:rsidR="008A1992">
        <w:rPr>
          <w:noProof/>
        </w:rPr>
        <w:t>9</w:t>
      </w:r>
      <w:r w:rsidR="00D6082F">
        <w:fldChar w:fldCharType="end"/>
      </w:r>
      <w:r w:rsidR="00D6082F">
        <w:t>b) also observed stiffness reductions of no more than 5%, but for less than 1.7 %wt. maximum observed hydraulic fluid content.  Higher levels of hydraulic fluid content generally increased the level of stiffness percent reduction for epoxy resin.</w:t>
      </w:r>
    </w:p>
    <w:p w14:paraId="4F5ABE90" w14:textId="724C44F6" w:rsidR="00D961B3" w:rsidRDefault="002006ED" w:rsidP="00D961B3">
      <w:pPr>
        <w:keepNext/>
        <w:jc w:val="center"/>
      </w:pPr>
      <w:r>
        <w:rPr>
          <w:noProof/>
        </w:rPr>
        <mc:AlternateContent>
          <mc:Choice Requires="wpg">
            <w:drawing>
              <wp:inline distT="0" distB="0" distL="0" distR="0" wp14:anchorId="72FE8847" wp14:editId="63A48BBE">
                <wp:extent cx="5363780" cy="2410460"/>
                <wp:effectExtent l="0" t="0" r="0" b="2540"/>
                <wp:docPr id="66" name="Group 11"/>
                <wp:cNvGraphicFramePr/>
                <a:graphic xmlns:a="http://schemas.openxmlformats.org/drawingml/2006/main">
                  <a:graphicData uri="http://schemas.microsoft.com/office/word/2010/wordprocessingGroup">
                    <wpg:wgp>
                      <wpg:cNvGrpSpPr/>
                      <wpg:grpSpPr>
                        <a:xfrm>
                          <a:off x="0" y="0"/>
                          <a:ext cx="5363780" cy="2410460"/>
                          <a:chOff x="0" y="0"/>
                          <a:chExt cx="5391720" cy="2377440"/>
                        </a:xfrm>
                      </wpg:grpSpPr>
                      <wpg:graphicFrame>
                        <wpg:cNvPr id="70" name="Chart 70"/>
                        <wpg:cNvFrPr>
                          <a:graphicFrameLocks/>
                        </wpg:cNvFrPr>
                        <wpg:xfrm>
                          <a:off x="0" y="0"/>
                          <a:ext cx="2697480" cy="2377440"/>
                        </wpg:xfrm>
                        <a:graphic>
                          <a:graphicData uri="http://schemas.openxmlformats.org/drawingml/2006/chart">
                            <c:chart xmlns:c="http://schemas.openxmlformats.org/drawingml/2006/chart" xmlns:r="http://schemas.openxmlformats.org/officeDocument/2006/relationships" r:id="rId192"/>
                          </a:graphicData>
                        </a:graphic>
                      </wpg:graphicFrame>
                      <wpg:graphicFrame>
                        <wpg:cNvPr id="71" name="Chart 71"/>
                        <wpg:cNvFrPr>
                          <a:graphicFrameLocks/>
                        </wpg:cNvFrPr>
                        <wpg:xfrm>
                          <a:off x="2698474" y="0"/>
                          <a:ext cx="2693246" cy="2377440"/>
                        </wpg:xfrm>
                        <a:graphic>
                          <a:graphicData uri="http://schemas.openxmlformats.org/drawingml/2006/chart">
                            <c:chart xmlns:c="http://schemas.openxmlformats.org/drawingml/2006/chart" xmlns:r="http://schemas.openxmlformats.org/officeDocument/2006/relationships" r:id="rId193"/>
                          </a:graphicData>
                        </a:graphic>
                      </wpg:graphicFrame>
                    </wpg:wgp>
                  </a:graphicData>
                </a:graphic>
              </wp:inline>
            </w:drawing>
          </mc:Choice>
          <mc:Fallback>
            <w:pict>
              <v:group id="Group 11" o:spid="_x0000_s1026" style="width:422.35pt;height:189.8pt;mso-position-horizontal-relative:char;mso-position-vertical-relative:line" coordsize="5391720,2377440" o:gfxdata="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">
                <v:shape id="Chart 70" o:spid="_x0000_s1027" type="#_x0000_t75" style="position:absolute;width:2696212;height:2374935;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">
                  <v:imagedata r:id="rId194" o:title=""/>
                  <o:lock v:ext="edit" aspectratio="f"/>
                </v:shape>
                <v:shape id="Chart 71" o:spid="_x0000_s1028" type="#_x0000_t75" style="position:absolute;left:2696212;width:2696212;height:2374935;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">
                  <v:imagedata r:id="rId195" o:title=""/>
                  <o:lock v:ext="edit" aspectratio="f"/>
                </v:shape>
                <w10:anchorlock/>
              </v:group>
            </w:pict>
          </mc:Fallback>
        </mc:AlternateContent>
      </w:r>
    </w:p>
    <w:p w14:paraId="2A198242" w14:textId="428BCD20" w:rsidR="00D961B3" w:rsidRDefault="00D961B3" w:rsidP="00D6082F">
      <w:pPr>
        <w:pStyle w:val="Caption"/>
        <w:spacing w:line="240" w:lineRule="auto"/>
        <w:jc w:val="center"/>
        <w:rPr>
          <w:sz w:val="24"/>
        </w:rPr>
      </w:pPr>
      <w:bookmarkStart w:id="304" w:name="_Ref344637621"/>
      <w:bookmarkStart w:id="305" w:name="_Toc346310457"/>
      <w:proofErr w:type="gramStart"/>
      <w:r w:rsidRPr="000C4E7E">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6</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9</w:t>
      </w:r>
      <w:r w:rsidR="00C16D85">
        <w:rPr>
          <w:sz w:val="24"/>
        </w:rPr>
        <w:fldChar w:fldCharType="end"/>
      </w:r>
      <w:bookmarkEnd w:id="304"/>
      <w:r w:rsidRPr="000C4E7E">
        <w:rPr>
          <w:sz w:val="24"/>
        </w:rPr>
        <w:t xml:space="preserve"> </w:t>
      </w:r>
      <w:r w:rsidRPr="00F014A8">
        <w:rPr>
          <w:sz w:val="24"/>
        </w:rPr>
        <w:t>Comparison o</w:t>
      </w:r>
      <w:r w:rsidRPr="000C4E7E">
        <w:rPr>
          <w:sz w:val="24"/>
        </w:rPr>
        <w:t>f humidity exposure and hydraulic fluid content on the flexural stiffness percent reduction for (a) Quartz/BMI, and (b) Quartz/EX-1522 epoxy</w:t>
      </w:r>
      <w:bookmarkEnd w:id="305"/>
    </w:p>
    <w:p w14:paraId="7E5531B4" w14:textId="77777777" w:rsidR="00D6082F" w:rsidRPr="00D6082F" w:rsidRDefault="00D6082F" w:rsidP="00D6082F"/>
    <w:p w14:paraId="2FA6E6CF" w14:textId="55A54D3B" w:rsidR="00D961B3" w:rsidRDefault="00D6082F" w:rsidP="00BD6228">
      <w:pPr>
        <w:ind w:firstLine="360"/>
      </w:pPr>
      <w:r>
        <w:t xml:space="preserve">The effect of hydraulic fluid content on the laminate flexural stiffness percent reduction for varying fabrication pressures is shown in </w:t>
      </w:r>
      <w:r>
        <w:fldChar w:fldCharType="begin"/>
      </w:r>
      <w:r>
        <w:instrText xml:space="preserve"> REF _Ref344638521 \h </w:instrText>
      </w:r>
      <w:r>
        <w:fldChar w:fldCharType="separate"/>
      </w:r>
      <w:r w:rsidR="008A1992" w:rsidRPr="000C4E7E">
        <w:t xml:space="preserve">Figure </w:t>
      </w:r>
      <w:r w:rsidR="008A1992">
        <w:rPr>
          <w:noProof/>
        </w:rPr>
        <w:t>6</w:t>
      </w:r>
      <w:r w:rsidR="008A1992">
        <w:t>.</w:t>
      </w:r>
      <w:r w:rsidR="008A1992">
        <w:rPr>
          <w:noProof/>
        </w:rPr>
        <w:t>10</w:t>
      </w:r>
      <w:r>
        <w:fldChar w:fldCharType="end"/>
      </w:r>
      <w:r w:rsidR="00150857">
        <w:t xml:space="preserve">.  </w:t>
      </w:r>
      <w:r w:rsidR="00BD6228">
        <w:t>BMI</w:t>
      </w:r>
      <w:r>
        <w:t xml:space="preserve"> resin</w:t>
      </w:r>
      <w:r w:rsidR="00BD6228">
        <w:t>, shown in</w:t>
      </w:r>
      <w:r>
        <w:t xml:space="preserve"> </w:t>
      </w:r>
      <w:r w:rsidR="00BD6228">
        <w:fldChar w:fldCharType="begin"/>
      </w:r>
      <w:r w:rsidR="00BD6228">
        <w:instrText xml:space="preserve"> REF _Ref344638521 \h </w:instrText>
      </w:r>
      <w:r w:rsidR="00BD6228">
        <w:fldChar w:fldCharType="separate"/>
      </w:r>
      <w:r w:rsidR="008A1992" w:rsidRPr="000C4E7E">
        <w:t xml:space="preserve">Figure </w:t>
      </w:r>
      <w:r w:rsidR="008A1992">
        <w:rPr>
          <w:noProof/>
        </w:rPr>
        <w:t>6</w:t>
      </w:r>
      <w:r w:rsidR="008A1992">
        <w:t>.</w:t>
      </w:r>
      <w:r w:rsidR="008A1992">
        <w:rPr>
          <w:noProof/>
        </w:rPr>
        <w:t>10</w:t>
      </w:r>
      <w:r w:rsidR="00BD6228">
        <w:fldChar w:fldCharType="end"/>
      </w:r>
      <w:r w:rsidR="00BD6228">
        <w:t>a</w:t>
      </w:r>
      <w:r>
        <w:t>,</w:t>
      </w:r>
      <w:r w:rsidR="00BD6228">
        <w:t xml:space="preserve"> had</w:t>
      </w:r>
      <w:r>
        <w:t xml:space="preserve"> the largest sensitivity to hydraulic fluid contamination </w:t>
      </w:r>
      <w:r w:rsidR="00BD6228">
        <w:t xml:space="preserve">when hydraulic fluid content was low.  </w:t>
      </w:r>
      <w:r w:rsidR="00150857">
        <w:t>Therefore, u</w:t>
      </w:r>
      <w:r w:rsidR="00BD6228">
        <w:t>tilizing higher fabrication pressures becomes necessary to minimize the effect of hydraulic fluid on flexural stiffness.  The stiffness reduction for epoxy resin (</w:t>
      </w:r>
      <w:r w:rsidR="00BD6228">
        <w:fldChar w:fldCharType="begin"/>
      </w:r>
      <w:r w:rsidR="00BD6228">
        <w:instrText xml:space="preserve"> REF _Ref344638521 \h </w:instrText>
      </w:r>
      <w:r w:rsidR="00BD6228">
        <w:fldChar w:fldCharType="separate"/>
      </w:r>
      <w:r w:rsidR="008A1992" w:rsidRPr="000C4E7E">
        <w:t xml:space="preserve">Figure </w:t>
      </w:r>
      <w:r w:rsidR="008A1992">
        <w:rPr>
          <w:noProof/>
        </w:rPr>
        <w:t>6</w:t>
      </w:r>
      <w:r w:rsidR="008A1992">
        <w:t>.</w:t>
      </w:r>
      <w:r w:rsidR="008A1992">
        <w:rPr>
          <w:noProof/>
        </w:rPr>
        <w:t>10</w:t>
      </w:r>
      <w:r w:rsidR="00BD6228">
        <w:fldChar w:fldCharType="end"/>
      </w:r>
      <w:r w:rsidR="00BD6228">
        <w:t>b) was not influenced significantly by varying hydraulic fluid contents.  The selected fabrication pressure dictates the percent reduction much more, evidenced by all laminates fabricated at 345 kPa and above having the largest percent reduction values</w:t>
      </w:r>
      <w:r>
        <w:t>.</w:t>
      </w:r>
    </w:p>
    <w:p w14:paraId="27221701" w14:textId="77777777" w:rsidR="00BD6228" w:rsidRDefault="00BD6228" w:rsidP="00BD6228">
      <w:pPr>
        <w:ind w:firstLine="360"/>
      </w:pPr>
    </w:p>
    <w:p w14:paraId="14917856" w14:textId="785255C9" w:rsidR="000C4E7E" w:rsidRDefault="002006ED" w:rsidP="000C4E7E">
      <w:pPr>
        <w:keepNext/>
        <w:jc w:val="center"/>
      </w:pPr>
      <w:r>
        <w:rPr>
          <w:noProof/>
        </w:rPr>
        <mc:AlternateContent>
          <mc:Choice Requires="wpg">
            <w:drawing>
              <wp:inline distT="0" distB="0" distL="0" distR="0" wp14:anchorId="09B209F7" wp14:editId="0E350BA5">
                <wp:extent cx="5363780" cy="2410460"/>
                <wp:effectExtent l="0" t="0" r="0" b="2540"/>
                <wp:docPr id="73" name="Group 14"/>
                <wp:cNvGraphicFramePr/>
                <a:graphic xmlns:a="http://schemas.openxmlformats.org/drawingml/2006/main">
                  <a:graphicData uri="http://schemas.microsoft.com/office/word/2010/wordprocessingGroup">
                    <wpg:wgp>
                      <wpg:cNvGrpSpPr/>
                      <wpg:grpSpPr>
                        <a:xfrm>
                          <a:off x="0" y="0"/>
                          <a:ext cx="5363780" cy="2410460"/>
                          <a:chOff x="0" y="0"/>
                          <a:chExt cx="5391720" cy="2377440"/>
                        </a:xfrm>
                      </wpg:grpSpPr>
                      <wpg:graphicFrame>
                        <wpg:cNvPr id="74" name="Chart 74"/>
                        <wpg:cNvFrPr>
                          <a:graphicFrameLocks/>
                        </wpg:cNvFrPr>
                        <wpg:xfrm>
                          <a:off x="0" y="0"/>
                          <a:ext cx="2697480" cy="2373207"/>
                        </wpg:xfrm>
                        <a:graphic>
                          <a:graphicData uri="http://schemas.openxmlformats.org/drawingml/2006/chart">
                            <c:chart xmlns:c="http://schemas.openxmlformats.org/drawingml/2006/chart" xmlns:r="http://schemas.openxmlformats.org/officeDocument/2006/relationships" r:id="rId196"/>
                          </a:graphicData>
                        </a:graphic>
                      </wpg:graphicFrame>
                      <wpg:graphicFrame>
                        <wpg:cNvPr id="75" name="Chart 75"/>
                        <wpg:cNvFrPr>
                          <a:graphicFrameLocks/>
                        </wpg:cNvFrPr>
                        <wpg:xfrm>
                          <a:off x="2698474" y="0"/>
                          <a:ext cx="2693246" cy="2377440"/>
                        </wpg:xfrm>
                        <a:graphic>
                          <a:graphicData uri="http://schemas.openxmlformats.org/drawingml/2006/chart">
                            <c:chart xmlns:c="http://schemas.openxmlformats.org/drawingml/2006/chart" xmlns:r="http://schemas.openxmlformats.org/officeDocument/2006/relationships" r:id="rId197"/>
                          </a:graphicData>
                        </a:graphic>
                      </wpg:graphicFrame>
                    </wpg:wgp>
                  </a:graphicData>
                </a:graphic>
              </wp:inline>
            </w:drawing>
          </mc:Choice>
          <mc:Fallback>
            <w:pict>
              <v:group id="Group 14" o:spid="_x0000_s1026" style="width:422.35pt;height:189.8pt;mso-position-horizontal-relative:char;mso-position-vertical-relative:line" coordsize="5391720,2377440" o:gfxdata="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">
                <v:shape id="Chart 74" o:spid="_x0000_s1027" type="#_x0000_t75" style="position:absolute;width:2696212;height:2374935;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">
                  <v:imagedata r:id="rId198" o:title=""/>
                  <o:lock v:ext="edit" aspectratio="f"/>
                </v:shape>
                <v:shape id="Chart 75" o:spid="_x0000_s1028" type="#_x0000_t75" style="position:absolute;left:2696212;width:2696212;height:2374935;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">
                  <v:imagedata r:id="rId199" o:title=""/>
                  <o:lock v:ext="edit" aspectratio="f"/>
                </v:shape>
                <w10:anchorlock/>
              </v:group>
            </w:pict>
          </mc:Fallback>
        </mc:AlternateContent>
      </w:r>
    </w:p>
    <w:p w14:paraId="7BDB8079" w14:textId="05571A69" w:rsidR="000C4E7E" w:rsidRDefault="000C4E7E" w:rsidP="000C4E7E">
      <w:pPr>
        <w:pStyle w:val="Caption"/>
        <w:spacing w:line="240" w:lineRule="auto"/>
        <w:jc w:val="center"/>
        <w:rPr>
          <w:sz w:val="24"/>
        </w:rPr>
      </w:pPr>
      <w:bookmarkStart w:id="306" w:name="_Ref344638521"/>
      <w:bookmarkStart w:id="307" w:name="_Toc346310458"/>
      <w:proofErr w:type="gramStart"/>
      <w:r w:rsidRPr="000C4E7E">
        <w:rPr>
          <w:sz w:val="24"/>
        </w:rPr>
        <w:t xml:space="preserve">Figure </w:t>
      </w:r>
      <w:r w:rsidR="00C16D85">
        <w:rPr>
          <w:sz w:val="24"/>
        </w:rPr>
        <w:fldChar w:fldCharType="begin"/>
      </w:r>
      <w:r w:rsidR="00C16D85">
        <w:rPr>
          <w:sz w:val="24"/>
        </w:rPr>
        <w:instrText xml:space="preserve"> STYLEREF 1 \s </w:instrText>
      </w:r>
      <w:r w:rsidR="00C16D85">
        <w:rPr>
          <w:sz w:val="24"/>
        </w:rPr>
        <w:fldChar w:fldCharType="separate"/>
      </w:r>
      <w:r w:rsidR="008A1992">
        <w:rPr>
          <w:noProof/>
          <w:sz w:val="24"/>
        </w:rPr>
        <w:t>6</w:t>
      </w:r>
      <w:r w:rsidR="00C16D85">
        <w:rPr>
          <w:sz w:val="24"/>
        </w:rPr>
        <w:fldChar w:fldCharType="end"/>
      </w:r>
      <w:r w:rsidR="00C16D85">
        <w:rPr>
          <w:sz w:val="24"/>
        </w:rPr>
        <w:t>.</w:t>
      </w:r>
      <w:proofErr w:type="gramEnd"/>
      <w:r w:rsidR="00C16D85">
        <w:rPr>
          <w:sz w:val="24"/>
        </w:rPr>
        <w:fldChar w:fldCharType="begin"/>
      </w:r>
      <w:r w:rsidR="00C16D85">
        <w:rPr>
          <w:sz w:val="24"/>
        </w:rPr>
        <w:instrText xml:space="preserve"> SEQ Figure \* ARABIC \s 1 </w:instrText>
      </w:r>
      <w:r w:rsidR="00C16D85">
        <w:rPr>
          <w:sz w:val="24"/>
        </w:rPr>
        <w:fldChar w:fldCharType="separate"/>
      </w:r>
      <w:r w:rsidR="008A1992">
        <w:rPr>
          <w:noProof/>
          <w:sz w:val="24"/>
        </w:rPr>
        <w:t>10</w:t>
      </w:r>
      <w:r w:rsidR="00C16D85">
        <w:rPr>
          <w:sz w:val="24"/>
        </w:rPr>
        <w:fldChar w:fldCharType="end"/>
      </w:r>
      <w:bookmarkEnd w:id="306"/>
      <w:r w:rsidRPr="000C4E7E">
        <w:rPr>
          <w:sz w:val="24"/>
        </w:rPr>
        <w:t xml:space="preserve"> Comparison of fabrication pressure and hydraulic fluid content on the flexural stiffness percent reduction for (a) Quartz/BMI, and (b) Quartz/EX-1522 epoxy</w:t>
      </w:r>
      <w:bookmarkEnd w:id="307"/>
    </w:p>
    <w:p w14:paraId="1DA8F7F4" w14:textId="77777777" w:rsidR="00D6082F" w:rsidRPr="00D6082F" w:rsidRDefault="00D6082F" w:rsidP="00D6082F"/>
    <w:p w14:paraId="6BC7CBCB" w14:textId="01B05F56" w:rsidR="00656FA9" w:rsidRDefault="00656FA9" w:rsidP="009F2D9D">
      <w:pPr>
        <w:pStyle w:val="Heading3"/>
      </w:pPr>
      <w:bookmarkStart w:id="308" w:name="_Toc346311037"/>
      <w:r>
        <w:t>Effect of Equilibrium Fluid Content on Flexural Strength Percent Reduction</w:t>
      </w:r>
      <w:bookmarkEnd w:id="308"/>
    </w:p>
    <w:p w14:paraId="498AF3CD" w14:textId="6044E571" w:rsidR="000C4E7E" w:rsidRDefault="00150857" w:rsidP="00150857">
      <w:pPr>
        <w:ind w:firstLine="360"/>
      </w:pPr>
      <w:r>
        <w:t xml:space="preserve">The effect of hydraulic fluid content on the laminate flexural strength percent reduction for varying humidity exposure levels is shown in </w:t>
      </w:r>
      <w:r>
        <w:fldChar w:fldCharType="begin"/>
      </w:r>
      <w:r>
        <w:instrText xml:space="preserve"> REF _Ref344639678 \h </w:instrText>
      </w:r>
      <w:r>
        <w:fldChar w:fldCharType="separate"/>
      </w:r>
      <w:r w:rsidR="008A1992" w:rsidRPr="000C4E7E">
        <w:t xml:space="preserve">Figure </w:t>
      </w:r>
      <w:r w:rsidR="008A1992">
        <w:rPr>
          <w:noProof/>
        </w:rPr>
        <w:t>6</w:t>
      </w:r>
      <w:r w:rsidR="008A1992">
        <w:t>.</w:t>
      </w:r>
      <w:r w:rsidR="008A1992">
        <w:rPr>
          <w:noProof/>
        </w:rPr>
        <w:t>11</w:t>
      </w:r>
      <w:r>
        <w:fldChar w:fldCharType="end"/>
      </w:r>
      <w:r>
        <w:t xml:space="preserve">.  </w:t>
      </w:r>
      <w:r w:rsidR="00D87C9D">
        <w:t>Although some specimens at low fluid contents had large reductions in flexural strength, the o</w:t>
      </w:r>
      <w:r>
        <w:t>verall</w:t>
      </w:r>
      <w:r w:rsidR="00D87C9D">
        <w:t xml:space="preserve"> trend observed for both resin materials was that</w:t>
      </w:r>
      <w:r>
        <w:t xml:space="preserve"> higher levels of hydraulic fluid content resulted in larger reductions in flexural strength</w:t>
      </w:r>
      <w:r w:rsidR="00D87C9D">
        <w:t xml:space="preserve">.  When hydraulic fluid content was greater than 5 %wt. </w:t>
      </w:r>
      <w:r>
        <w:t>all quartz/BMI laminates (</w:t>
      </w:r>
      <w:r w:rsidR="00D87C9D">
        <w:fldChar w:fldCharType="begin"/>
      </w:r>
      <w:r w:rsidR="00D87C9D">
        <w:instrText xml:space="preserve"> REF _Ref344639678 \h </w:instrText>
      </w:r>
      <w:r w:rsidR="00D87C9D">
        <w:fldChar w:fldCharType="separate"/>
      </w:r>
      <w:r w:rsidR="008A1992" w:rsidRPr="000C4E7E">
        <w:t xml:space="preserve">Figure </w:t>
      </w:r>
      <w:r w:rsidR="008A1992">
        <w:rPr>
          <w:noProof/>
        </w:rPr>
        <w:t>6</w:t>
      </w:r>
      <w:r w:rsidR="008A1992">
        <w:t>.</w:t>
      </w:r>
      <w:r w:rsidR="008A1992">
        <w:rPr>
          <w:noProof/>
        </w:rPr>
        <w:t>11</w:t>
      </w:r>
      <w:r w:rsidR="00D87C9D">
        <w:fldChar w:fldCharType="end"/>
      </w:r>
      <w:r>
        <w:t xml:space="preserve">a) had </w:t>
      </w:r>
      <w:r w:rsidR="00D87C9D">
        <w:t>strength</w:t>
      </w:r>
      <w:r>
        <w:t xml:space="preserve"> reductions </w:t>
      </w:r>
      <w:r w:rsidR="00D87C9D">
        <w:t>larger than 4.8%.</w:t>
      </w:r>
      <w:r>
        <w:t xml:space="preserve"> </w:t>
      </w:r>
      <w:r w:rsidR="00D87C9D">
        <w:t xml:space="preserve"> As hydraulic fluid content declined, the effect of hydraulic fluid on flexural strength also declined.  Wide variations for strength reduction were observed for</w:t>
      </w:r>
      <w:r>
        <w:t xml:space="preserve"> quartz/epoxy laminates (</w:t>
      </w:r>
      <w:r w:rsidR="00D87C9D">
        <w:fldChar w:fldCharType="begin"/>
      </w:r>
      <w:r w:rsidR="00D87C9D">
        <w:instrText xml:space="preserve"> REF _Ref344639678 \h </w:instrText>
      </w:r>
      <w:r w:rsidR="00D87C9D">
        <w:fldChar w:fldCharType="separate"/>
      </w:r>
      <w:r w:rsidR="008A1992" w:rsidRPr="000C4E7E">
        <w:t xml:space="preserve">Figure </w:t>
      </w:r>
      <w:r w:rsidR="008A1992">
        <w:rPr>
          <w:noProof/>
        </w:rPr>
        <w:t>6</w:t>
      </w:r>
      <w:r w:rsidR="008A1992">
        <w:t>.</w:t>
      </w:r>
      <w:r w:rsidR="008A1992">
        <w:rPr>
          <w:noProof/>
        </w:rPr>
        <w:t>11</w:t>
      </w:r>
      <w:r w:rsidR="00D87C9D">
        <w:fldChar w:fldCharType="end"/>
      </w:r>
      <w:r>
        <w:t>b)</w:t>
      </w:r>
      <w:r w:rsidR="00D87C9D">
        <w:t xml:space="preserve">, with no </w:t>
      </w:r>
      <w:r w:rsidR="009521CC">
        <w:t>significant</w:t>
      </w:r>
      <w:r w:rsidR="00D87C9D">
        <w:t xml:space="preserve"> discernible trends </w:t>
      </w:r>
      <w:r w:rsidR="009521CC">
        <w:t>resulting from</w:t>
      </w:r>
      <w:r w:rsidR="00D87C9D">
        <w:t xml:space="preserve"> varying fluid contents.  </w:t>
      </w:r>
      <w:r w:rsidR="009521CC">
        <w:t>The</w:t>
      </w:r>
      <w:r w:rsidR="00D87C9D">
        <w:t xml:space="preserve"> largest strength reductions </w:t>
      </w:r>
      <w:r w:rsidR="00D00F46">
        <w:t>were</w:t>
      </w:r>
      <w:r w:rsidR="00D87C9D">
        <w:t xml:space="preserve"> observed when</w:t>
      </w:r>
      <w:r>
        <w:t xml:space="preserve"> </w:t>
      </w:r>
      <w:r w:rsidR="00D00F46">
        <w:t>prepregs were conditioned at either 40% or 70% relative humidity.</w:t>
      </w:r>
    </w:p>
    <w:p w14:paraId="1BEC835F" w14:textId="77777777" w:rsidR="00150857" w:rsidRDefault="00150857" w:rsidP="00150857">
      <w:pPr>
        <w:ind w:firstLine="360"/>
      </w:pPr>
    </w:p>
    <w:p w14:paraId="6BF259E2" w14:textId="613CD55E" w:rsidR="000C4E7E" w:rsidRDefault="000C0CD5" w:rsidP="000C4E7E">
      <w:pPr>
        <w:keepNext/>
        <w:jc w:val="center"/>
      </w:pPr>
      <w:r>
        <w:rPr>
          <w:noProof/>
        </w:rPr>
        <mc:AlternateContent>
          <mc:Choice Requires="wpg">
            <w:drawing>
              <wp:inline distT="0" distB="0" distL="0" distR="0" wp14:anchorId="75D25A20" wp14:editId="083B10CE">
                <wp:extent cx="5366320" cy="2410460"/>
                <wp:effectExtent l="0" t="0" r="0" b="2540"/>
                <wp:docPr id="76" name="Group 20"/>
                <wp:cNvGraphicFramePr/>
                <a:graphic xmlns:a="http://schemas.openxmlformats.org/drawingml/2006/main">
                  <a:graphicData uri="http://schemas.microsoft.com/office/word/2010/wordprocessingGroup">
                    <wpg:wgp>
                      <wpg:cNvGrpSpPr/>
                      <wpg:grpSpPr>
                        <a:xfrm>
                          <a:off x="0" y="0"/>
                          <a:ext cx="5366320" cy="2410460"/>
                          <a:chOff x="0" y="0"/>
                          <a:chExt cx="5391720" cy="2377440"/>
                        </a:xfrm>
                      </wpg:grpSpPr>
                      <wpg:graphicFrame>
                        <wpg:cNvPr id="77" name="Chart 77"/>
                        <wpg:cNvFrPr>
                          <a:graphicFrameLocks/>
                        </wpg:cNvFrPr>
                        <wpg:xfrm>
                          <a:off x="0" y="0"/>
                          <a:ext cx="2697480" cy="2377440"/>
                        </wpg:xfrm>
                        <a:graphic>
                          <a:graphicData uri="http://schemas.openxmlformats.org/drawingml/2006/chart">
                            <c:chart xmlns:c="http://schemas.openxmlformats.org/drawingml/2006/chart" xmlns:r="http://schemas.openxmlformats.org/officeDocument/2006/relationships" r:id="rId200"/>
                          </a:graphicData>
                        </a:graphic>
                      </wpg:graphicFrame>
                      <wpg:graphicFrame>
                        <wpg:cNvPr id="91" name="Chart 91"/>
                        <wpg:cNvFrPr>
                          <a:graphicFrameLocks/>
                        </wpg:cNvFrPr>
                        <wpg:xfrm>
                          <a:off x="2698474" y="0"/>
                          <a:ext cx="2693246" cy="2377440"/>
                        </wpg:xfrm>
                        <a:graphic>
                          <a:graphicData uri="http://schemas.openxmlformats.org/drawingml/2006/chart">
                            <c:chart xmlns:c="http://schemas.openxmlformats.org/drawingml/2006/chart" xmlns:r="http://schemas.openxmlformats.org/officeDocument/2006/relationships" r:id="rId201"/>
                          </a:graphicData>
                        </a:graphic>
                      </wpg:graphicFrame>
                    </wpg:wgp>
                  </a:graphicData>
                </a:graphic>
              </wp:inline>
            </w:drawing>
          </mc:Choice>
          <mc:Fallback>
            <w:pict>
              <v:group id="Group 20" o:spid="_x0000_s1026" style="width:422.55pt;height:189.8pt;mso-position-horizontal-relative:char;mso-position-vertical-relative:line" coordsize="5391720,2377440" o:gfxdata="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">
                <v:shape id="Chart 77" o:spid="_x0000_s1027" type="#_x0000_t75" style="position:absolute;width:2694936;height:2374935;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">
                  <v:imagedata r:id="rId202" o:title=""/>
                  <o:lock v:ext="edit" aspectratio="f"/>
                </v:shape>
                <v:shape id="Chart 91" o:spid="_x0000_s1028" type="#_x0000_t75" style="position:absolute;left:2694936;width:2694936;height:2374935;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">
                  <v:imagedata r:id="rId203" o:title=""/>
                  <o:lock v:ext="edit" aspectratio="f"/>
                </v:shape>
                <w10:anchorlock/>
              </v:group>
            </w:pict>
          </mc:Fallback>
        </mc:AlternateContent>
      </w:r>
    </w:p>
    <w:p w14:paraId="72B7CB13" w14:textId="211D9D8C" w:rsidR="000C4E7E" w:rsidRPr="000C4E7E" w:rsidRDefault="000C4E7E" w:rsidP="000C4E7E">
      <w:pPr>
        <w:pStyle w:val="Caption"/>
        <w:spacing w:line="240" w:lineRule="auto"/>
        <w:jc w:val="center"/>
        <w:rPr>
          <w:sz w:val="24"/>
          <w:szCs w:val="24"/>
        </w:rPr>
      </w:pPr>
      <w:bookmarkStart w:id="309" w:name="_Ref344639678"/>
      <w:bookmarkStart w:id="310" w:name="_Toc346310459"/>
      <w:proofErr w:type="gramStart"/>
      <w:r w:rsidRPr="000C4E7E">
        <w:rPr>
          <w:sz w:val="24"/>
          <w:szCs w:val="24"/>
        </w:rPr>
        <w:t xml:space="preserve">Figure </w:t>
      </w:r>
      <w:r w:rsidR="00C16D85">
        <w:rPr>
          <w:sz w:val="24"/>
          <w:szCs w:val="24"/>
        </w:rPr>
        <w:fldChar w:fldCharType="begin"/>
      </w:r>
      <w:r w:rsidR="00C16D85">
        <w:rPr>
          <w:sz w:val="24"/>
          <w:szCs w:val="24"/>
        </w:rPr>
        <w:instrText xml:space="preserve"> STYLEREF 1 \s </w:instrText>
      </w:r>
      <w:r w:rsidR="00C16D85">
        <w:rPr>
          <w:sz w:val="24"/>
          <w:szCs w:val="24"/>
        </w:rPr>
        <w:fldChar w:fldCharType="separate"/>
      </w:r>
      <w:r w:rsidR="008A1992">
        <w:rPr>
          <w:noProof/>
          <w:sz w:val="24"/>
          <w:szCs w:val="24"/>
        </w:rPr>
        <w:t>6</w:t>
      </w:r>
      <w:r w:rsidR="00C16D85">
        <w:rPr>
          <w:sz w:val="24"/>
          <w:szCs w:val="24"/>
        </w:rPr>
        <w:fldChar w:fldCharType="end"/>
      </w:r>
      <w:r w:rsidR="00C16D85">
        <w:rPr>
          <w:sz w:val="24"/>
          <w:szCs w:val="24"/>
        </w:rPr>
        <w:t>.</w:t>
      </w:r>
      <w:proofErr w:type="gramEnd"/>
      <w:r w:rsidR="00C16D85">
        <w:rPr>
          <w:sz w:val="24"/>
          <w:szCs w:val="24"/>
        </w:rPr>
        <w:fldChar w:fldCharType="begin"/>
      </w:r>
      <w:r w:rsidR="00C16D85">
        <w:rPr>
          <w:sz w:val="24"/>
          <w:szCs w:val="24"/>
        </w:rPr>
        <w:instrText xml:space="preserve"> SEQ Figure \* ARABIC \s 1 </w:instrText>
      </w:r>
      <w:r w:rsidR="00C16D85">
        <w:rPr>
          <w:sz w:val="24"/>
          <w:szCs w:val="24"/>
        </w:rPr>
        <w:fldChar w:fldCharType="separate"/>
      </w:r>
      <w:r w:rsidR="008A1992">
        <w:rPr>
          <w:noProof/>
          <w:sz w:val="24"/>
          <w:szCs w:val="24"/>
        </w:rPr>
        <w:t>11</w:t>
      </w:r>
      <w:r w:rsidR="00C16D85">
        <w:rPr>
          <w:sz w:val="24"/>
          <w:szCs w:val="24"/>
        </w:rPr>
        <w:fldChar w:fldCharType="end"/>
      </w:r>
      <w:bookmarkEnd w:id="309"/>
      <w:r w:rsidRPr="000C4E7E">
        <w:rPr>
          <w:sz w:val="24"/>
          <w:szCs w:val="24"/>
        </w:rPr>
        <w:t xml:space="preserve"> Comparison of humidity exposure and hydraulic fluid content on the flexural strength percent reduction for (a) Quartz/BMI, and (b) Quartz/EX-1522 epoxy</w:t>
      </w:r>
      <w:bookmarkEnd w:id="310"/>
    </w:p>
    <w:p w14:paraId="5EE6AB8D" w14:textId="77777777" w:rsidR="000C4E7E" w:rsidRDefault="000C4E7E" w:rsidP="000C4E7E">
      <w:pPr>
        <w:jc w:val="center"/>
      </w:pPr>
    </w:p>
    <w:p w14:paraId="7853377F" w14:textId="7F755A9F" w:rsidR="00D00F46" w:rsidRDefault="00D00F46" w:rsidP="00D00F46">
      <w:pPr>
        <w:ind w:firstLine="360"/>
      </w:pPr>
      <w:r>
        <w:t xml:space="preserve">The effect of hydraulic fluid content on the laminate flexural strength percent reduction for varying fabrication pressures is shown in </w:t>
      </w:r>
      <w:r>
        <w:fldChar w:fldCharType="begin"/>
      </w:r>
      <w:r>
        <w:instrText xml:space="preserve"> REF _Ref344640610 \h </w:instrText>
      </w:r>
      <w:r>
        <w:fldChar w:fldCharType="separate"/>
      </w:r>
      <w:r w:rsidR="008A1992" w:rsidRPr="000C4E7E">
        <w:t xml:space="preserve">Figure </w:t>
      </w:r>
      <w:r w:rsidR="008A1992">
        <w:rPr>
          <w:noProof/>
        </w:rPr>
        <w:t>6</w:t>
      </w:r>
      <w:r w:rsidR="008A1992">
        <w:t>.</w:t>
      </w:r>
      <w:r w:rsidR="008A1992">
        <w:rPr>
          <w:noProof/>
        </w:rPr>
        <w:t>12</w:t>
      </w:r>
      <w:r>
        <w:fldChar w:fldCharType="end"/>
      </w:r>
      <w:r>
        <w:t xml:space="preserve">.  Both resin materials demonstrated the largest range in strength reductions when fluid content was low, which progressively narrowed as fluid content increased.  Overall, the effect of hydraulic fluid on flexural strength slightly increased as hydraulic fluid content increased.  Hydraulic fluid contamination affects for BMI resin, shown in </w:t>
      </w:r>
      <w:r>
        <w:fldChar w:fldCharType="begin"/>
      </w:r>
      <w:r>
        <w:instrText xml:space="preserve"> REF _Ref344640610 \h </w:instrText>
      </w:r>
      <w:r>
        <w:fldChar w:fldCharType="separate"/>
      </w:r>
      <w:r w:rsidR="008A1992" w:rsidRPr="000C4E7E">
        <w:t xml:space="preserve">Figure </w:t>
      </w:r>
      <w:r w:rsidR="008A1992">
        <w:rPr>
          <w:noProof/>
        </w:rPr>
        <w:t>6</w:t>
      </w:r>
      <w:r w:rsidR="008A1992">
        <w:t>.</w:t>
      </w:r>
      <w:r w:rsidR="008A1992">
        <w:rPr>
          <w:noProof/>
        </w:rPr>
        <w:t>12</w:t>
      </w:r>
      <w:r>
        <w:fldChar w:fldCharType="end"/>
      </w:r>
      <w:r>
        <w:t xml:space="preserve">a, were generally minimized when higher fabrication pressures (345 kPa and above) were used, which </w:t>
      </w:r>
      <w:r w:rsidR="009521CC">
        <w:t xml:space="preserve">also </w:t>
      </w:r>
      <w:r>
        <w:t>resulted in lower overall hydraulic fluid contents.  Hydraulic fluid affects on flexural strength for epoxy resin (</w:t>
      </w:r>
      <w:r>
        <w:fldChar w:fldCharType="begin"/>
      </w:r>
      <w:r>
        <w:instrText xml:space="preserve"> REF _Ref344640610 \h </w:instrText>
      </w:r>
      <w:r>
        <w:fldChar w:fldCharType="separate"/>
      </w:r>
      <w:r w:rsidR="008A1992" w:rsidRPr="000C4E7E">
        <w:t xml:space="preserve">Figure </w:t>
      </w:r>
      <w:r w:rsidR="008A1992">
        <w:rPr>
          <w:noProof/>
        </w:rPr>
        <w:t>6</w:t>
      </w:r>
      <w:r w:rsidR="008A1992">
        <w:t>.</w:t>
      </w:r>
      <w:r w:rsidR="008A1992">
        <w:rPr>
          <w:noProof/>
        </w:rPr>
        <w:t>12</w:t>
      </w:r>
      <w:r>
        <w:fldChar w:fldCharType="end"/>
      </w:r>
      <w:r>
        <w:t xml:space="preserve">b) increased substantially </w:t>
      </w:r>
      <w:r w:rsidR="00CF6540">
        <w:t xml:space="preserve">(0.0-14.3%) </w:t>
      </w:r>
      <w:r w:rsidR="009521CC">
        <w:t>as</w:t>
      </w:r>
      <w:r>
        <w:t xml:space="preserve"> hydraulic fluid content </w:t>
      </w:r>
      <w:r w:rsidR="009521CC">
        <w:t>increased to</w:t>
      </w:r>
      <w:r>
        <w:t xml:space="preserve"> 1.0 %wt.  </w:t>
      </w:r>
      <w:r w:rsidR="009521CC">
        <w:t xml:space="preserve">Meanwhile, </w:t>
      </w:r>
      <w:r w:rsidR="00CF6540">
        <w:t>hydraulic fluid content values</w:t>
      </w:r>
      <w:r w:rsidR="009521CC">
        <w:t xml:space="preserve"> greater than 1.0 %wt.</w:t>
      </w:r>
      <w:r w:rsidR="00CF6540">
        <w:t xml:space="preserve"> generally </w:t>
      </w:r>
      <w:r w:rsidR="009521CC">
        <w:t>did not degrade</w:t>
      </w:r>
      <w:r w:rsidR="00CF6540">
        <w:t xml:space="preserve"> the flexural strength by more than 9%.</w:t>
      </w:r>
    </w:p>
    <w:p w14:paraId="7844E438" w14:textId="7277145A" w:rsidR="000C4E7E" w:rsidRDefault="000C0CD5" w:rsidP="000C4E7E">
      <w:pPr>
        <w:keepNext/>
        <w:jc w:val="center"/>
      </w:pPr>
      <w:r>
        <w:rPr>
          <w:noProof/>
        </w:rPr>
        <mc:AlternateContent>
          <mc:Choice Requires="wpg">
            <w:drawing>
              <wp:inline distT="0" distB="0" distL="0" distR="0" wp14:anchorId="5D54BF9F" wp14:editId="17482B94">
                <wp:extent cx="5366320" cy="2407920"/>
                <wp:effectExtent l="0" t="0" r="0" b="5080"/>
                <wp:docPr id="92" name="Group 21"/>
                <wp:cNvGraphicFramePr/>
                <a:graphic xmlns:a="http://schemas.openxmlformats.org/drawingml/2006/main">
                  <a:graphicData uri="http://schemas.microsoft.com/office/word/2010/wordprocessingGroup">
                    <wpg:wgp>
                      <wpg:cNvGrpSpPr/>
                      <wpg:grpSpPr>
                        <a:xfrm>
                          <a:off x="0" y="0"/>
                          <a:ext cx="5366320" cy="2407920"/>
                          <a:chOff x="0" y="0"/>
                          <a:chExt cx="5391720" cy="2377440"/>
                        </a:xfrm>
                      </wpg:grpSpPr>
                      <wpg:graphicFrame>
                        <wpg:cNvPr id="93" name="Chart 93"/>
                        <wpg:cNvFrPr>
                          <a:graphicFrameLocks/>
                        </wpg:cNvFrPr>
                        <wpg:xfrm>
                          <a:off x="0" y="0"/>
                          <a:ext cx="2697480" cy="2373207"/>
                        </wpg:xfrm>
                        <a:graphic>
                          <a:graphicData uri="http://schemas.openxmlformats.org/drawingml/2006/chart">
                            <c:chart xmlns:c="http://schemas.openxmlformats.org/drawingml/2006/chart" xmlns:r="http://schemas.openxmlformats.org/officeDocument/2006/relationships" r:id="rId204"/>
                          </a:graphicData>
                        </a:graphic>
                      </wpg:graphicFrame>
                      <wpg:graphicFrame>
                        <wpg:cNvPr id="297" name="Chart 297"/>
                        <wpg:cNvFrPr>
                          <a:graphicFrameLocks/>
                        </wpg:cNvFrPr>
                        <wpg:xfrm>
                          <a:off x="2698474" y="0"/>
                          <a:ext cx="2693246" cy="2377440"/>
                        </wpg:xfrm>
                        <a:graphic>
                          <a:graphicData uri="http://schemas.openxmlformats.org/drawingml/2006/chart">
                            <c:chart xmlns:c="http://schemas.openxmlformats.org/drawingml/2006/chart" xmlns:r="http://schemas.openxmlformats.org/officeDocument/2006/relationships" r:id="rId205"/>
                          </a:graphicData>
                        </a:graphic>
                      </wpg:graphicFrame>
                    </wpg:wgp>
                  </a:graphicData>
                </a:graphic>
              </wp:inline>
            </w:drawing>
          </mc:Choice>
          <mc:Fallback>
            <w:pict>
              <v:group id="Group 21" o:spid="_x0000_s1026" style="width:422.55pt;height:189.6pt;mso-position-horizontal-relative:char;mso-position-vertical-relative:line" coordsize="5391720,2377440" o:gfxdata="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">
                <v:shape id="Chart 93" o:spid="_x0000_s1027" type="#_x0000_t75" style="position:absolute;width:2694936;height:2371421;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">
                  <v:imagedata r:id="rId206" o:title=""/>
                  <o:lock v:ext="edit" aspectratio="f"/>
                </v:shape>
                <v:shape id="Chart 297" o:spid="_x0000_s1028" type="#_x0000_t75" style="position:absolute;left:2694936;width:2694936;height:23774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">
                  <v:imagedata r:id="rId207" o:title=""/>
                  <o:lock v:ext="edit" aspectratio="f"/>
                </v:shape>
                <w10:anchorlock/>
              </v:group>
            </w:pict>
          </mc:Fallback>
        </mc:AlternateContent>
      </w:r>
    </w:p>
    <w:p w14:paraId="39309113" w14:textId="46BC870F" w:rsidR="000C4E7E" w:rsidRDefault="000C4E7E" w:rsidP="000C4E7E">
      <w:pPr>
        <w:pStyle w:val="Caption"/>
        <w:spacing w:line="240" w:lineRule="auto"/>
        <w:jc w:val="center"/>
        <w:rPr>
          <w:sz w:val="24"/>
          <w:szCs w:val="24"/>
        </w:rPr>
      </w:pPr>
      <w:bookmarkStart w:id="311" w:name="_Ref344640610"/>
      <w:bookmarkStart w:id="312" w:name="_Toc346310460"/>
      <w:proofErr w:type="gramStart"/>
      <w:r w:rsidRPr="000C4E7E">
        <w:rPr>
          <w:sz w:val="24"/>
          <w:szCs w:val="24"/>
        </w:rPr>
        <w:t xml:space="preserve">Figure </w:t>
      </w:r>
      <w:r w:rsidR="00C16D85">
        <w:rPr>
          <w:sz w:val="24"/>
          <w:szCs w:val="24"/>
        </w:rPr>
        <w:fldChar w:fldCharType="begin"/>
      </w:r>
      <w:r w:rsidR="00C16D85">
        <w:rPr>
          <w:sz w:val="24"/>
          <w:szCs w:val="24"/>
        </w:rPr>
        <w:instrText xml:space="preserve"> STYLEREF 1 \s </w:instrText>
      </w:r>
      <w:r w:rsidR="00C16D85">
        <w:rPr>
          <w:sz w:val="24"/>
          <w:szCs w:val="24"/>
        </w:rPr>
        <w:fldChar w:fldCharType="separate"/>
      </w:r>
      <w:r w:rsidR="008A1992">
        <w:rPr>
          <w:noProof/>
          <w:sz w:val="24"/>
          <w:szCs w:val="24"/>
        </w:rPr>
        <w:t>6</w:t>
      </w:r>
      <w:r w:rsidR="00C16D85">
        <w:rPr>
          <w:sz w:val="24"/>
          <w:szCs w:val="24"/>
        </w:rPr>
        <w:fldChar w:fldCharType="end"/>
      </w:r>
      <w:r w:rsidR="00C16D85">
        <w:rPr>
          <w:sz w:val="24"/>
          <w:szCs w:val="24"/>
        </w:rPr>
        <w:t>.</w:t>
      </w:r>
      <w:proofErr w:type="gramEnd"/>
      <w:r w:rsidR="00C16D85">
        <w:rPr>
          <w:sz w:val="24"/>
          <w:szCs w:val="24"/>
        </w:rPr>
        <w:fldChar w:fldCharType="begin"/>
      </w:r>
      <w:r w:rsidR="00C16D85">
        <w:rPr>
          <w:sz w:val="24"/>
          <w:szCs w:val="24"/>
        </w:rPr>
        <w:instrText xml:space="preserve"> SEQ Figure \* ARABIC \s 1 </w:instrText>
      </w:r>
      <w:r w:rsidR="00C16D85">
        <w:rPr>
          <w:sz w:val="24"/>
          <w:szCs w:val="24"/>
        </w:rPr>
        <w:fldChar w:fldCharType="separate"/>
      </w:r>
      <w:r w:rsidR="008A1992">
        <w:rPr>
          <w:noProof/>
          <w:sz w:val="24"/>
          <w:szCs w:val="24"/>
        </w:rPr>
        <w:t>12</w:t>
      </w:r>
      <w:r w:rsidR="00C16D85">
        <w:rPr>
          <w:sz w:val="24"/>
          <w:szCs w:val="24"/>
        </w:rPr>
        <w:fldChar w:fldCharType="end"/>
      </w:r>
      <w:bookmarkEnd w:id="311"/>
      <w:r w:rsidRPr="000C4E7E">
        <w:rPr>
          <w:sz w:val="24"/>
          <w:szCs w:val="24"/>
        </w:rPr>
        <w:t xml:space="preserve"> Comparison of fabrication pressure and hydraulic fluid content on the flexural strength percent reduction for (a) Quartz/BMI, and (b) Quartz/EX-1522 epoxy</w:t>
      </w:r>
      <w:bookmarkEnd w:id="312"/>
    </w:p>
    <w:p w14:paraId="0FF67C4F" w14:textId="77777777" w:rsidR="000C4E7E" w:rsidRPr="000C4E7E" w:rsidRDefault="000C4E7E" w:rsidP="000C4E7E"/>
    <w:p w14:paraId="40260FCC" w14:textId="77777777" w:rsidR="00293F4D" w:rsidRDefault="00293F4D" w:rsidP="00293F4D">
      <w:pPr>
        <w:pStyle w:val="Heading2"/>
      </w:pPr>
      <w:bookmarkStart w:id="313" w:name="_Toc346311038"/>
      <w:r>
        <w:t>summary</w:t>
      </w:r>
      <w:r w:rsidR="00D50B07">
        <w:t xml:space="preserve"> of </w:t>
      </w:r>
      <w:r w:rsidR="00727B49">
        <w:t>Hydraulic Fluid</w:t>
      </w:r>
      <w:r w:rsidR="00F72BA0">
        <w:t xml:space="preserve"> Contamination Effect on Laminate Flexur</w:t>
      </w:r>
      <w:r w:rsidR="00727B49">
        <w:t>al</w:t>
      </w:r>
      <w:r w:rsidR="00F72BA0">
        <w:t xml:space="preserve"> Properties Chapter</w:t>
      </w:r>
      <w:bookmarkEnd w:id="313"/>
    </w:p>
    <w:p w14:paraId="6A8C08DC" w14:textId="5422819E" w:rsidR="00D90CF3" w:rsidRDefault="001F4C94" w:rsidP="00CF6540">
      <w:pPr>
        <w:ind w:firstLine="360"/>
        <w:rPr>
          <w:rFonts w:cs="Arial"/>
          <w:bCs/>
          <w:caps/>
          <w:kern w:val="32"/>
          <w:sz w:val="28"/>
          <w:szCs w:val="32"/>
        </w:rPr>
      </w:pPr>
      <w:r>
        <w:t>The effect of long-term hydraulic fluid contamination on the flexural stiffness and</w:t>
      </w:r>
      <w:r w:rsidR="00150857">
        <w:t xml:space="preserve"> flexural</w:t>
      </w:r>
      <w:r>
        <w:t xml:space="preserve"> strength</w:t>
      </w:r>
      <w:r w:rsidR="00150857">
        <w:t xml:space="preserve"> for</w:t>
      </w:r>
      <w:r>
        <w:t xml:space="preserve"> quartz-reinforced laminates was introduced.  Specimens were </w:t>
      </w:r>
      <w:r w:rsidR="009272B7">
        <w:t xml:space="preserve">immersed in hydraulic fluid </w:t>
      </w:r>
      <w:r w:rsidR="00150857">
        <w:t xml:space="preserve">for 21 months </w:t>
      </w:r>
      <w:r w:rsidR="009272B7">
        <w:t>until saturation was achieved and</w:t>
      </w:r>
      <w:r w:rsidR="00150857">
        <w:t xml:space="preserve"> validated with diffusion model predictions</w:t>
      </w:r>
      <w:r w:rsidR="009272B7">
        <w:t xml:space="preserve">.  Long-term hydraulic fluid exposure resulted in a reduction in flexural stiffness of no more than 9% for BMI </w:t>
      </w:r>
      <w:r w:rsidR="00150857">
        <w:t xml:space="preserve">resin </w:t>
      </w:r>
      <w:r w:rsidR="009272B7">
        <w:t>and</w:t>
      </w:r>
      <w:r w:rsidR="00150857">
        <w:t xml:space="preserve"> less than 5% for</w:t>
      </w:r>
      <w:r w:rsidR="009272B7">
        <w:t xml:space="preserve"> epoxy </w:t>
      </w:r>
      <w:r w:rsidR="00150857">
        <w:t>resin</w:t>
      </w:r>
      <w:r w:rsidR="009272B7">
        <w:t>.  With regards to flexural strength, BMI was slightly more resilient when compared to the epoxy matrix laminates.  Strength reductions for BMI were no more than 8%, whereas the epoxy laminates were closer to 15%.</w:t>
      </w:r>
      <w:r w:rsidR="00CF6540">
        <w:t xml:space="preserve">  Generally</w:t>
      </w:r>
      <w:r w:rsidR="009521CC">
        <w:t>,</w:t>
      </w:r>
      <w:r w:rsidR="00CF6540">
        <w:t xml:space="preserve"> there was not a discernible trend with regards to varying hydraulic fluid content levels on flexural stiffness.  As fabrication pressure seemed to be the driving force for altering the flexural stiffness.  Meanwhile, the effect of hydraulic fluid contamination on flexural strength increased as hydraulic fluid content increased for both resin materials.</w:t>
      </w:r>
      <w:r w:rsidR="00D90CF3">
        <w:br w:type="page"/>
      </w:r>
    </w:p>
    <w:p w14:paraId="193CD530" w14:textId="77777777" w:rsidR="0029124B" w:rsidRDefault="0029124B" w:rsidP="0029124B">
      <w:pPr>
        <w:pStyle w:val="Heading1"/>
        <w:numPr>
          <w:ilvl w:val="0"/>
          <w:numId w:val="0"/>
        </w:numPr>
        <w:ind w:left="432"/>
      </w:pPr>
      <w:bookmarkStart w:id="314" w:name="_Toc464644114"/>
      <w:bookmarkStart w:id="315" w:name="_Toc465250324"/>
      <w:bookmarkStart w:id="316" w:name="_Toc345066628"/>
      <w:bookmarkStart w:id="317" w:name="_Toc346311039"/>
      <w:r>
        <w:t xml:space="preserve">chapter </w:t>
      </w:r>
      <w:bookmarkEnd w:id="314"/>
      <w:bookmarkEnd w:id="315"/>
      <w:r w:rsidR="00A53241">
        <w:t>7</w:t>
      </w:r>
      <w:bookmarkEnd w:id="316"/>
      <w:bookmarkEnd w:id="317"/>
    </w:p>
    <w:p w14:paraId="4DCB502E" w14:textId="77777777" w:rsidR="00F81A21" w:rsidRDefault="00F81A21" w:rsidP="00F81A21">
      <w:pPr>
        <w:pStyle w:val="Heading1"/>
      </w:pPr>
      <w:bookmarkStart w:id="318" w:name="_Ref464565379"/>
      <w:bookmarkStart w:id="319" w:name="_Toc346311040"/>
      <w:r>
        <w:t>Concluding Remarks</w:t>
      </w:r>
      <w:r w:rsidR="00F72BA0">
        <w:t xml:space="preserve"> and Recommendations</w:t>
      </w:r>
      <w:bookmarkEnd w:id="318"/>
      <w:bookmarkEnd w:id="319"/>
    </w:p>
    <w:p w14:paraId="0BCFC1F7" w14:textId="77777777" w:rsidR="00D825AE" w:rsidRPr="00D825AE" w:rsidRDefault="00D825AE" w:rsidP="00D825AE"/>
    <w:p w14:paraId="3C50DE9F" w14:textId="77777777" w:rsidR="00F81A21" w:rsidRDefault="00F81A21" w:rsidP="00F81A21">
      <w:pPr>
        <w:pStyle w:val="Heading2"/>
      </w:pPr>
      <w:bookmarkStart w:id="320" w:name="_Toc346311041"/>
      <w:r>
        <w:t xml:space="preserve">Summary of </w:t>
      </w:r>
      <w:r w:rsidR="007A7143">
        <w:t>Dissertation</w:t>
      </w:r>
      <w:bookmarkEnd w:id="320"/>
    </w:p>
    <w:p w14:paraId="6D0A3430" w14:textId="139200A1" w:rsidR="00BB7F69" w:rsidRDefault="00BB7F69" w:rsidP="00BB7F69">
      <w:pPr>
        <w:ind w:firstLine="360"/>
      </w:pPr>
      <w:r>
        <w:t xml:space="preserve">Process-induced defects of composite laminates are often complex in nature and can have a detrimental and varying effect on </w:t>
      </w:r>
      <w:r w:rsidR="0082168F">
        <w:t>expected performance of components</w:t>
      </w:r>
      <w:r>
        <w:t xml:space="preserve">.  </w:t>
      </w:r>
      <w:r w:rsidR="00CF3D21">
        <w:t>The following t</w:t>
      </w:r>
      <w:r>
        <w:t>wo processing parameters that drive process-induced defects were examined in this research</w:t>
      </w:r>
      <w:r w:rsidR="00CF3D21">
        <w:t>:</w:t>
      </w:r>
      <w:r>
        <w:t xml:space="preserve"> </w:t>
      </w:r>
      <w:r w:rsidR="00CF3D21">
        <w:t>(</w:t>
      </w:r>
      <w:r>
        <w:t xml:space="preserve">1) the moisture content present in composite prepregs prior to laminate cure, and </w:t>
      </w:r>
      <w:r w:rsidR="00CF3D21">
        <w:t>(</w:t>
      </w:r>
      <w:r>
        <w:t xml:space="preserve">2) the cure pressure used to fabricate laminates.  </w:t>
      </w:r>
      <w:r w:rsidR="00133AA9">
        <w:t>Although o</w:t>
      </w:r>
      <w:r>
        <w:t>perational procedures such as storing prepregs in a dry environment and utilizing substantially high cure pressures will minimize process-induced defects</w:t>
      </w:r>
      <w:r w:rsidR="00133AA9">
        <w:t>,</w:t>
      </w:r>
      <w:r>
        <w:t xml:space="preserve"> maintaining such restrictive requirements on the laminate fabrication procedure can often be</w:t>
      </w:r>
      <w:r w:rsidR="0082168F">
        <w:t xml:space="preserve"> cost prohibitive and</w:t>
      </w:r>
      <w:r>
        <w:t xml:space="preserve"> </w:t>
      </w:r>
      <w:r w:rsidR="00133AA9">
        <w:t>impractical</w:t>
      </w:r>
      <w:r>
        <w:t xml:space="preserve">.  </w:t>
      </w:r>
      <w:r w:rsidR="00133AA9">
        <w:t xml:space="preserve">Even when prepregs are stored in vacuum-sealed barriers and at low temperatures, the prepreg moisture content can vary due to changes in the ambient humidity of the storage or fabrication environment.  </w:t>
      </w:r>
      <w:r>
        <w:t xml:space="preserve">Because components fabricated using prepregs are cured at high temperatures, any moisture </w:t>
      </w:r>
      <w:r w:rsidR="00133AA9">
        <w:t>present will</w:t>
      </w:r>
      <w:r>
        <w:t xml:space="preserve"> vaporize during the curing process and </w:t>
      </w:r>
      <w:r w:rsidR="00133AA9">
        <w:t>form</w:t>
      </w:r>
      <w:r>
        <w:t xml:space="preserve"> microvoids.  This is particularly true for fabrication methods utilizing low cure pressures or without vacuum-assistance, as laminates produced under these scenarios are more susceptible to remainin</w:t>
      </w:r>
      <w:r w:rsidR="00133AA9">
        <w:t>g volatiles, such as microvoids</w:t>
      </w:r>
      <w:r>
        <w:t>.</w:t>
      </w:r>
    </w:p>
    <w:p w14:paraId="3B80F5DF" w14:textId="27E8FE80" w:rsidR="00BB7F69" w:rsidRDefault="00133AA9" w:rsidP="00BB7F69">
      <w:pPr>
        <w:ind w:firstLine="360"/>
      </w:pPr>
      <w:r>
        <w:t>As technology improves, c</w:t>
      </w:r>
      <w:r w:rsidR="00BB7F69">
        <w:t xml:space="preserve">omposite structures are being implemented into </w:t>
      </w:r>
      <w:r>
        <w:t xml:space="preserve">many non-structural applications for the aerospace industry due to their customization and lightweight potential.  Examples of nonstructural components include </w:t>
      </w:r>
      <w:r w:rsidR="00BB7F69">
        <w:t xml:space="preserve">engine cowlings, panels, and radomes. </w:t>
      </w:r>
      <w:r w:rsidR="002211A8">
        <w:t xml:space="preserve"> Nonstructural components</w:t>
      </w:r>
      <w:r w:rsidR="00BB7F69">
        <w:t xml:space="preserve"> have flexibility in the manufacturing process by utilizing less costly, low-pressure methods such as vacuum-bagging or heated compression</w:t>
      </w:r>
      <w:r w:rsidR="002211A8">
        <w:t>.</w:t>
      </w:r>
      <w:r w:rsidR="00BB7F69">
        <w:t xml:space="preserve">  </w:t>
      </w:r>
      <w:r w:rsidR="008A136B">
        <w:t>However, l</w:t>
      </w:r>
      <w:r w:rsidR="00BB7F69">
        <w:t>ow-pressure fabrication methods are more susceptible to higher void fraction</w:t>
      </w:r>
      <w:r w:rsidR="008A136B">
        <w:t>s</w:t>
      </w:r>
      <w:r w:rsidR="00BB7F69">
        <w:t xml:space="preserve"> due to possible presence of moisture absor</w:t>
      </w:r>
      <w:r w:rsidR="008A136B">
        <w:t>bed by the prepregs before cure</w:t>
      </w:r>
      <w:r w:rsidR="00BB7F69">
        <w:t xml:space="preserve">.  The relative humidity environment of prepregs in storage or during the lay-up process can contribute to the prepreg moisture content.  The local humidity environment may not be actively monitored or controlled at composite manufacturing facilities.  </w:t>
      </w:r>
      <w:r w:rsidR="008A136B">
        <w:t xml:space="preserve">During routine operation, aerospace structures are frequently exposed to a variety of liquid contaminants, such as hydraulic fluid.  </w:t>
      </w:r>
      <w:r w:rsidR="00BB7F69">
        <w:t>Additionally, composite materials are increasingly being utilized in systems that require a long service-life with minimal repair and maintenance downtime. Therefore, it is becoming increasingly important to accurately characterize the effect of process-induced defects and</w:t>
      </w:r>
      <w:r w:rsidR="008A136B">
        <w:t xml:space="preserve"> </w:t>
      </w:r>
      <w:r w:rsidR="00BB7F69">
        <w:t>liquid contamination</w:t>
      </w:r>
      <w:r w:rsidR="008A136B">
        <w:t xml:space="preserve"> on the long-term durability of composite materials</w:t>
      </w:r>
      <w:r w:rsidR="00BB7F69">
        <w:t>.</w:t>
      </w:r>
    </w:p>
    <w:p w14:paraId="43391C0B" w14:textId="2D5825A4" w:rsidR="00BB7F69" w:rsidRDefault="00BB7F69" w:rsidP="008A136B">
      <w:pPr>
        <w:ind w:firstLine="360"/>
      </w:pPr>
      <w:r w:rsidRPr="003B1AAD">
        <w:t xml:space="preserve">High-performance composite </w:t>
      </w:r>
      <w:r>
        <w:t>materials</w:t>
      </w:r>
      <w:r w:rsidRPr="003B1AAD">
        <w:t xml:space="preserve"> are typically used in a variety of aerospace and space structures, including radomes, antenna reflectors, and low observable radar transparent structures.</w:t>
      </w:r>
      <w:r>
        <w:t xml:space="preserve">  Bismaleimide (BMI) resin with Quartz (AQ581) fiber reinforcement is one such high-performance composite material that was developed to overcome existing limitations for use on complex structures and ducting in advanced military aircraft, helicopters, and many high temperature applications.  Quartz/BMI has a high glass transition temperature, with superior burn characteristics and excellent electrical properties, making it an ideal candidate for radomes and other electronic applications.  Another high-performance composite material is EX-1522 epoxy resin system that has been reinforced with either quartz AQIII or carbon IM7 fibers.  EX-1522 is a modified and toughened upgrade for high performance applications over traditional epoxy resin systems.  This material displays both excellent mechanical and thermal properties, in addition to a low propensity to absorb </w:t>
      </w:r>
      <w:r w:rsidR="003D0961">
        <w:t>liquids</w:t>
      </w:r>
      <w:r>
        <w:t>.  EX-1522’s has good electrical properties, making it a low cost option for radomes, antenna, and other critical electrical applications.</w:t>
      </w:r>
    </w:p>
    <w:p w14:paraId="4EC18BD6" w14:textId="7EDF96BD" w:rsidR="00A513F6" w:rsidRDefault="00A513F6" w:rsidP="00A513F6">
      <w:pPr>
        <w:ind w:firstLine="360"/>
      </w:pPr>
      <w:r>
        <w:t xml:space="preserve">The research presented in this dissertation was formulated to address numerous gaps identified in literature.  </w:t>
      </w:r>
      <w:r w:rsidR="003D0961">
        <w:t>The f</w:t>
      </w:r>
      <w:r>
        <w:t xml:space="preserve">irst </w:t>
      </w:r>
      <w:r w:rsidR="00CF3D21">
        <w:t xml:space="preserve">objective </w:t>
      </w:r>
      <w:r>
        <w:t>was to examine the coupled effect of prepreg humidity exposure and fabrication pressure on the formation of microvoids and laminate mechanical properties.  Although the effect of processing conditions on the formation of microvoids and mechanical properties have</w:t>
      </w:r>
      <w:r w:rsidR="0061602F">
        <w:t xml:space="preserve"> been studied extensively</w:t>
      </w:r>
      <w:r>
        <w:t xml:space="preserve">, a detailed study that independently varies the void </w:t>
      </w:r>
      <w:r w:rsidR="00B019BC">
        <w:t xml:space="preserve">volume </w:t>
      </w:r>
      <w:r>
        <w:t>fraction by varying the moisture in prepregs before cure and the fiber volume fraction by varying the fabrication pressure has not been reported.  The second gap was to examine the effect of long-term hydraulic fluid contamination on the performance of aerospace-grade composite laminates.  Addressing these gaps in a comprehensive way could be useful in the design or manufacturing stage and assist in understanding the effect of processing conditions and hydraulic fluid contamination on high-performance, aerospace-grade composites.  Therefore, the following research objectives were identified:</w:t>
      </w:r>
    </w:p>
    <w:p w14:paraId="373805E6" w14:textId="77777777" w:rsidR="0093682D" w:rsidRDefault="0093682D" w:rsidP="00A513F6">
      <w:pPr>
        <w:ind w:firstLine="360"/>
      </w:pPr>
    </w:p>
    <w:p w14:paraId="36EC25E9" w14:textId="1E2A5670" w:rsidR="00B019BC" w:rsidRDefault="0079301E" w:rsidP="00B019BC">
      <w:pPr>
        <w:pStyle w:val="ListParagraph"/>
        <w:numPr>
          <w:ilvl w:val="0"/>
          <w:numId w:val="21"/>
        </w:numPr>
      </w:pPr>
      <w:r w:rsidRPr="00DD628F">
        <w:rPr>
          <w:b/>
          <w:i/>
          <w:u w:val="single"/>
        </w:rPr>
        <w:t xml:space="preserve">Research </w:t>
      </w:r>
      <w:r w:rsidR="00A513F6">
        <w:rPr>
          <w:b/>
          <w:i/>
          <w:u w:val="single"/>
        </w:rPr>
        <w:t>Objective</w:t>
      </w:r>
      <w:r w:rsidRPr="00DD628F">
        <w:rPr>
          <w:b/>
          <w:i/>
          <w:u w:val="single"/>
        </w:rPr>
        <w:t xml:space="preserve"> 1:</w:t>
      </w:r>
      <w:r>
        <w:t xml:space="preserve">  </w:t>
      </w:r>
      <w:r w:rsidR="00A513F6">
        <w:rPr>
          <w:i/>
        </w:rPr>
        <w:t>Coupled effect of varying prepreg humidity exposure level and fabrication pressure on the laminate fiber volume fraction and void formation for aerospace-grade composite prepregs</w:t>
      </w:r>
    </w:p>
    <w:p w14:paraId="3502285C" w14:textId="74FFF479" w:rsidR="0079301E" w:rsidRDefault="0079301E" w:rsidP="0079301E">
      <w:pPr>
        <w:pStyle w:val="ListParagraph"/>
        <w:numPr>
          <w:ilvl w:val="0"/>
          <w:numId w:val="21"/>
        </w:numPr>
      </w:pPr>
      <w:r w:rsidRPr="00DD628F">
        <w:rPr>
          <w:b/>
          <w:i/>
          <w:u w:val="single"/>
        </w:rPr>
        <w:t xml:space="preserve">Research </w:t>
      </w:r>
      <w:r w:rsidR="00A513F6">
        <w:rPr>
          <w:b/>
          <w:i/>
          <w:u w:val="single"/>
        </w:rPr>
        <w:t>Objective</w:t>
      </w:r>
      <w:r w:rsidRPr="00DD628F">
        <w:rPr>
          <w:b/>
          <w:i/>
          <w:u w:val="single"/>
        </w:rPr>
        <w:t xml:space="preserve"> 2:</w:t>
      </w:r>
      <w:r>
        <w:t xml:space="preserve">  </w:t>
      </w:r>
      <w:r w:rsidR="00A513F6">
        <w:rPr>
          <w:i/>
        </w:rPr>
        <w:t>In addition to fiber volume fraction and void</w:t>
      </w:r>
      <w:r w:rsidR="00B019BC">
        <w:rPr>
          <w:i/>
        </w:rPr>
        <w:t xml:space="preserve"> volume</w:t>
      </w:r>
      <w:r w:rsidR="00A513F6">
        <w:rPr>
          <w:i/>
        </w:rPr>
        <w:t xml:space="preserve"> fraction, effect of prepreg</w:t>
      </w:r>
      <w:r w:rsidR="00A513F6" w:rsidRPr="00275102">
        <w:rPr>
          <w:i/>
        </w:rPr>
        <w:t xml:space="preserve"> humidity exposure</w:t>
      </w:r>
      <w:r w:rsidR="00A513F6">
        <w:rPr>
          <w:i/>
        </w:rPr>
        <w:t xml:space="preserve"> level</w:t>
      </w:r>
      <w:r w:rsidR="00A513F6" w:rsidRPr="00275102">
        <w:rPr>
          <w:i/>
        </w:rPr>
        <w:t xml:space="preserve"> and fabrication</w:t>
      </w:r>
      <w:r w:rsidR="00A513F6">
        <w:rPr>
          <w:i/>
        </w:rPr>
        <w:t xml:space="preserve"> </w:t>
      </w:r>
      <w:r w:rsidR="00A513F6" w:rsidRPr="00275102">
        <w:rPr>
          <w:i/>
        </w:rPr>
        <w:t xml:space="preserve">pressure </w:t>
      </w:r>
      <w:r w:rsidR="00A513F6">
        <w:rPr>
          <w:i/>
        </w:rPr>
        <w:t xml:space="preserve">on </w:t>
      </w:r>
      <w:r w:rsidR="00A513F6" w:rsidRPr="00275102">
        <w:rPr>
          <w:i/>
        </w:rPr>
        <w:t>the laminate</w:t>
      </w:r>
      <w:r w:rsidR="00A513F6">
        <w:rPr>
          <w:i/>
        </w:rPr>
        <w:t xml:space="preserve"> flexural stiffness, flexural strength, and hydraulic fluid absorption behavior</w:t>
      </w:r>
    </w:p>
    <w:p w14:paraId="0B9E6008" w14:textId="3F2492F3" w:rsidR="00B33A3F" w:rsidRPr="00DD628F" w:rsidRDefault="00B33A3F" w:rsidP="0079301E">
      <w:pPr>
        <w:pStyle w:val="ListParagraph"/>
        <w:numPr>
          <w:ilvl w:val="0"/>
          <w:numId w:val="21"/>
        </w:numPr>
      </w:pPr>
      <w:r w:rsidRPr="00DD628F">
        <w:rPr>
          <w:b/>
          <w:i/>
          <w:u w:val="single"/>
        </w:rPr>
        <w:t xml:space="preserve">Research </w:t>
      </w:r>
      <w:r w:rsidR="00A513F6">
        <w:rPr>
          <w:b/>
          <w:i/>
          <w:u w:val="single"/>
        </w:rPr>
        <w:t>Objective</w:t>
      </w:r>
      <w:r w:rsidRPr="00DD628F">
        <w:rPr>
          <w:b/>
          <w:i/>
          <w:u w:val="single"/>
        </w:rPr>
        <w:t xml:space="preserve"> 3:</w:t>
      </w:r>
      <w:r>
        <w:t xml:space="preserve">  </w:t>
      </w:r>
      <w:r w:rsidR="00A513F6">
        <w:rPr>
          <w:i/>
        </w:rPr>
        <w:t xml:space="preserve">Effect of </w:t>
      </w:r>
      <w:r w:rsidR="00A513F6" w:rsidRPr="00275102">
        <w:rPr>
          <w:i/>
        </w:rPr>
        <w:t xml:space="preserve">long-term </w:t>
      </w:r>
      <w:r w:rsidR="00A513F6">
        <w:rPr>
          <w:i/>
        </w:rPr>
        <w:t>hydraulic fluid</w:t>
      </w:r>
      <w:r w:rsidR="00A513F6" w:rsidRPr="00275102">
        <w:rPr>
          <w:i/>
        </w:rPr>
        <w:t xml:space="preserve"> contamination </w:t>
      </w:r>
      <w:r w:rsidR="00A513F6">
        <w:rPr>
          <w:i/>
        </w:rPr>
        <w:t>on the flexural properties</w:t>
      </w:r>
      <w:r w:rsidR="00A513F6" w:rsidRPr="00275102">
        <w:rPr>
          <w:i/>
        </w:rPr>
        <w:t xml:space="preserve"> of aerospace-grade composite </w:t>
      </w:r>
      <w:r w:rsidR="00A513F6">
        <w:rPr>
          <w:i/>
        </w:rPr>
        <w:t>laminates</w:t>
      </w:r>
    </w:p>
    <w:p w14:paraId="3D9C4A76" w14:textId="77777777" w:rsidR="00DD628F" w:rsidRDefault="00DD628F" w:rsidP="00DD628F">
      <w:pPr>
        <w:ind w:left="360"/>
      </w:pPr>
    </w:p>
    <w:p w14:paraId="7BDF6558" w14:textId="0340C602" w:rsidR="0086280F" w:rsidRDefault="004E3EDF" w:rsidP="0086280F">
      <w:pPr>
        <w:ind w:firstLine="360"/>
      </w:pPr>
      <w:r w:rsidRPr="006E0CAC">
        <w:t>Several Research Tasks were</w:t>
      </w:r>
      <w:r>
        <w:t xml:space="preserve"> developed to investigate the research objectives.  Research Task 1 </w:t>
      </w:r>
      <w:r w:rsidR="00DD522A">
        <w:t>was</w:t>
      </w:r>
      <w:r>
        <w:t xml:space="preserve"> a complete characterization of the laminate microstructure for the three prepregs due to variations in the humidity exposure and fabrication pressure.  Laminate fiber volume fractions and void</w:t>
      </w:r>
      <w:r w:rsidR="00B019BC">
        <w:t xml:space="preserve"> volume</w:t>
      </w:r>
      <w:r>
        <w:t xml:space="preserve"> fractions </w:t>
      </w:r>
      <w:r w:rsidR="00DD522A">
        <w:t>were</w:t>
      </w:r>
      <w:r>
        <w:t xml:space="preserve"> investigated on two distinct fronts.  </w:t>
      </w:r>
      <w:r w:rsidR="00B019BC">
        <w:t>The f</w:t>
      </w:r>
      <w:r>
        <w:t>irst</w:t>
      </w:r>
      <w:r w:rsidR="00BE7B83">
        <w:t xml:space="preserve"> part was</w:t>
      </w:r>
      <w:r>
        <w:t xml:space="preserve"> a comprehensive assessment of the fiber volume fraction and void </w:t>
      </w:r>
      <w:r w:rsidR="00B019BC">
        <w:t xml:space="preserve">volume </w:t>
      </w:r>
      <w:r>
        <w:t>fraction using experimental methods</w:t>
      </w:r>
      <w:r w:rsidR="00DD522A">
        <w:t>,</w:t>
      </w:r>
      <w:r>
        <w:t xml:space="preserve"> including specimen suspension, acid digestion, and pycnometer studies.  </w:t>
      </w:r>
      <w:r w:rsidR="00B019BC">
        <w:t>The s</w:t>
      </w:r>
      <w:r>
        <w:t>econd</w:t>
      </w:r>
      <w:r w:rsidR="00BE7B83">
        <w:t xml:space="preserve"> part was</w:t>
      </w:r>
      <w:r>
        <w:t xml:space="preserve"> a visual inspection of the void shape and spatial distribution using images from scanning electron microscopy.  Results from Research Task 1 </w:t>
      </w:r>
      <w:r w:rsidR="00DD522A">
        <w:t>were</w:t>
      </w:r>
      <w:r>
        <w:t xml:space="preserve"> used to address the first research objective.  Research Task 2 </w:t>
      </w:r>
      <w:r w:rsidR="00DD522A">
        <w:t>was</w:t>
      </w:r>
      <w:r>
        <w:t xml:space="preserve"> an assessment of the laminate mechanical properties, specifically the flexural stiffness and flexural strength. </w:t>
      </w:r>
      <w:r w:rsidR="00DD522A">
        <w:t xml:space="preserve"> </w:t>
      </w:r>
      <w:r>
        <w:t xml:space="preserve">The first study for Task 2 </w:t>
      </w:r>
      <w:r w:rsidR="00DD522A">
        <w:t>was</w:t>
      </w:r>
      <w:r>
        <w:t xml:space="preserve"> an assessment of the laminates after fabrication</w:t>
      </w:r>
      <w:r w:rsidR="00DD522A">
        <w:t>, (i.e. dry baseline condition)</w:t>
      </w:r>
      <w:r>
        <w:t xml:space="preserve">.  This study </w:t>
      </w:r>
      <w:r w:rsidR="00DD522A">
        <w:t>served</w:t>
      </w:r>
      <w:r>
        <w:t xml:space="preserve"> as a comparative </w:t>
      </w:r>
      <w:r w:rsidR="00DD522A">
        <w:t>to the second study for Task 2, which was an assessment of flexural performance after long-term hydraulic fluid contamination.  The first study for T</w:t>
      </w:r>
      <w:r>
        <w:t xml:space="preserve">ask 2 </w:t>
      </w:r>
      <w:r w:rsidR="00DD522A">
        <w:t>was</w:t>
      </w:r>
      <w:r>
        <w:t xml:space="preserve"> used to partially address the second research </w:t>
      </w:r>
      <w:r w:rsidR="00DD522A">
        <w:t>objective; meanwhile the second study for Task 2 was used to address the third research objective</w:t>
      </w:r>
      <w:r>
        <w:t xml:space="preserve">. </w:t>
      </w:r>
      <w:r w:rsidR="00DD522A">
        <w:t xml:space="preserve"> </w:t>
      </w:r>
      <w:r>
        <w:t xml:space="preserve">Research Task 3 </w:t>
      </w:r>
      <w:r w:rsidR="00DD522A">
        <w:t>was</w:t>
      </w:r>
      <w:r>
        <w:t xml:space="preserve"> an investigation of the long-term absorption behavior</w:t>
      </w:r>
      <w:r w:rsidR="00DD522A">
        <w:t>, with an</w:t>
      </w:r>
      <w:r>
        <w:t xml:space="preserve"> emphasis </w:t>
      </w:r>
      <w:r w:rsidR="00DD522A">
        <w:t>on</w:t>
      </w:r>
      <w:r>
        <w:t xml:space="preserve"> investigating the effect of prepreg humidity exposure and fabrication pressure on the equilibrium fluid content.  Rese</w:t>
      </w:r>
      <w:r w:rsidR="0086280F">
        <w:t xml:space="preserve">arch Task 3 </w:t>
      </w:r>
      <w:r>
        <w:t>w</w:t>
      </w:r>
      <w:r w:rsidR="0086280F">
        <w:t>as</w:t>
      </w:r>
      <w:r>
        <w:t xml:space="preserve"> used to address the second research objective.</w:t>
      </w:r>
      <w:r w:rsidR="0086280F">
        <w:t xml:space="preserve">  To summarize, the main study </w:t>
      </w:r>
      <w:r w:rsidR="00BE7B83">
        <w:t>topics</w:t>
      </w:r>
      <w:r w:rsidR="0086280F">
        <w:t xml:space="preserve"> for each Research Tasks w</w:t>
      </w:r>
      <w:r w:rsidR="00BE7B83">
        <w:t>ere</w:t>
      </w:r>
      <w:r w:rsidR="0086280F">
        <w:t>:</w:t>
      </w:r>
    </w:p>
    <w:p w14:paraId="7B470DA3" w14:textId="77777777" w:rsidR="0093682D" w:rsidRDefault="0093682D" w:rsidP="0086280F">
      <w:pPr>
        <w:ind w:firstLine="360"/>
      </w:pPr>
    </w:p>
    <w:p w14:paraId="457A1BD4" w14:textId="724634FC" w:rsidR="0086280F" w:rsidRPr="0086280F" w:rsidRDefault="0086280F" w:rsidP="0086280F">
      <w:pPr>
        <w:ind w:firstLine="360"/>
        <w:rPr>
          <w:i/>
          <w:u w:val="single"/>
        </w:rPr>
      </w:pPr>
      <w:r w:rsidRPr="0086280F">
        <w:rPr>
          <w:i/>
          <w:u w:val="single"/>
        </w:rPr>
        <w:t>Task 1: Laminate Microstructure Characterization</w:t>
      </w:r>
    </w:p>
    <w:p w14:paraId="788A720C" w14:textId="1A26D148" w:rsidR="0086280F" w:rsidRDefault="0086280F" w:rsidP="0086280F">
      <w:pPr>
        <w:pStyle w:val="ListParagraph"/>
        <w:numPr>
          <w:ilvl w:val="0"/>
          <w:numId w:val="31"/>
        </w:numPr>
      </w:pPr>
      <w:r>
        <w:t>Experimental analysis of fiber volume fraction and void volume fraction</w:t>
      </w:r>
      <w:r w:rsidR="0082168F">
        <w:t xml:space="preserve"> (Section </w:t>
      </w:r>
      <w:r w:rsidR="0082168F">
        <w:fldChar w:fldCharType="begin"/>
      </w:r>
      <w:r w:rsidR="0082168F">
        <w:instrText xml:space="preserve"> REF _Ref343168350 \r \h </w:instrText>
      </w:r>
      <w:r w:rsidR="0082168F">
        <w:fldChar w:fldCharType="separate"/>
      </w:r>
      <w:r w:rsidR="008A1992">
        <w:t>2.5</w:t>
      </w:r>
      <w:r w:rsidR="0082168F">
        <w:fldChar w:fldCharType="end"/>
      </w:r>
      <w:r w:rsidR="0082168F">
        <w:t>)</w:t>
      </w:r>
    </w:p>
    <w:p w14:paraId="512B479D" w14:textId="604D7E65" w:rsidR="0086280F" w:rsidRDefault="0086280F" w:rsidP="0086280F">
      <w:pPr>
        <w:pStyle w:val="ListParagraph"/>
        <w:numPr>
          <w:ilvl w:val="0"/>
          <w:numId w:val="31"/>
        </w:numPr>
      </w:pPr>
      <w:r>
        <w:t>Scanning Electron Microscopy image analysis</w:t>
      </w:r>
      <w:r w:rsidR="0082168F">
        <w:t xml:space="preserve"> (Section </w:t>
      </w:r>
      <w:r w:rsidR="0082168F">
        <w:fldChar w:fldCharType="begin"/>
      </w:r>
      <w:r w:rsidR="0082168F">
        <w:instrText xml:space="preserve"> REF _Ref460937403 \r \h </w:instrText>
      </w:r>
      <w:r w:rsidR="0082168F">
        <w:fldChar w:fldCharType="separate"/>
      </w:r>
      <w:r w:rsidR="008A1992">
        <w:t>2.6</w:t>
      </w:r>
      <w:r w:rsidR="0082168F">
        <w:fldChar w:fldCharType="end"/>
      </w:r>
      <w:r w:rsidR="0082168F">
        <w:t>)</w:t>
      </w:r>
    </w:p>
    <w:p w14:paraId="035BD573" w14:textId="3D77C150" w:rsidR="0086280F" w:rsidRDefault="0086280F" w:rsidP="0086280F">
      <w:pPr>
        <w:ind w:firstLine="360"/>
        <w:rPr>
          <w:i/>
          <w:u w:val="single"/>
        </w:rPr>
      </w:pPr>
      <w:r>
        <w:rPr>
          <w:i/>
          <w:u w:val="single"/>
        </w:rPr>
        <w:t>Task 2: Laminate Mechanical Property Assessment</w:t>
      </w:r>
    </w:p>
    <w:p w14:paraId="67A8454E" w14:textId="2671E23C" w:rsidR="0086280F" w:rsidRPr="0086280F" w:rsidRDefault="0086280F" w:rsidP="0086280F">
      <w:pPr>
        <w:pStyle w:val="ListParagraph"/>
        <w:numPr>
          <w:ilvl w:val="0"/>
          <w:numId w:val="32"/>
        </w:numPr>
        <w:rPr>
          <w:i/>
          <w:u w:val="single"/>
        </w:rPr>
      </w:pPr>
      <w:r>
        <w:t>Laminate flexural stiffness and flexural strength analysis of dry baseline condition prior to environmental degradation</w:t>
      </w:r>
      <w:r w:rsidR="0082168F">
        <w:t xml:space="preserve"> (Section </w:t>
      </w:r>
      <w:r w:rsidR="0082168F">
        <w:fldChar w:fldCharType="begin"/>
      </w:r>
      <w:r w:rsidR="0082168F">
        <w:instrText xml:space="preserve"> REF _Ref344798446 \r \h </w:instrText>
      </w:r>
      <w:r w:rsidR="0082168F">
        <w:fldChar w:fldCharType="separate"/>
      </w:r>
      <w:r w:rsidR="008A1992">
        <w:t>3.2</w:t>
      </w:r>
      <w:r w:rsidR="0082168F">
        <w:fldChar w:fldCharType="end"/>
      </w:r>
      <w:r w:rsidR="0082168F">
        <w:t>)</w:t>
      </w:r>
    </w:p>
    <w:p w14:paraId="31028F04" w14:textId="7422C111" w:rsidR="0086280F" w:rsidRPr="0086280F" w:rsidRDefault="0086280F" w:rsidP="0086280F">
      <w:pPr>
        <w:pStyle w:val="ListParagraph"/>
        <w:numPr>
          <w:ilvl w:val="0"/>
          <w:numId w:val="32"/>
        </w:numPr>
        <w:rPr>
          <w:i/>
          <w:u w:val="single"/>
        </w:rPr>
      </w:pPr>
      <w:r>
        <w:t>Laminate flexural stiffness a</w:t>
      </w:r>
      <w:r w:rsidR="00B019BC">
        <w:t>nd flexural strength analysis after</w:t>
      </w:r>
      <w:r>
        <w:t xml:space="preserve"> </w:t>
      </w:r>
      <w:r w:rsidR="00B019BC">
        <w:t xml:space="preserve">hydraulic fluid contamination </w:t>
      </w:r>
      <w:r>
        <w:t>for 21 months</w:t>
      </w:r>
      <w:r w:rsidR="0082168F">
        <w:t xml:space="preserve"> (Section </w:t>
      </w:r>
      <w:r w:rsidR="0082168F">
        <w:fldChar w:fldCharType="begin"/>
      </w:r>
      <w:r w:rsidR="0082168F">
        <w:instrText xml:space="preserve"> REF _Ref345047533 \r \h </w:instrText>
      </w:r>
      <w:r w:rsidR="0082168F">
        <w:fldChar w:fldCharType="separate"/>
      </w:r>
      <w:r w:rsidR="008A1992">
        <w:t>6.3</w:t>
      </w:r>
      <w:r w:rsidR="0082168F">
        <w:fldChar w:fldCharType="end"/>
      </w:r>
      <w:r w:rsidR="0082168F">
        <w:t>)</w:t>
      </w:r>
    </w:p>
    <w:p w14:paraId="5C37E885" w14:textId="67CE967B" w:rsidR="0086280F" w:rsidRPr="0086280F" w:rsidRDefault="0086280F" w:rsidP="0086280F">
      <w:pPr>
        <w:ind w:firstLine="360"/>
        <w:rPr>
          <w:i/>
          <w:u w:val="single"/>
        </w:rPr>
      </w:pPr>
      <w:r>
        <w:rPr>
          <w:i/>
          <w:u w:val="single"/>
        </w:rPr>
        <w:t>Task 3</w:t>
      </w:r>
      <w:r w:rsidRPr="0086280F">
        <w:rPr>
          <w:i/>
          <w:u w:val="single"/>
        </w:rPr>
        <w:t xml:space="preserve">: Laminate </w:t>
      </w:r>
      <w:r>
        <w:rPr>
          <w:i/>
          <w:u w:val="single"/>
        </w:rPr>
        <w:t>Hydraulic Fluid Absorption Behavior</w:t>
      </w:r>
    </w:p>
    <w:p w14:paraId="1B4564BD" w14:textId="1E682054" w:rsidR="0086280F" w:rsidRPr="006E0CAC" w:rsidRDefault="006E0CAC" w:rsidP="0086280F">
      <w:pPr>
        <w:pStyle w:val="ListParagraph"/>
        <w:numPr>
          <w:ilvl w:val="0"/>
          <w:numId w:val="32"/>
        </w:numPr>
        <w:rPr>
          <w:i/>
          <w:u w:val="single"/>
        </w:rPr>
      </w:pPr>
      <w:r>
        <w:t>Assessment of long-term absorption behavior and equilibrium fluid content</w:t>
      </w:r>
      <w:r w:rsidR="0082168F">
        <w:t xml:space="preserve"> (Section </w:t>
      </w:r>
      <w:r w:rsidR="0082168F">
        <w:fldChar w:fldCharType="begin"/>
      </w:r>
      <w:r w:rsidR="0082168F">
        <w:instrText xml:space="preserve"> REF _Ref462220092 \r \h </w:instrText>
      </w:r>
      <w:r w:rsidR="0082168F">
        <w:fldChar w:fldCharType="separate"/>
      </w:r>
      <w:r w:rsidR="008A1992">
        <w:t>5.3</w:t>
      </w:r>
      <w:r w:rsidR="0082168F">
        <w:fldChar w:fldCharType="end"/>
      </w:r>
      <w:r w:rsidR="0082168F">
        <w:t>)</w:t>
      </w:r>
    </w:p>
    <w:p w14:paraId="64AECB06" w14:textId="77777777" w:rsidR="006E0CAC" w:rsidRPr="006E0CAC" w:rsidRDefault="006E0CAC" w:rsidP="006E0CAC">
      <w:pPr>
        <w:rPr>
          <w:i/>
          <w:u w:val="single"/>
        </w:rPr>
      </w:pPr>
    </w:p>
    <w:p w14:paraId="1EE787B8" w14:textId="4B4368ED" w:rsidR="00F921DA" w:rsidRDefault="006E0CAC" w:rsidP="0082168F">
      <w:pPr>
        <w:ind w:firstLine="360"/>
      </w:pPr>
      <w:r>
        <w:t xml:space="preserve">Laminates containing a wide range of void </w:t>
      </w:r>
      <w:r w:rsidR="00B019BC">
        <w:t xml:space="preserve">volume </w:t>
      </w:r>
      <w:r>
        <w:t>fractions and fiber volume fractions</w:t>
      </w:r>
      <w:r w:rsidR="00B019BC">
        <w:t xml:space="preserve"> were desirable to address the r</w:t>
      </w:r>
      <w:r>
        <w:t xml:space="preserve">esearch </w:t>
      </w:r>
      <w:r w:rsidR="00B019BC">
        <w:t>o</w:t>
      </w:r>
      <w:r>
        <w:t xml:space="preserve">bjectives. </w:t>
      </w:r>
      <w:r w:rsidR="00CC56C9">
        <w:t xml:space="preserve"> </w:t>
      </w:r>
      <w:r>
        <w:t xml:space="preserve">Therefore, prepreg sheets were exposed to varying relative humidity levels and subsequently cured with a heated compression mold without a vacuum-bag so as to artificially induce varying void </w:t>
      </w:r>
      <w:r w:rsidR="00B019BC">
        <w:t>fractions</w:t>
      </w:r>
      <w:r>
        <w:t xml:space="preserve"> independently of the laminate fiber volume fraction.</w:t>
      </w:r>
      <w:r w:rsidR="00CC56C9">
        <w:t xml:space="preserve">  In the context of this research, prepreg conditioning was the procedure of exposing prepreg sheets at specific relative humidity exposure levels using a Thermotron 8200 environmental chamber.  </w:t>
      </w:r>
      <w:r>
        <w:t>The prepreg sheets were conditioned at room temperature (25°C) for a period of 24 hours at r</w:t>
      </w:r>
      <w:r w:rsidR="00F921DA">
        <w:t xml:space="preserve">elative humidity set points of </w:t>
      </w:r>
      <w:r>
        <w:t xml:space="preserve">i) 2%, ii) 40%, iii) 70%, or iv) 99%.  </w:t>
      </w:r>
      <w:r w:rsidR="00CC56C9">
        <w:t>Higher humidity exposures resulted in more absorbed moisture in the prepreg sheets, which in turn vaporized during the heated cure process and generated large void fractions.  BMI resin was significantly more sensitive to humidity exposure when compared to the epoxy resin prepregs.  Therefore, proper storage techniques are critical when utilizing BMI products.</w:t>
      </w:r>
      <w:r w:rsidR="00F921DA">
        <w:t xml:space="preserve">  To vary the fiber volume fraction, laminates were fabricated at different applied cure pressures.  Using the conditioned prepreg sheets, eight-ply laminates were fabricated using a Carver hot-press at the applied cure pressures of i) 68.9 kPa (10 psi), ii) 206.8 kPa (30 psi), iii) 344.7 kPa (50 psi), and iv) 482.6 kPa (70 psi).  Therefore for each prepreg material, a total of 16 unique laminates were fabricated from a combination of four prepreg conditioning levels and four fabrication pressures.  The </w:t>
      </w:r>
      <w:r w:rsidR="0082168F">
        <w:t xml:space="preserve">manufacturer </w:t>
      </w:r>
      <w:r w:rsidR="00F921DA">
        <w:t xml:space="preserve">suggested temperature cure profile </w:t>
      </w:r>
      <w:r w:rsidR="0082168F">
        <w:t xml:space="preserve">for each resin material was utilized (Section </w:t>
      </w:r>
      <w:r w:rsidR="0082168F">
        <w:fldChar w:fldCharType="begin"/>
      </w:r>
      <w:r w:rsidR="0082168F">
        <w:instrText xml:space="preserve"> REF _Ref343773724 \r \h </w:instrText>
      </w:r>
      <w:r w:rsidR="0082168F">
        <w:fldChar w:fldCharType="separate"/>
      </w:r>
      <w:r w:rsidR="008A1992">
        <w:t>2.3</w:t>
      </w:r>
      <w:r w:rsidR="0082168F">
        <w:fldChar w:fldCharType="end"/>
      </w:r>
      <w:r w:rsidR="0082168F">
        <w:t xml:space="preserve">). </w:t>
      </w:r>
    </w:p>
    <w:p w14:paraId="365DC21A" w14:textId="5B16B505" w:rsidR="00540D7C" w:rsidRDefault="00540D7C" w:rsidP="00540D7C">
      <w:pPr>
        <w:ind w:firstLine="360"/>
      </w:pPr>
      <w:r>
        <w:t xml:space="preserve">The resulting fiber volume fraction and void volume fraction was presented in Section </w:t>
      </w:r>
      <w:r>
        <w:fldChar w:fldCharType="begin"/>
      </w:r>
      <w:r>
        <w:instrText xml:space="preserve"> REF _Ref343168350 \r \h </w:instrText>
      </w:r>
      <w:r>
        <w:fldChar w:fldCharType="separate"/>
      </w:r>
      <w:r w:rsidR="008A1992">
        <w:t>2.5</w:t>
      </w:r>
      <w:r>
        <w:fldChar w:fldCharType="end"/>
      </w:r>
      <w:r>
        <w:t xml:space="preserve">.  The fiber volume fraction for each prepreg material ranged from about 50% to 66%, with consistent results for a specific fabrication pressure.  The fiber volume fraction for both quartz-reinforced laminates (quartz/BMI and quartz/epoxy) gradually increased from about 50% to 61% as fabrication pressure increased from 69 to 345 kPa.  At higher fabrication pressures, the </w:t>
      </w:r>
      <w:r w:rsidR="00B019BC">
        <w:t xml:space="preserve">fiber volume fraction increased at a decreasing </w:t>
      </w:r>
      <w:r>
        <w:t xml:space="preserve">rate.  The fiber volume fraction for carbon/epoxy laminates increased at a faster rate from 53% to 60% as pressure increased from 69 to 207 kPa, whereas further increases in pressure increased the fiber volume fraction at a lower rate.  This behavior was most likely due to fibers’ increased role in supporting the applied pressure.  </w:t>
      </w:r>
    </w:p>
    <w:p w14:paraId="74ADB7DB" w14:textId="0F9E3664" w:rsidR="00540D7C" w:rsidRDefault="00540D7C" w:rsidP="00540D7C">
      <w:pPr>
        <w:ind w:firstLine="360"/>
      </w:pPr>
      <w:r>
        <w:t xml:space="preserve">The range of void </w:t>
      </w:r>
      <w:r w:rsidR="00B019BC">
        <w:t xml:space="preserve">volume </w:t>
      </w:r>
      <w:r>
        <w:t xml:space="preserve">fractions was significantly different for each prepreg material.  Overall, void </w:t>
      </w:r>
      <w:r w:rsidR="00E65D64">
        <w:t xml:space="preserve">volume </w:t>
      </w:r>
      <w:r>
        <w:t>fraction increased as relative humidity exposure level increased and as the fabrication pressure decreased.  Higher sensitivities were observed when at low pressures and high humidity.  The high levels of voids and how the void</w:t>
      </w:r>
      <w:r w:rsidR="00E65D64">
        <w:t xml:space="preserve"> volume</w:t>
      </w:r>
      <w:r>
        <w:t xml:space="preserve"> fraction changes among the different material systems clearly </w:t>
      </w:r>
      <w:r w:rsidR="00EF152B">
        <w:t>illustrated</w:t>
      </w:r>
      <w:r>
        <w:t xml:space="preserve"> the importance of: (a) remov</w:t>
      </w:r>
      <w:r w:rsidR="00E65D64">
        <w:t>ing volatiles and trapped micro</w:t>
      </w:r>
      <w:r>
        <w:t xml:space="preserve">voids during cure by a vacuum bag, (b) proper storage of prepregs in a low humidity environment, and (c) applying proper level of fabrication pressure.  </w:t>
      </w:r>
      <w:r w:rsidR="00EF152B">
        <w:t>Both quartz-reinforced laminates (quartz/BMI and quartz/epoxy) contained the highest void levels.  Meanwhile BMI were more susceptible to volatiles as the lowest void</w:t>
      </w:r>
      <w:r w:rsidR="00E65D64">
        <w:t xml:space="preserve"> volume</w:t>
      </w:r>
      <w:r w:rsidR="00EF152B">
        <w:t xml:space="preserve"> fraction observed was 8%, even when laminates were produced at high pressures.  </w:t>
      </w:r>
      <w:r>
        <w:t>The carbon/epoxy laminates had a void</w:t>
      </w:r>
      <w:r w:rsidR="00E65D64">
        <w:t xml:space="preserve"> volume</w:t>
      </w:r>
      <w:r>
        <w:t xml:space="preserve"> fraction range of about 1% to 5%,</w:t>
      </w:r>
      <w:r w:rsidR="00EF152B">
        <w:t xml:space="preserve"> which wa</w:t>
      </w:r>
      <w:r>
        <w:t>s much lower than the other two prepregs with the quartz fiber</w:t>
      </w:r>
      <w:r w:rsidR="00EF152B">
        <w:t xml:space="preserve"> reinforcement.</w:t>
      </w:r>
      <w:r>
        <w:t xml:space="preserve"> </w:t>
      </w:r>
      <w:r w:rsidR="00EF152B">
        <w:t>IM7/EX-1522 prepreg wa</w:t>
      </w:r>
      <w:r>
        <w:t xml:space="preserve">s much less susceptible to prepreg storage conditions compared to AQIII/EX-1522, which </w:t>
      </w:r>
      <w:r w:rsidR="00EF152B">
        <w:t>had</w:t>
      </w:r>
      <w:r>
        <w:t xml:space="preserve"> the same epoxy resin but quartz fiber, AQIII, reinforcement instead of the carbon IM7.  The fiber/resin interphase or the sizing used in the AQIII/EX-1522 prepregs may act as storage sites for the moisture if the prepreg is stored in a highly humid environment</w:t>
      </w:r>
      <w:r w:rsidR="00EF152B">
        <w:t>.  Overall, t</w:t>
      </w:r>
      <w:r>
        <w:t>he epoxy resin EX-1522 seems to have less volatiles and a high quality laminate can be produced even without the vacuum bag if the prepreg is stored properly in a dry environment and a sufficiently high fabrication pressure is applied.</w:t>
      </w:r>
    </w:p>
    <w:p w14:paraId="507964E4" w14:textId="16AEC286" w:rsidR="00E65D64" w:rsidRDefault="0093682D" w:rsidP="00E65D64">
      <w:pPr>
        <w:ind w:firstLine="360"/>
      </w:pPr>
      <w:r>
        <w:t xml:space="preserve">Analysis of SEM images for each prepreg material was presented in Section </w:t>
      </w:r>
      <w:r>
        <w:fldChar w:fldCharType="begin"/>
      </w:r>
      <w:r>
        <w:instrText xml:space="preserve"> REF _Ref460937403 \r \h </w:instrText>
      </w:r>
      <w:r>
        <w:fldChar w:fldCharType="separate"/>
      </w:r>
      <w:r w:rsidR="008A1992">
        <w:t>2.6</w:t>
      </w:r>
      <w:r>
        <w:fldChar w:fldCharType="end"/>
      </w:r>
      <w:r>
        <w:t xml:space="preserve">.  </w:t>
      </w:r>
      <w:r w:rsidR="00E65D64">
        <w:t>The SEM images for quartz/BMI revealed the formation of many large-scale voids, which were primarily located in the intra-tow regions and ply-to-ply interface.  Each fabrication pressure for BMI matrix laminates featured several elongated voids that were located between plies and fiber bundles.  Some of the larger voids measured over 1 mm in length, which equates to about 50% of the through-the-thickness measurement.  Similar to quartz/epoxy, the spatial distribution</w:t>
      </w:r>
      <w:r w:rsidR="00E65D64" w:rsidRPr="00C20F2B">
        <w:t xml:space="preserve"> </w:t>
      </w:r>
      <w:r w:rsidR="00E65D64">
        <w:t xml:space="preserve">throughout the thickness of the quartz/BMI laminate did not change as a result of increasing prepreg conditioning level or fabrication pressure.  As fabrication pressure increased, the void morphology became more elongated, or void aspect ratio increased.  In addition to the many large-scale voids, the laminates exhibited many microscale voids with diameters equivalent to the fiber diameter.  The microscale voids were predominantly located within the fiber tows.  Varying prepreg moisture content with different humidity levels did not have a discernible effect on the void morphology or distribution for the laminates.  </w:t>
      </w:r>
    </w:p>
    <w:p w14:paraId="55078B1A" w14:textId="66972BD5" w:rsidR="00497E54" w:rsidRDefault="0093682D" w:rsidP="0093682D">
      <w:pPr>
        <w:ind w:firstLine="360"/>
      </w:pPr>
      <w:r>
        <w:t>SEM images for Quartz/Epoxy laminates revealed more spherically shaped voids, which were primarily located in resin-rich regions and the ply-to-ply interface.  The largest voids occurred at the lowest fabrication pressure, and measured up to 0.5 mm in length and had aspect ratios ranging from 1 to 3.  As fabrication pressure increased, the effective area of the voids significantly decreased with voids having diameters on the microscale level and being of a similar scale to the quartz fiber reinforcement.  The spatial distribution</w:t>
      </w:r>
      <w:r w:rsidRPr="00C20F2B">
        <w:t xml:space="preserve"> </w:t>
      </w:r>
      <w:r>
        <w:t>throughout the thickness of the laminate did not change as a result of increasing prepreg conditioning level or fabrication pressure.  Increasing prepreg humidity exposure resulted in the void effective diameter and aspect ratios increasing substantially.</w:t>
      </w:r>
    </w:p>
    <w:p w14:paraId="6FE3122F" w14:textId="457DE34E" w:rsidR="0093682D" w:rsidRDefault="0093682D" w:rsidP="0093682D">
      <w:pPr>
        <w:ind w:firstLine="360"/>
      </w:pPr>
      <w:r>
        <w:t xml:space="preserve">The microvoid content for carbon-reinforced laminates was significantly lower than the other </w:t>
      </w:r>
      <w:proofErr w:type="gramStart"/>
      <w:r>
        <w:t>two prepreg</w:t>
      </w:r>
      <w:proofErr w:type="gramEnd"/>
      <w:r>
        <w:t xml:space="preserve"> materials in this study.  The SEM images for Carbon/Epoxy laminates revealed </w:t>
      </w:r>
      <w:proofErr w:type="gramStart"/>
      <w:r>
        <w:t>sporadic,</w:t>
      </w:r>
      <w:proofErr w:type="gramEnd"/>
      <w:r>
        <w:t xml:space="preserve"> slightly elongated voids, which were primarily located in resin-rich regions and the ply-to-ply interface. </w:t>
      </w:r>
      <w:r w:rsidR="00497E54">
        <w:t xml:space="preserve"> </w:t>
      </w:r>
      <w:r>
        <w:t>As fabrication pressure increased, the effective area of the voids significantly decreased and the void aspect ratio increased.</w:t>
      </w:r>
      <w:r w:rsidR="00497E54">
        <w:t xml:space="preserve">  Additionally, larger </w:t>
      </w:r>
      <w:r>
        <w:t>voids were predominantly located within plies close to the laminate mid</w:t>
      </w:r>
      <w:r w:rsidR="00497E54">
        <w:t>-</w:t>
      </w:r>
      <w:r>
        <w:t>plane.  Increasing prepreg relative humidity conditioning levels did not have a significant effect on overall microvoid content, however the microvoids did become more spherical in shape and slightly larger in diameter.</w:t>
      </w:r>
    </w:p>
    <w:p w14:paraId="68266E34" w14:textId="77777777" w:rsidR="00C7211A" w:rsidRDefault="00352EC1" w:rsidP="00C7211A">
      <w:pPr>
        <w:ind w:firstLine="360"/>
      </w:pPr>
      <w:r>
        <w:t xml:space="preserve">The effect of humidity exposure and fabrication pressure on the laminate flexural stiffness and flexural strength was presented in Chapter </w:t>
      </w:r>
      <w:r w:rsidR="00C7211A">
        <w:fldChar w:fldCharType="begin"/>
      </w:r>
      <w:r w:rsidR="00C7211A">
        <w:instrText xml:space="preserve"> REF _Ref464564658 \r \h </w:instrText>
      </w:r>
      <w:r w:rsidR="00C7211A">
        <w:fldChar w:fldCharType="separate"/>
      </w:r>
      <w:r w:rsidR="008A1992">
        <w:t>3</w:t>
      </w:r>
      <w:r w:rsidR="00C7211A">
        <w:fldChar w:fldCharType="end"/>
      </w:r>
      <w:r w:rsidR="00C7211A">
        <w:t xml:space="preserve">.  All laminate flexural property testing was conducted in accordance with the ASTM testing standard for fiber-reinforced polymers D790.  Rectangular cross section specimens were tested using a three-point bending apparatus.  The support span-to-thickness ratio was 20:1 for all specimen tests, which </w:t>
      </w:r>
      <w:r>
        <w:t xml:space="preserve">was </w:t>
      </w:r>
      <w:r w:rsidR="00C7211A">
        <w:t>selected</w:t>
      </w:r>
      <w:r>
        <w:t xml:space="preserve"> because (i) it allowed for a larger span-to-depth ratio to account for the laminated composite specimens and (ii) specimen overall lengths were within the range of useable space for the fabricated laminates. </w:t>
      </w:r>
    </w:p>
    <w:p w14:paraId="63A44EBE" w14:textId="4FFE345F" w:rsidR="00352EC1" w:rsidRDefault="00C7211A" w:rsidP="00C7211A">
      <w:pPr>
        <w:ind w:firstLine="360"/>
      </w:pPr>
      <w:r>
        <w:t xml:space="preserve">The resulting flexural stiffness and flexural strength was presented in Section </w:t>
      </w:r>
      <w:r>
        <w:fldChar w:fldCharType="begin"/>
      </w:r>
      <w:r>
        <w:instrText xml:space="preserve"> REF _Ref344798446 \r \h </w:instrText>
      </w:r>
      <w:r>
        <w:fldChar w:fldCharType="separate"/>
      </w:r>
      <w:r w:rsidR="008A1992">
        <w:t>3.2</w:t>
      </w:r>
      <w:r>
        <w:fldChar w:fldCharType="end"/>
      </w:r>
      <w:r>
        <w:t xml:space="preserve">. </w:t>
      </w:r>
      <w:r w:rsidR="00352EC1">
        <w:t xml:space="preserve"> </w:t>
      </w:r>
      <w:r>
        <w:t>B</w:t>
      </w:r>
      <w:r w:rsidR="00352EC1">
        <w:t>oth quartz-reinforced laminates</w:t>
      </w:r>
      <w:r>
        <w:t xml:space="preserve"> (quartz/BMI and quartz/epoxy) had</w:t>
      </w:r>
      <w:r w:rsidR="00352EC1">
        <w:t xml:space="preserve"> similar flexural stiffness values</w:t>
      </w:r>
      <w:r>
        <w:t xml:space="preserve"> ranging from 22 to 29 GPa,</w:t>
      </w:r>
      <w:r w:rsidR="00352EC1">
        <w:t xml:space="preserve"> regardless of the </w:t>
      </w:r>
      <w:r>
        <w:t>resin</w:t>
      </w:r>
      <w:r w:rsidR="00352EC1">
        <w:t xml:space="preserve"> material.  Carbon fiber-reinforced laminates, on the other hand, </w:t>
      </w:r>
      <w:r>
        <w:t>had</w:t>
      </w:r>
      <w:r w:rsidR="00352EC1">
        <w:t xml:space="preserve"> the highest flexural stiffness values</w:t>
      </w:r>
      <w:r>
        <w:t>,</w:t>
      </w:r>
      <w:r w:rsidR="00352EC1">
        <w:t xml:space="preserve"> ranging from 42 to 53 GPa</w:t>
      </w:r>
      <w:r w:rsidR="007568A3">
        <w:t xml:space="preserve">. </w:t>
      </w:r>
      <w:r w:rsidR="00352EC1">
        <w:t xml:space="preserve"> As expected, the flexural stiffness </w:t>
      </w:r>
      <w:r w:rsidR="007568A3">
        <w:t>demonstrated</w:t>
      </w:r>
      <w:r w:rsidR="00352EC1">
        <w:t xml:space="preserve"> strong dependence on the pressure, while the prepreg moisture content did not seem to yield a discernible effect on the laminate flexural stiffness.  </w:t>
      </w:r>
    </w:p>
    <w:p w14:paraId="63402BEF" w14:textId="37D8A384" w:rsidR="00352EC1" w:rsidRDefault="007568A3" w:rsidP="00352EC1">
      <w:pPr>
        <w:ind w:firstLine="360"/>
      </w:pPr>
      <w:r>
        <w:t>The flexural strength for</w:t>
      </w:r>
      <w:r w:rsidR="00352EC1">
        <w:t xml:space="preserve"> quartz/BMI laminates </w:t>
      </w:r>
      <w:r>
        <w:t>was the lowest</w:t>
      </w:r>
      <w:r w:rsidR="00352EC1">
        <w:t xml:space="preserve"> values of the </w:t>
      </w:r>
      <w:proofErr w:type="gramStart"/>
      <w:r w:rsidR="00352EC1">
        <w:t>three prepreg</w:t>
      </w:r>
      <w:proofErr w:type="gramEnd"/>
      <w:r w:rsidR="00352EC1">
        <w:t xml:space="preserve"> material systems used in this study, with strength values ranging from 425 to 600 MPa.  </w:t>
      </w:r>
      <w:r>
        <w:t>Meanwhile, t</w:t>
      </w:r>
      <w:r w:rsidR="00352EC1">
        <w:t>he two epoxy-matrix laminates have higher flexural strength values, both with a maximum of about 950 MPa.  The flexural strength of quartz/</w:t>
      </w:r>
      <w:r w:rsidR="00961AC1">
        <w:t>epoxy</w:t>
      </w:r>
      <w:r w:rsidR="00352EC1">
        <w:t xml:space="preserve"> varie</w:t>
      </w:r>
      <w:r w:rsidR="00961AC1">
        <w:t>d</w:t>
      </w:r>
      <w:r w:rsidR="00352EC1">
        <w:t xml:space="preserve"> from 562</w:t>
      </w:r>
      <w:r w:rsidR="00961AC1">
        <w:t xml:space="preserve"> to 967 MPa, or approximately 40%, which wa</w:t>
      </w:r>
      <w:r w:rsidR="00352EC1">
        <w:t xml:space="preserve">s most likely due to </w:t>
      </w:r>
      <w:r w:rsidR="00961AC1">
        <w:t>this prepreg material</w:t>
      </w:r>
      <w:r w:rsidR="00352EC1">
        <w:t xml:space="preserve"> having the highest variation in void fraction.  </w:t>
      </w:r>
      <w:r w:rsidR="00961AC1">
        <w:t>Meanwhile, t</w:t>
      </w:r>
      <w:r w:rsidR="00352EC1">
        <w:t xml:space="preserve">he </w:t>
      </w:r>
      <w:r w:rsidR="00961AC1">
        <w:t xml:space="preserve">flexural strength for </w:t>
      </w:r>
      <w:r w:rsidR="00352EC1">
        <w:t>carbon</w:t>
      </w:r>
      <w:r w:rsidR="00961AC1">
        <w:t>/epoxy varied by</w:t>
      </w:r>
      <w:r w:rsidR="00352EC1">
        <w:t xml:space="preserve"> 23%</w:t>
      </w:r>
      <w:r w:rsidR="00961AC1">
        <w:t>.</w:t>
      </w:r>
      <w:r w:rsidR="00352EC1">
        <w:t xml:space="preserve"> </w:t>
      </w:r>
      <w:r w:rsidR="00961AC1">
        <w:t xml:space="preserve"> This range was similar to that reported </w:t>
      </w:r>
      <w:r w:rsidR="00352EC1">
        <w:t>by Liu et al.</w:t>
      </w:r>
      <w:r w:rsidR="0061602F">
        <w:t xml:space="preserve"> [17]</w:t>
      </w:r>
      <w:r w:rsidR="00352EC1">
        <w:t xml:space="preserve">, </w:t>
      </w:r>
      <w:r w:rsidR="00961AC1">
        <w:t xml:space="preserve">who observed </w:t>
      </w:r>
      <w:r w:rsidR="00352EC1">
        <w:t>a strength reduction of nearly 20%</w:t>
      </w:r>
      <w:r w:rsidR="00961AC1">
        <w:t xml:space="preserve"> for a similar range of void fractions.</w:t>
      </w:r>
      <w:r w:rsidR="00352EC1">
        <w:t xml:space="preserve"> </w:t>
      </w:r>
      <w:r w:rsidR="00961AC1">
        <w:t xml:space="preserve"> </w:t>
      </w:r>
      <w:r w:rsidR="00352EC1">
        <w:t>Typically, reducing the relative humidity level of the prepreg conditioning level and increasing fabrication pressure achieved the largest im</w:t>
      </w:r>
      <w:r w:rsidR="00E45BD7">
        <w:t xml:space="preserve">provement in flexural strength. </w:t>
      </w:r>
    </w:p>
    <w:p w14:paraId="19E3A0E8" w14:textId="735A3C3D" w:rsidR="004F4811" w:rsidRDefault="00E45BD7" w:rsidP="00BB146F">
      <w:pPr>
        <w:ind w:firstLine="360"/>
      </w:pPr>
      <w:r>
        <w:t>Property function equations used to characterize fiber volume fraction, void</w:t>
      </w:r>
      <w:r w:rsidR="006864FE">
        <w:t xml:space="preserve"> volume</w:t>
      </w:r>
      <w:r>
        <w:t xml:space="preserve"> fraction, flexural stiffness, and flexural strength, along with the associated contour plots were presented in Chapter </w:t>
      </w:r>
      <w:r>
        <w:fldChar w:fldCharType="begin"/>
      </w:r>
      <w:r>
        <w:instrText xml:space="preserve"> REF _Ref340738293 \r \h </w:instrText>
      </w:r>
      <w:r>
        <w:fldChar w:fldCharType="separate"/>
      </w:r>
      <w:r w:rsidR="008A1992">
        <w:t>4</w:t>
      </w:r>
      <w:r>
        <w:fldChar w:fldCharType="end"/>
      </w:r>
      <w:r>
        <w:t xml:space="preserve">.  Contour plots are a useful tool for analyzing the coupled contributions of two parameters and identifying unique behaviors such as local minimums or maximums, and sensitivities. </w:t>
      </w:r>
      <w:r w:rsidR="006864FE">
        <w:t xml:space="preserve"> E</w:t>
      </w:r>
      <w:r w:rsidR="00BB146F">
        <w:t xml:space="preserve">ach property function equation was </w:t>
      </w:r>
      <w:r w:rsidR="00BB146F" w:rsidRPr="00376B29">
        <w:t>normalized with respect to the maximum observed value</w:t>
      </w:r>
      <w:r w:rsidR="00BB146F">
        <w:t xml:space="preserve"> so that similar process-induced trends between the three prepre</w:t>
      </w:r>
      <w:r w:rsidR="006864FE">
        <w:t>gs could be easily identified.</w:t>
      </w:r>
    </w:p>
    <w:p w14:paraId="5A0A35FB" w14:textId="77777777" w:rsidR="00036C69" w:rsidRDefault="000E7406" w:rsidP="00036C69">
      <w:pPr>
        <w:ind w:firstLine="360"/>
      </w:pPr>
      <w:r>
        <w:t xml:space="preserve">The effect of long-term hydraulic fluid contamination on the prepreg materials was presented in Chapter </w:t>
      </w:r>
      <w:r>
        <w:fldChar w:fldCharType="begin"/>
      </w:r>
      <w:r>
        <w:instrText xml:space="preserve"> REF _Ref464121241 \r \h </w:instrText>
      </w:r>
      <w:r>
        <w:fldChar w:fldCharType="separate"/>
      </w:r>
      <w:r w:rsidR="008A1992">
        <w:t>5</w:t>
      </w:r>
      <w:r>
        <w:fldChar w:fldCharType="end"/>
      </w:r>
      <w:r>
        <w:t xml:space="preserve">.  High-performance aerospace-grade composite materials are frequently exposed to a variety of liquid contaminants through routine operating conditions.  Absorbed fluids in polymer structures can have a detrimental effect on the durability and affect the reliability of other subsystems, such as electronics calibration.  </w:t>
      </w:r>
      <w:r>
        <w:rPr>
          <w:szCs w:val="20"/>
        </w:rPr>
        <w:t>Even a relatively low level of moisture absorption in polymers and composites can cause resin plasticization, swelling, and residual stresses in the material; which are correlated to be primary sources of material property degradation.</w:t>
      </w:r>
      <w:r>
        <w:t xml:space="preserve">  Excessive m</w:t>
      </w:r>
      <w:r>
        <w:rPr>
          <w:szCs w:val="20"/>
        </w:rPr>
        <w:t xml:space="preserve">echanical property degradation due to moisture or hydraulic fluid absorption limits the design and effectiveness of composites.  Therefore, </w:t>
      </w:r>
      <w:r w:rsidR="009E2E94">
        <w:rPr>
          <w:szCs w:val="20"/>
        </w:rPr>
        <w:t>predicting</w:t>
      </w:r>
      <w:r>
        <w:rPr>
          <w:szCs w:val="20"/>
        </w:rPr>
        <w:t xml:space="preserve"> the fluid absorption behavior of a composite laminate</w:t>
      </w:r>
      <w:r w:rsidR="009E2E94">
        <w:rPr>
          <w:szCs w:val="20"/>
        </w:rPr>
        <w:t xml:space="preserve"> is essential</w:t>
      </w:r>
      <w:r>
        <w:rPr>
          <w:szCs w:val="20"/>
        </w:rPr>
        <w:t xml:space="preserve"> to account for losses in performance or durability.</w:t>
      </w:r>
      <w:r w:rsidR="009E2E94">
        <w:rPr>
          <w:szCs w:val="20"/>
        </w:rPr>
        <w:t xml:space="preserve">  </w:t>
      </w:r>
      <w:r>
        <w:t xml:space="preserve">From each prepreg conditioning type and fabrication pressure, six specimens with planar dimensions 31.5 mm by 31.5 mm were prepared for absorption testing.  Prior to fluid exposure, any initial moisture present in the composite specimens was removed by drying the specimens in a vacuum-oven at 40°C until an equilibrium weight was achieved.  The dried specimens were </w:t>
      </w:r>
      <w:r w:rsidR="009E2E94">
        <w:t xml:space="preserve">then </w:t>
      </w:r>
      <w:r>
        <w:t>immersed in sealed glass containers filled with hydraulic fluid.  The temperature of each glass container was maintained at room temperature (25°C) with</w:t>
      </w:r>
      <w:r w:rsidR="009E2E94">
        <w:t xml:space="preserve"> a Thermo Scientific water bath.  </w:t>
      </w:r>
      <w:r>
        <w:t xml:space="preserve">The fluid uptake for a given immersion time period was periodically measured with a high-precision analytical balance. </w:t>
      </w:r>
      <w:r w:rsidR="009E2E94">
        <w:t xml:space="preserve"> </w:t>
      </w:r>
      <w:r>
        <w:t>The data was collected over a period of 24 months for quartz-reinforced laminates and 18 months for carbon fiber-reinforced laminates</w:t>
      </w:r>
      <w:r w:rsidR="009E2E94">
        <w:t xml:space="preserve">.  </w:t>
      </w:r>
    </w:p>
    <w:p w14:paraId="08761AC7" w14:textId="67C5DFBA" w:rsidR="000E7406" w:rsidRDefault="000E7406" w:rsidP="000E7406">
      <w:pPr>
        <w:ind w:firstLine="360"/>
      </w:pPr>
      <w:r>
        <w:t xml:space="preserve">After two years of immersion, the fluid mass gain </w:t>
      </w:r>
      <w:r w:rsidR="009E2E94">
        <w:t xml:space="preserve">for quartz/BMI </w:t>
      </w:r>
      <w:r>
        <w:t>ranged from 2.7-8.5 %wt. for laminates fabricated at low pressure (69 kPa) and reduced to 1.4-4.1 %wt. for laminates fabricated at high pressure (483 kPa).  The largest reduction in fluid mass gain was observed when fabrication pressure was increased from 69 kPa to 207 kPa</w:t>
      </w:r>
      <w:r w:rsidR="009E2E94">
        <w:t>, whereas additional increases in applied pressure did not reduce the fluid content to the same degree</w:t>
      </w:r>
      <w:r>
        <w:t xml:space="preserve">. </w:t>
      </w:r>
      <w:r w:rsidR="009E2E94">
        <w:t xml:space="preserve"> </w:t>
      </w:r>
      <w:r>
        <w:t>This</w:t>
      </w:r>
      <w:r w:rsidR="009E2E94">
        <w:t xml:space="preserve"> correlated</w:t>
      </w:r>
      <w:r>
        <w:t xml:space="preserve"> closely with the fiber volume fraction at each fabrication pressure, in that the largest delta was observed between 69 and 207 kPa.  </w:t>
      </w:r>
      <w:r w:rsidR="009E2E94">
        <w:t>Hydraulic fluid diffusion was very rapid f</w:t>
      </w:r>
      <w:r>
        <w:t>or an absorption period up to approximately hr</w:t>
      </w:r>
      <w:r w:rsidRPr="00C94E05">
        <w:rPr>
          <w:vertAlign w:val="superscript"/>
        </w:rPr>
        <w:t>0.5</w:t>
      </w:r>
      <w:r w:rsidRPr="00C94E05">
        <w:t xml:space="preserve"> </w:t>
      </w:r>
      <w:r w:rsidRPr="00C94E05">
        <w:rPr>
          <w:rFonts w:eastAsia="MS Gothic"/>
          <w:color w:val="000000"/>
        </w:rPr>
        <w:t xml:space="preserve">≈ </w:t>
      </w:r>
      <w:r>
        <w:t xml:space="preserve">25.0, </w:t>
      </w:r>
      <w:r w:rsidR="009E2E94">
        <w:t xml:space="preserve">or approximately one month.  </w:t>
      </w:r>
      <w:r>
        <w:t>Longer exposure periods (i.e. greater than hr</w:t>
      </w:r>
      <w:r w:rsidRPr="00C94E05">
        <w:rPr>
          <w:vertAlign w:val="superscript"/>
        </w:rPr>
        <w:t>0.5</w:t>
      </w:r>
      <w:r w:rsidRPr="00C94E05">
        <w:t xml:space="preserve"> </w:t>
      </w:r>
      <w:r w:rsidRPr="00C94E05">
        <w:rPr>
          <w:rFonts w:eastAsia="MS Gothic"/>
          <w:color w:val="000000"/>
        </w:rPr>
        <w:t>≈ 25.0</w:t>
      </w:r>
      <w:r w:rsidR="00036C69">
        <w:t>) resulted in</w:t>
      </w:r>
      <w:r>
        <w:t xml:space="preserve"> more gradual fluid uptake. </w:t>
      </w:r>
      <w:r w:rsidR="00036C69">
        <w:t xml:space="preserve"> </w:t>
      </w:r>
      <w:r>
        <w:t>After two years of immersion, three distinct regions were observed in the absor</w:t>
      </w:r>
      <w:r w:rsidR="00036C69">
        <w:t>ption data that correlated</w:t>
      </w:r>
      <w:r>
        <w:t xml:space="preserve"> with the relative humidity exposure level.  Prepregs conditioned in a dry environment (i.e. 2% RH) exhibited the lowest fluid contents, of about 1.2-2.7 %wt.  Prepregs conditioned in a mild environment (i.e. 40% RH) exhibited a mid-range fluid content range, of about 3.1-6.1 %wt.  Prepregs conditioned in a humid environment (i.e. 70% and 99% RH) exhibited the highest fluid content range, of about 4.1-8.5 %wt.  </w:t>
      </w:r>
      <w:r w:rsidR="00036C69">
        <w:t xml:space="preserve">After two years of immersion, the fluid mass gain for quartz/epoxy laminates was significantly lower than quartz/BMI.  </w:t>
      </w:r>
      <w:r>
        <w:t xml:space="preserve">The fluid mass gain ranged from 0.5-1.2 %wt. for laminates fabricated at a low pressure (69 kPa) and reduced slightly to 0.4-1.0 %wt. as fabrication pressure increased.  </w:t>
      </w:r>
      <w:r w:rsidR="00036C69">
        <w:t>The h</w:t>
      </w:r>
      <w:r>
        <w:t xml:space="preserve">ydraulic fluid uptake was more gradual </w:t>
      </w:r>
      <w:r w:rsidR="00036C69">
        <w:t xml:space="preserve">for quartz/epoxy </w:t>
      </w:r>
      <w:r>
        <w:t xml:space="preserve">when compared to the absorption behavior of BMI.  </w:t>
      </w:r>
      <w:r w:rsidR="00036C69">
        <w:t>The fluid content for p</w:t>
      </w:r>
      <w:r>
        <w:t>repregs conditioned at 99% relative humidity was significantly higher than any other conditioning treatment level.  This is most likely due to these specimens having the highest void fraction values.  At a given fabrication pressure, the laminate fiber volume fraction was very similar for quartz/epoxy laminates</w:t>
      </w:r>
      <w:r w:rsidR="00036C69">
        <w:t xml:space="preserve">. </w:t>
      </w:r>
      <w:r>
        <w:t xml:space="preserve"> Therefore, the effect of high void fractions, which serve as storage sites for liquid, </w:t>
      </w:r>
      <w:r w:rsidR="00036C69">
        <w:t>wa</w:t>
      </w:r>
      <w:r>
        <w:t xml:space="preserve">s clearly illustrated </w:t>
      </w:r>
      <w:r w:rsidR="00036C69">
        <w:t>with this prepreg material</w:t>
      </w:r>
      <w:r>
        <w:t xml:space="preserve">. </w:t>
      </w:r>
      <w:r w:rsidR="00AB5775">
        <w:t xml:space="preserve"> </w:t>
      </w:r>
      <w:r>
        <w:t xml:space="preserve">The fluid mass gain for </w:t>
      </w:r>
      <w:r w:rsidR="00AB5775">
        <w:t>carbon/epoxy</w:t>
      </w:r>
      <w:r>
        <w:t xml:space="preserve"> laminates</w:t>
      </w:r>
      <w:r w:rsidR="00AB5775">
        <w:t xml:space="preserve"> after 18 months</w:t>
      </w:r>
      <w:r>
        <w:t xml:space="preserve"> was similar to that for quartz</w:t>
      </w:r>
      <w:r w:rsidR="00AB5775">
        <w:t>/epoxy laminates, which</w:t>
      </w:r>
      <w:r>
        <w:t xml:space="preserve"> was expected as the </w:t>
      </w:r>
      <w:r w:rsidR="00AB5775">
        <w:t xml:space="preserve">same </w:t>
      </w:r>
      <w:r>
        <w:t xml:space="preserve">EX-1522 resin was </w:t>
      </w:r>
      <w:r w:rsidR="00AB5775">
        <w:t>used in both laminates</w:t>
      </w:r>
      <w:r>
        <w:t xml:space="preserve">.  When humidity exposure was less than 70% relative humidity, the fluid mass gain ranged from 1.1-1.8 %wt. for laminates fabricated at a low pressure (69 kPa) and reduced to 0.7-1.1 %wt. for laminates fabricated at a high pressure (483 kPa).  The fluid mass gain for laminates fabricated from 99% relative humidity prepregs was similar (1.8-2.1 %wt.) and had large sampling variance, regardless of the fabrication pressure.  As humidity exposure increased, the two-stage hydraulic fluid absorption behavior became more prevalent.  </w:t>
      </w:r>
      <w:r w:rsidR="00AB5775">
        <w:t>The carbon/epoxy laminates did not appear to be approaching saturation after 18 months of fluid exposure.  The equilibrium fluid content for the experimental mass gain data was determined using a hindered diffusion model.  The model indicated that both quartz-reinforced laminates were near saturation</w:t>
      </w:r>
      <w:r w:rsidR="006864FE">
        <w:t xml:space="preserve"> after 24 months of immersion</w:t>
      </w:r>
      <w:r w:rsidR="00AB5775">
        <w:t>, whereas additional absorption is required for the carbon/epoxy laminates.</w:t>
      </w:r>
    </w:p>
    <w:p w14:paraId="4E37D128" w14:textId="329481FC" w:rsidR="00A848DD" w:rsidRPr="00B12774" w:rsidRDefault="00A848DD" w:rsidP="00B12774">
      <w:pPr>
        <w:ind w:firstLine="360"/>
      </w:pPr>
      <w:r>
        <w:t xml:space="preserve">A detailed study that examined the combined effect of prepreg humidity exposure, fabrication pressure, and fluid absorption on the mechanical performance of quartz-reinforced laminates has not been reported in literature.  Therefore, the effect of long-term hydraulic fluid contamination on the flexural properties was presented in Chapter </w:t>
      </w:r>
      <w:r>
        <w:fldChar w:fldCharType="begin"/>
      </w:r>
      <w:r>
        <w:instrText xml:space="preserve"> REF _Ref341343397 \r \h </w:instrText>
      </w:r>
      <w:r>
        <w:fldChar w:fldCharType="separate"/>
      </w:r>
      <w:r w:rsidR="008A1992">
        <w:t>6</w:t>
      </w:r>
      <w:r>
        <w:fldChar w:fldCharType="end"/>
      </w:r>
      <w:r>
        <w:t xml:space="preserve">.  </w:t>
      </w:r>
      <w:r w:rsidR="00AB5775">
        <w:t xml:space="preserve">The effect of hydraulic fluid on flexural properties was conducted for quartz-reinforced prepregs because the hindered diffusion model indicated that these material systems have approached near saturation.  </w:t>
      </w:r>
      <w:r>
        <w:t>The effect of hydraulic fluid was analyzed by comparing f</w:t>
      </w:r>
      <w:r w:rsidR="00AB5775">
        <w:t xml:space="preserve">lexural </w:t>
      </w:r>
      <w:r>
        <w:t>properties with the dry baseline condition</w:t>
      </w:r>
      <w:r w:rsidR="00AB5775">
        <w:t xml:space="preserve"> presented in Chapter </w:t>
      </w:r>
      <w:r w:rsidR="00AB5775">
        <w:fldChar w:fldCharType="begin"/>
      </w:r>
      <w:r w:rsidR="00AB5775">
        <w:instrText xml:space="preserve"> REF _Ref464564658 \r \h </w:instrText>
      </w:r>
      <w:r w:rsidR="00AB5775">
        <w:fldChar w:fldCharType="separate"/>
      </w:r>
      <w:r w:rsidR="008A1992">
        <w:t>3</w:t>
      </w:r>
      <w:r w:rsidR="00AB5775">
        <w:fldChar w:fldCharType="end"/>
      </w:r>
      <w:r>
        <w:t xml:space="preserve">.  Flexural stiffness for the baseline specimens ranged from 22 to 29 GPa.  Meanwhile, stiffness for hydraulic fluid contaminated specimens ranged from 21 to 28 GPa.  Flexural stiffness showed a strong dependence on the applied cure pressure, while humidity exposure did not yield a discernible effect on stiffness.  </w:t>
      </w:r>
      <w:r w:rsidR="006864FE">
        <w:t>Therefore, b</w:t>
      </w:r>
      <w:r>
        <w:t>oth resin systems were fairly resilient to long-term hydraulic fluid contamination.  For quartz/BMI, flexural stiffness was reduced by no more than 5% after nearly two years of hydraulic fluid exposure.  This trend was seen for nearly all humidity conditioning treatments and fabrication pressures.  The only exception was prepregs conditioned in the driest environment (2% RH) and cured at 69 kPa, which observed a flexural stiffness reduction of 9%</w:t>
      </w:r>
      <w:r w:rsidR="006864FE">
        <w:t xml:space="preserve"> after nearly two years of hydraulic fluid exposure</w:t>
      </w:r>
      <w:r>
        <w:t>.  The flexural stiffness for quartz/epoxy laminates was influenced less by hydraulic fluid when compared to the BMI resin.  All humidity exposure levels and fabrication pressures had stiffness reductions of less than 5%.  Flexural strength for baseline specimens ranged from 425-603 MPa and 562-967 MPa for quartz/BMI and quartz/epoxy, respectively.  Comparatively, strength for hydraulic fluid contaminated specimens was slightly lower, and ranged from 396-588 MPa and 560-829 MPa for quartz/BMI and quartz/epoxy, respectively.</w:t>
      </w:r>
      <w:r w:rsidRPr="00D638D0">
        <w:t xml:space="preserve"> </w:t>
      </w:r>
      <w:r>
        <w:t xml:space="preserve"> A complex, coupled interaction between humidity exposure and fabrication pressure on the flexural strength was observed for both resin materials.  The effect of long-term hydraulic fluid on flexural strength was less pronounced for quartz/BMI when compared to quartz/epoxy.  Quartz/BMI flexural strength was reduced by no more than 8% after nearly two years of hydraulic fluid exposure for all humidity exposure levels and fabrication pressures, with the largest percent reduction occurring at low cure pressures.  Alternatively, the flexural strength for quartz/epoxy was reduced by nearly 15%.</w:t>
      </w:r>
    </w:p>
    <w:p w14:paraId="057954F4" w14:textId="6CA5647A" w:rsidR="00F81A21" w:rsidRDefault="0082168F" w:rsidP="00EE3E27">
      <w:pPr>
        <w:pStyle w:val="Heading2"/>
      </w:pPr>
      <w:bookmarkStart w:id="321" w:name="_Toc346311042"/>
      <w:r>
        <w:t>Addressing</w:t>
      </w:r>
      <w:r w:rsidR="00517097">
        <w:t xml:space="preserve"> Research </w:t>
      </w:r>
      <w:r w:rsidR="004E3EDF">
        <w:t>Objective 1</w:t>
      </w:r>
      <w:bookmarkEnd w:id="321"/>
    </w:p>
    <w:p w14:paraId="42C89864" w14:textId="7762C152" w:rsidR="004A48F2" w:rsidRPr="004E3EDF" w:rsidRDefault="004E3EDF" w:rsidP="0059040D">
      <w:pPr>
        <w:pStyle w:val="ListParagraph"/>
        <w:ind w:left="0"/>
        <w:rPr>
          <w:i/>
        </w:rPr>
      </w:pPr>
      <w:r w:rsidRPr="004E3EDF">
        <w:rPr>
          <w:i/>
        </w:rPr>
        <w:t>Coupled effect of varying prepreg humidity exposure level and fabrication pressure on the laminate fiber volume fraction and void formation for aerospace-grade composite prepregs</w:t>
      </w:r>
    </w:p>
    <w:p w14:paraId="765CAAA3" w14:textId="77777777" w:rsidR="0059040D" w:rsidRDefault="0059040D" w:rsidP="0059040D">
      <w:pPr>
        <w:pStyle w:val="ListParagraph"/>
        <w:ind w:left="0"/>
      </w:pPr>
    </w:p>
    <w:p w14:paraId="4EC1C59A" w14:textId="3CAD58C7" w:rsidR="00964763" w:rsidRDefault="004D3F5D" w:rsidP="001651E6">
      <w:pPr>
        <w:pStyle w:val="ListParagraph"/>
        <w:ind w:left="0" w:firstLine="360"/>
      </w:pPr>
      <w:r>
        <w:t xml:space="preserve">The first research objective was addressed by the </w:t>
      </w:r>
      <w:r w:rsidR="001651E6">
        <w:t xml:space="preserve">studies presented in Chapters </w:t>
      </w:r>
      <w:r w:rsidR="001651E6">
        <w:fldChar w:fldCharType="begin"/>
      </w:r>
      <w:r w:rsidR="001651E6">
        <w:instrText xml:space="preserve"> REF _Ref464562188 \r \h </w:instrText>
      </w:r>
      <w:r w:rsidR="001651E6">
        <w:fldChar w:fldCharType="separate"/>
      </w:r>
      <w:r w:rsidR="008A1992">
        <w:t>2</w:t>
      </w:r>
      <w:r w:rsidR="001651E6">
        <w:fldChar w:fldCharType="end"/>
      </w:r>
      <w:r w:rsidR="001651E6">
        <w:t xml:space="preserve"> and </w:t>
      </w:r>
      <w:r w:rsidR="001651E6">
        <w:fldChar w:fldCharType="begin"/>
      </w:r>
      <w:r w:rsidR="001651E6">
        <w:instrText xml:space="preserve"> REF _Ref340738293 \r \h </w:instrText>
      </w:r>
      <w:r w:rsidR="001651E6">
        <w:fldChar w:fldCharType="separate"/>
      </w:r>
      <w:r w:rsidR="008A1992">
        <w:t>4</w:t>
      </w:r>
      <w:r w:rsidR="001651E6">
        <w:fldChar w:fldCharType="end"/>
      </w:r>
      <w:r w:rsidR="001651E6">
        <w:t xml:space="preserve">.  Sixteen laminates from a combination of </w:t>
      </w:r>
      <w:proofErr w:type="gramStart"/>
      <w:r w:rsidR="001651E6">
        <w:t>four prepreg</w:t>
      </w:r>
      <w:proofErr w:type="gramEnd"/>
      <w:r w:rsidR="001651E6">
        <w:t xml:space="preserve"> humidity conditioning treatments and four fabrication pressures were manufactured for each prepreg material.  The conditioning and fabrication method decouples the laminate fiber volume fraction and void volume fraction, which allows for each property to be investigated independently.  </w:t>
      </w:r>
    </w:p>
    <w:p w14:paraId="70D7DEB4" w14:textId="168B2E40" w:rsidR="00964763" w:rsidRDefault="00964763" w:rsidP="009D0850">
      <w:pPr>
        <w:ind w:firstLine="360"/>
      </w:pPr>
      <w:r>
        <w:t xml:space="preserve">The laminate fiber volume fraction was not influenced greatly by varying levels of humidity exposure for any prepreg.  For example, in the most extreme case, the fiber volume fraction for BMI increased less than 4.7% when humidity exposure increased from 0% RH to 100% RH.  Thus, the hypothesis that exposing prepregs to varying humidity levels would primarily affect the laminate void </w:t>
      </w:r>
      <w:r w:rsidR="009F57F6">
        <w:t xml:space="preserve">volume </w:t>
      </w:r>
      <w:r>
        <w:t xml:space="preserve">fraction without significantly affecting the laminate fiber volume fraction was confirmed.  The two epoxy-resin systems (quartz/epoxy and carbon/epoxy) were even more resilient to varying humidity levels.  The fiber volume fraction for quartz/epoxy was nearly exclusively influenced by fabrication pressure.  Meanwhile, the carbon/epoxy laminates demonstrated slight decreases in fiber volume fraction as humidity exposure increased. </w:t>
      </w:r>
      <w:r w:rsidR="009D0850">
        <w:t xml:space="preserve"> </w:t>
      </w:r>
      <w:r>
        <w:t xml:space="preserve">Generally, increasing fabrication pressure </w:t>
      </w:r>
      <w:r w:rsidR="009D0850">
        <w:t xml:space="preserve">increased the fiber volume fraction similarly for each prepreg.  </w:t>
      </w:r>
      <w:r>
        <w:t xml:space="preserve">However, there </w:t>
      </w:r>
      <w:r w:rsidR="009D0850">
        <w:t>were some</w:t>
      </w:r>
      <w:r>
        <w:t xml:space="preserve"> distinct differences among the three prepregs.  </w:t>
      </w:r>
      <w:r w:rsidR="009D0850">
        <w:t>When the two quartz-reinforced laminates (BMI and epoxy) were compared, the BMI resin yielded</w:t>
      </w:r>
      <w:r>
        <w:t xml:space="preserve"> higher fiber volume fractions </w:t>
      </w:r>
      <w:r w:rsidR="009D0850">
        <w:t>for the same</w:t>
      </w:r>
      <w:r>
        <w:t xml:space="preserve"> cure pressure.  Additionally, the BMI resin had </w:t>
      </w:r>
      <w:r w:rsidR="009F57F6">
        <w:t xml:space="preserve">a </w:t>
      </w:r>
      <w:r>
        <w:t xml:space="preserve">slightly larger range of fiber volume fractions, 50.7-66.6%, when compared to the range for epoxy resin, 48.2-62.6%.  Excluding </w:t>
      </w:r>
      <w:r w:rsidR="009D0850">
        <w:t xml:space="preserve">very </w:t>
      </w:r>
      <w:r>
        <w:t>high pressures</w:t>
      </w:r>
      <w:r w:rsidR="009D0850">
        <w:t xml:space="preserve"> (483 kPa)</w:t>
      </w:r>
      <w:r>
        <w:t xml:space="preserve"> the fiber volume fraction for quartz/epoxy laminates was very consistent at a specific cure pressure and typically did not vary by more than </w:t>
      </w:r>
      <w:r w:rsidRPr="001D7A6D">
        <w:rPr>
          <w:rFonts w:ascii="MS Gothic" w:eastAsia="MS Gothic"/>
          <w:color w:val="000000"/>
        </w:rPr>
        <w:t>±</w:t>
      </w:r>
      <w:r>
        <w:t xml:space="preserve">1.3%.  </w:t>
      </w:r>
      <w:r w:rsidR="009D0850">
        <w:t xml:space="preserve">The </w:t>
      </w:r>
      <w:r>
        <w:t xml:space="preserve">two epoxy-resin prepregs </w:t>
      </w:r>
      <w:r w:rsidR="009D0850">
        <w:t>(quartz/epoxy and carbon/epoxy)</w:t>
      </w:r>
      <w:r>
        <w:t xml:space="preserve"> had identical delta changes in the f</w:t>
      </w:r>
      <w:r w:rsidR="009D0850">
        <w:t>iber volume fraction of 14.4%, albeit the carbon fiber reinforcement had a higher overall</w:t>
      </w:r>
      <w:r>
        <w:t xml:space="preserve"> magnitude</w:t>
      </w:r>
      <w:r w:rsidR="009D0850">
        <w:t>.</w:t>
      </w:r>
    </w:p>
    <w:p w14:paraId="6B9E55E8" w14:textId="06CE3901" w:rsidR="00964763" w:rsidRDefault="00964763" w:rsidP="00705791">
      <w:pPr>
        <w:ind w:firstLine="360"/>
      </w:pPr>
      <w:r>
        <w:t xml:space="preserve">All prepregs observed an increase in void </w:t>
      </w:r>
      <w:r w:rsidR="009F57F6">
        <w:t xml:space="preserve">volume </w:t>
      </w:r>
      <w:r>
        <w:t xml:space="preserve">fraction as the prepreg humidity exposure level increased.  </w:t>
      </w:r>
      <w:r w:rsidR="009D0850">
        <w:t>Laminates produced with</w:t>
      </w:r>
      <w:r>
        <w:t xml:space="preserve"> BMI </w:t>
      </w:r>
      <w:r w:rsidR="009D0850">
        <w:t xml:space="preserve">were generally more susceptible to a high void fraction.  When the </w:t>
      </w:r>
      <w:proofErr w:type="gramStart"/>
      <w:r w:rsidR="009D0850">
        <w:t>two epoxy</w:t>
      </w:r>
      <w:proofErr w:type="gramEnd"/>
      <w:r w:rsidR="009D0850">
        <w:t xml:space="preserve"> resin prepregs were compared, it was observed that utilizing </w:t>
      </w:r>
      <w:r>
        <w:t xml:space="preserve">quartz reinforcement </w:t>
      </w:r>
      <w:r w:rsidR="009D0850">
        <w:t>would</w:t>
      </w:r>
      <w:r>
        <w:t xml:space="preserve"> cause a rate of increasing void fraction over five times that of carbon fiber-reinforcement. </w:t>
      </w:r>
      <w:r w:rsidR="00705791">
        <w:t xml:space="preserve"> </w:t>
      </w:r>
      <w:r>
        <w:t>The quartz/BMI laminates</w:t>
      </w:r>
      <w:r w:rsidR="00705791">
        <w:t xml:space="preserve"> on the other hand</w:t>
      </w:r>
      <w:r>
        <w:t xml:space="preserve"> had a reasonably low rate of increasing void fraction</w:t>
      </w:r>
      <w:r w:rsidR="00705791">
        <w:t xml:space="preserve"> as humidity exposure increased.</w:t>
      </w:r>
      <w:r>
        <w:t xml:space="preserve"> </w:t>
      </w:r>
      <w:r w:rsidR="00705791">
        <w:t xml:space="preserve"> T</w:t>
      </w:r>
      <w:r>
        <w:t xml:space="preserve">he largest rate of increasing void </w:t>
      </w:r>
      <w:r w:rsidR="009F57F6">
        <w:t xml:space="preserve">volume </w:t>
      </w:r>
      <w:r>
        <w:t>fraction</w:t>
      </w:r>
      <w:r w:rsidR="00705791">
        <w:t xml:space="preserve"> for quartz/BMI</w:t>
      </w:r>
      <w:r>
        <w:t xml:space="preserve"> was 2.5% per 100% relative humidity increase. </w:t>
      </w:r>
      <w:r w:rsidR="00705791">
        <w:t xml:space="preserve"> Thus it can be concluded that although</w:t>
      </w:r>
      <w:r>
        <w:t xml:space="preserve"> BMI is susceptible to a high void fraction when high-pressure fabrication procedures or vacuum-bag assist</w:t>
      </w:r>
      <w:r w:rsidR="00705791">
        <w:t xml:space="preserve">ance is not utilized, </w:t>
      </w:r>
      <w:r>
        <w:t xml:space="preserve">BMI is very resistant to further increases in the void volume fraction </w:t>
      </w:r>
      <w:r w:rsidR="00705791">
        <w:t xml:space="preserve">as a result of </w:t>
      </w:r>
      <w:r>
        <w:t>high humidity exposures.</w:t>
      </w:r>
    </w:p>
    <w:p w14:paraId="783DB3E1" w14:textId="306D9FA0" w:rsidR="001651E6" w:rsidRDefault="00964763" w:rsidP="00BB146F">
      <w:pPr>
        <w:pStyle w:val="ListParagraph"/>
        <w:ind w:left="0" w:firstLine="360"/>
      </w:pPr>
      <w:r>
        <w:t>Contour plots of the functional property equations were developed to illustrate the synergistic effect of humidity conditioning and fabrication pressure on fiber volume fraction and void volume fraction.  The contour plots are useful in identifying the relative sensitivity of each variable, as well as any local phenomena such as minimums and maximums.</w:t>
      </w:r>
      <w:r w:rsidR="00BB146F">
        <w:t xml:space="preserve">  Contour plots revealed that fiber volume fraction was predominantly dependent on fabrication pressure for all prepregs.  Near vertical contour lines for quartz/epoxy indicated that humidity exposure had very little effect on the fiber volume fraction, regardless of the applied cure pressure.  Meanwhile, humidity did play a minor role for quartz/BMI and carbon/epoxy when the applied cure pressure was high.  The fiber volume fraction for both epoxy resin prepreg materials (quartz/epoxy and carbon/epoxy), changed by about 20%.  On the other hand, the fiber volume fraction for quartz/BMI changed by nearly 30%.  Contour plots for normalized void volume fraction revealed a more complex-coupled relationship between prepreg humidity exposure and fabrication cure pressure.  For all prepreg materials, the rate of increasing void volume fraction progressively increased as fabrication pressure declined and relatively humidity exposure increased.  The contour plots clearly depicted the highest void fractions when laminates were produced at low pressure from prepregs conditioned in high humidity for all prepregs.  Both quartz-reinforced laminates (BMI and epoxy) had similar maximum void volume fractions of 14.1% for epoxy resin and 13.9% for BMI resin.  However, the quartz/BMI laminates had the smallest change in void fraction for varying levels of humidity exposure and fabrication pressure.  At the minimum, the void fraction for BMI reduced to about 8%, or a normalized percent reduction of about 40%.  Alternatively, the void volume fraction for quartz/epoxy was progressively reduced to 1.7%, which represents a normalized percent reduction of 90%.  Even at low humidity exposure levels, BMI absorbed significantly more moisture during the conditioning process.  The void </w:t>
      </w:r>
      <w:r w:rsidR="009F57F6">
        <w:t xml:space="preserve">volume </w:t>
      </w:r>
      <w:r w:rsidR="00BB146F">
        <w:t>fraction for carbon/epoxy laminates reduced from 4.8% to 1.3% as pressure increased and humidity exposure decreased, which represents a normalized percentage range of approximately 70%.</w:t>
      </w:r>
    </w:p>
    <w:p w14:paraId="56E7C254" w14:textId="01541632" w:rsidR="008D3B5E" w:rsidRPr="00DD628F" w:rsidRDefault="00BB146F" w:rsidP="008D3B5E">
      <w:pPr>
        <w:ind w:firstLine="360"/>
      </w:pPr>
      <w:r>
        <w:t>This</w:t>
      </w:r>
      <w:r w:rsidR="008D3B5E">
        <w:t xml:space="preserve"> research</w:t>
      </w:r>
      <w:r w:rsidR="00705791">
        <w:t xml:space="preserve"> study </w:t>
      </w:r>
      <w:r>
        <w:t>contributed</w:t>
      </w:r>
      <w:r w:rsidR="008D3B5E">
        <w:t xml:space="preserve"> a detailed evaluation of the effect of storage conditions </w:t>
      </w:r>
      <w:r w:rsidR="00705791">
        <w:t>and</w:t>
      </w:r>
      <w:r w:rsidR="008D3B5E">
        <w:t xml:space="preserve"> processing environment in the form of relative humidity exposure and fabrication pressure on the laminate </w:t>
      </w:r>
      <w:r w:rsidR="00705791">
        <w:t>fiber volume fraction and void volume fraction for</w:t>
      </w:r>
      <w:r w:rsidR="008D3B5E">
        <w:t xml:space="preserve"> aerospace-grade composite prepregs.  </w:t>
      </w:r>
      <w:r w:rsidR="00705791">
        <w:t xml:space="preserve">The effect of cure pressure or prepreg conditioning has been addressed occasionally in literature; a systematic study that varies both independently for three composite prepregs has not been studied previously.  </w:t>
      </w:r>
      <w:r w:rsidR="008D3B5E">
        <w:t xml:space="preserve">Fiber volume fraction </w:t>
      </w:r>
      <w:r w:rsidR="00705791">
        <w:t>was found to generally depend</w:t>
      </w:r>
      <w:r w:rsidR="008D3B5E">
        <w:t xml:space="preserve"> on the fabrication pressure, whereas more complex and coupled behav</w:t>
      </w:r>
      <w:r w:rsidR="00705791">
        <w:t xml:space="preserve">ior was noted for void </w:t>
      </w:r>
      <w:r w:rsidR="009F57F6">
        <w:t xml:space="preserve">volume </w:t>
      </w:r>
      <w:r w:rsidR="00705791">
        <w:t xml:space="preserve">fraction.  </w:t>
      </w:r>
      <w:r w:rsidR="008D3B5E">
        <w:t>Addi</w:t>
      </w:r>
      <w:r w:rsidR="00705791">
        <w:t xml:space="preserve">tionally, the </w:t>
      </w:r>
      <w:r>
        <w:t xml:space="preserve">property function equations </w:t>
      </w:r>
      <w:r w:rsidR="008D3B5E">
        <w:t xml:space="preserve">and associated contour plots </w:t>
      </w:r>
      <w:r w:rsidR="00705791">
        <w:t>are</w:t>
      </w:r>
      <w:r w:rsidR="008D3B5E">
        <w:t xml:space="preserve"> a useful tool in identifying the sensitivity of relative humidity and fabrication pressure on the laminate microstructure</w:t>
      </w:r>
      <w:r w:rsidR="00705791">
        <w:t>.</w:t>
      </w:r>
    </w:p>
    <w:p w14:paraId="3A4A670C" w14:textId="27F95DC5" w:rsidR="00CD6C86" w:rsidRDefault="00CD6C86" w:rsidP="00CD6C86">
      <w:pPr>
        <w:pStyle w:val="Heading3"/>
      </w:pPr>
      <w:bookmarkStart w:id="322" w:name="_Toc346311043"/>
      <w:r>
        <w:t>Limitations and Future Work Associated with Research Objective 1</w:t>
      </w:r>
      <w:bookmarkEnd w:id="322"/>
    </w:p>
    <w:p w14:paraId="44125EE4" w14:textId="04365E1C" w:rsidR="00056721" w:rsidRPr="001A18EC" w:rsidRDefault="00056721" w:rsidP="00056721">
      <w:pPr>
        <w:rPr>
          <w:u w:val="single"/>
        </w:rPr>
      </w:pPr>
      <w:r w:rsidRPr="001A18EC">
        <w:rPr>
          <w:u w:val="single"/>
        </w:rPr>
        <w:t>Uncertainties associated with experimental fiber volume fraction and void fraction results</w:t>
      </w:r>
    </w:p>
    <w:p w14:paraId="53601458" w14:textId="7B5C6FFF" w:rsidR="00CD6C86" w:rsidRDefault="00056721" w:rsidP="00056721">
      <w:pPr>
        <w:pStyle w:val="ListParagraph"/>
        <w:ind w:left="0" w:firstLine="360"/>
      </w:pPr>
      <w:r>
        <w:t xml:space="preserve">Some experimentally determined fiber volume fractions and void </w:t>
      </w:r>
      <w:r w:rsidR="009F57F6">
        <w:t xml:space="preserve">volume </w:t>
      </w:r>
      <w:r>
        <w:t xml:space="preserve">fractions had unusually high variations about the mean, which may have been due to local variations within the specimens used for this study. </w:t>
      </w:r>
      <w:r w:rsidR="001A18EC">
        <w:t xml:space="preserve"> </w:t>
      </w:r>
      <w:r>
        <w:t>In the current study, all laminate microstructure specimens were extracted from</w:t>
      </w:r>
      <w:r w:rsidR="001A18EC">
        <w:t xml:space="preserve"> the perimeters of the laminate.  The central region of each laminate was used exclusively for flexural specimens and tensile specimens for future studies.</w:t>
      </w:r>
      <w:r w:rsidR="001A18EC" w:rsidRPr="001A18EC">
        <w:t xml:space="preserve"> </w:t>
      </w:r>
      <w:r w:rsidR="001A18EC">
        <w:t xml:space="preserve"> If given the opportunity again, specimens would have been extracted from the central location within each laminate</w:t>
      </w:r>
      <w:r w:rsidR="009F57F6">
        <w:t xml:space="preserve"> as a crosschecking means with the other specimens</w:t>
      </w:r>
      <w:r w:rsidR="001A18EC">
        <w:t>.</w:t>
      </w:r>
    </w:p>
    <w:p w14:paraId="380E99AF" w14:textId="77777777" w:rsidR="00B13CC8" w:rsidRDefault="00B13CC8" w:rsidP="00056721">
      <w:pPr>
        <w:pStyle w:val="ListParagraph"/>
        <w:ind w:left="0" w:firstLine="360"/>
      </w:pPr>
    </w:p>
    <w:p w14:paraId="76C783D7" w14:textId="7DBF8998" w:rsidR="00B13CC8" w:rsidRPr="001A18EC" w:rsidRDefault="00B13CC8" w:rsidP="00B13CC8">
      <w:pPr>
        <w:rPr>
          <w:u w:val="single"/>
        </w:rPr>
      </w:pPr>
      <w:r>
        <w:rPr>
          <w:u w:val="single"/>
        </w:rPr>
        <w:t>Limitations of the statistical approaches and curve fits associated with the effect of humidity or pressure on the laminate microstructure</w:t>
      </w:r>
    </w:p>
    <w:p w14:paraId="6135658E" w14:textId="00532554" w:rsidR="00B13CC8" w:rsidRDefault="00B13CC8" w:rsidP="00B13CC8">
      <w:pPr>
        <w:pStyle w:val="ListParagraph"/>
        <w:ind w:left="0" w:firstLine="360"/>
      </w:pPr>
      <w:r>
        <w:t xml:space="preserve">The selected trend line representations were sufficient in capturing the desired trends and behaviors of the effect of humidity exposure and fabrication pressure on the laminate fiber volume fraction and void volume fraction.  </w:t>
      </w:r>
      <w:r w:rsidR="00C22A31">
        <w:t xml:space="preserve">Generally, the effect of humidity or fabrication pressure on fiber volume fraction or void volume fraction can be assumed to be 1st-order relationships, such as linear functions or power-functions.  </w:t>
      </w:r>
      <w:r>
        <w:t>O</w:t>
      </w:r>
      <w:r w:rsidR="008E29A0">
        <w:t>ne limitation of the approach is</w:t>
      </w:r>
      <w:r>
        <w:t xml:space="preserve"> that it is a data-driven </w:t>
      </w:r>
      <w:r w:rsidR="00F306E8">
        <w:t>model;</w:t>
      </w:r>
      <w:r w:rsidR="00C22A31">
        <w:t xml:space="preserve"> therefore it is only as accurate as the experimental data available.  Another limitation for the current study is that only a single average of a limited number of specimens was ascertained.  This was sufficient to </w:t>
      </w:r>
      <w:r w:rsidR="008E29A0">
        <w:t>address the research objectives of analyzing general trends due to varying parameters, however higher levels of statistical analysis was not possible and could be the focus of future research studies.</w:t>
      </w:r>
    </w:p>
    <w:p w14:paraId="4CA198B9" w14:textId="763AB1FC" w:rsidR="00CD6C86" w:rsidRDefault="0082168F" w:rsidP="00CD6C86">
      <w:pPr>
        <w:pStyle w:val="Heading2"/>
      </w:pPr>
      <w:bookmarkStart w:id="323" w:name="_Toc346311044"/>
      <w:r>
        <w:t>Addressing</w:t>
      </w:r>
      <w:r w:rsidR="00CD6C86">
        <w:t xml:space="preserve"> Research Objective 2</w:t>
      </w:r>
      <w:bookmarkEnd w:id="323"/>
    </w:p>
    <w:p w14:paraId="6E6CCE6A" w14:textId="0317FA6C" w:rsidR="00CD6C86" w:rsidRPr="004E3EDF" w:rsidRDefault="00CD6C86" w:rsidP="00CD6C86">
      <w:pPr>
        <w:pStyle w:val="ListParagraph"/>
        <w:ind w:left="0"/>
        <w:rPr>
          <w:i/>
        </w:rPr>
      </w:pPr>
      <w:r>
        <w:rPr>
          <w:i/>
        </w:rPr>
        <w:t xml:space="preserve">In addition to fiber volume fraction and void </w:t>
      </w:r>
      <w:r w:rsidR="009F57F6">
        <w:rPr>
          <w:i/>
        </w:rPr>
        <w:t xml:space="preserve">volume </w:t>
      </w:r>
      <w:r>
        <w:rPr>
          <w:i/>
        </w:rPr>
        <w:t>fraction, effect of prepreg</w:t>
      </w:r>
      <w:r w:rsidRPr="00275102">
        <w:rPr>
          <w:i/>
        </w:rPr>
        <w:t xml:space="preserve"> humidity exposure</w:t>
      </w:r>
      <w:r>
        <w:rPr>
          <w:i/>
        </w:rPr>
        <w:t xml:space="preserve"> level</w:t>
      </w:r>
      <w:r w:rsidRPr="00275102">
        <w:rPr>
          <w:i/>
        </w:rPr>
        <w:t xml:space="preserve"> and fabrication</w:t>
      </w:r>
      <w:r>
        <w:rPr>
          <w:i/>
        </w:rPr>
        <w:t xml:space="preserve"> </w:t>
      </w:r>
      <w:r w:rsidRPr="00275102">
        <w:rPr>
          <w:i/>
        </w:rPr>
        <w:t xml:space="preserve">pressure </w:t>
      </w:r>
      <w:r>
        <w:rPr>
          <w:i/>
        </w:rPr>
        <w:t xml:space="preserve">on </w:t>
      </w:r>
      <w:r w:rsidRPr="00275102">
        <w:rPr>
          <w:i/>
        </w:rPr>
        <w:t>the laminate</w:t>
      </w:r>
      <w:r>
        <w:rPr>
          <w:i/>
        </w:rPr>
        <w:t xml:space="preserve"> flexural stiffness, flexural strength, and hydraulic fluid absorption behavior</w:t>
      </w:r>
    </w:p>
    <w:p w14:paraId="5F37B736" w14:textId="77777777" w:rsidR="00CD6C86" w:rsidRDefault="00CD6C86" w:rsidP="00CD6C86">
      <w:pPr>
        <w:pStyle w:val="ListParagraph"/>
        <w:ind w:left="0"/>
      </w:pPr>
    </w:p>
    <w:p w14:paraId="45FBCBA9" w14:textId="37497A8D" w:rsidR="00F11B9D" w:rsidRDefault="0033183F" w:rsidP="00D03688">
      <w:pPr>
        <w:pStyle w:val="ListParagraph"/>
        <w:ind w:left="0" w:firstLine="360"/>
      </w:pPr>
      <w:r>
        <w:t xml:space="preserve">The studies developed to address the second research objective were presented in Chapters </w:t>
      </w:r>
      <w:r>
        <w:fldChar w:fldCharType="begin"/>
      </w:r>
      <w:r>
        <w:instrText xml:space="preserve"> REF _Ref464564658 \r \h </w:instrText>
      </w:r>
      <w:r>
        <w:fldChar w:fldCharType="separate"/>
      </w:r>
      <w:r w:rsidR="008A1992">
        <w:t>3</w:t>
      </w:r>
      <w:r>
        <w:fldChar w:fldCharType="end"/>
      </w:r>
      <w:r>
        <w:t xml:space="preserve">, </w:t>
      </w:r>
      <w:r>
        <w:fldChar w:fldCharType="begin"/>
      </w:r>
      <w:r>
        <w:instrText xml:space="preserve"> REF _Ref340738293 \r \h </w:instrText>
      </w:r>
      <w:r>
        <w:fldChar w:fldCharType="separate"/>
      </w:r>
      <w:r w:rsidR="008A1992">
        <w:t>4</w:t>
      </w:r>
      <w:r>
        <w:fldChar w:fldCharType="end"/>
      </w:r>
      <w:r>
        <w:t xml:space="preserve">, and </w:t>
      </w:r>
      <w:r>
        <w:fldChar w:fldCharType="begin"/>
      </w:r>
      <w:r>
        <w:instrText xml:space="preserve"> REF _Ref464121241 \r \h </w:instrText>
      </w:r>
      <w:r>
        <w:fldChar w:fldCharType="separate"/>
      </w:r>
      <w:r w:rsidR="008A1992">
        <w:t>5</w:t>
      </w:r>
      <w:r>
        <w:fldChar w:fldCharType="end"/>
      </w:r>
      <w:r>
        <w:t xml:space="preserve">.  </w:t>
      </w:r>
      <w:r w:rsidR="00F11B9D">
        <w:t xml:space="preserve">For each prepreg material, varying humidity exposure did not significantly affect flexural stiffness.  For example, the most extreme case was observed with carbon fiber reinforced epoxy laminates fabricated at 345 kPa, which had a slope of just 0.035 GPa / % relative humidity.  Both quartz-reinforced laminates (quartz/BMI and quartz/epoxy) had even lower stiffness slopes due to humidity exposure, of no more than 0.015 GPa / % relative humidity for all fabrication levels.  Regardless of the matrix material (BMI and epoxy), both quartz-reinforced laminates had similar stiffness offsets for the same fabrication pressure.  As fabrication pressure increased, all materials demonstrated near linear flexural stiffness increases.  Regardless of the humidity exposure, the rate of stiffness increase and offset was similar for quartz/epoxy and quartz/BMI laminates.  The rate of stiffness increase for quartz-reinforcement was within the range of 0.014-0.016 GPa/kPa.  Comparing the </w:t>
      </w:r>
      <w:proofErr w:type="gramStart"/>
      <w:r w:rsidR="00F11B9D">
        <w:t>two epoxy</w:t>
      </w:r>
      <w:proofErr w:type="gramEnd"/>
      <w:r w:rsidR="00F11B9D">
        <w:t xml:space="preserve"> matrix materials (quartz/epoxy and carbon/epoxy) revealed that flexural stiffness for carbon fiber reinforced laminates was slightly more sensitive to changes in pressure than </w:t>
      </w:r>
      <w:r w:rsidR="00D03688">
        <w:t>quartz-reinforced laminates.  This wa</w:t>
      </w:r>
      <w:r w:rsidR="00F11B9D">
        <w:t>s indicated by the larger increasing slopes of carbon fiber (0.016-0.023 GPa/kPa) as opposed to that of quartz fiber (0.015-0.016 GPa/kPa).</w:t>
      </w:r>
    </w:p>
    <w:p w14:paraId="3C506CC0" w14:textId="013CABBD" w:rsidR="00F11B9D" w:rsidRDefault="00F11B9D" w:rsidP="00D03688">
      <w:pPr>
        <w:ind w:firstLine="360"/>
      </w:pPr>
      <w:r>
        <w:t xml:space="preserve">Each material demonstrated complex, polynomial-like behavior on flexural strength when considering humidity exposure.  Strength was lower when BMI resin was used instead of epoxy </w:t>
      </w:r>
      <w:r w:rsidR="00D03688">
        <w:t xml:space="preserve">resin.  </w:t>
      </w:r>
      <w:r>
        <w:t>However, strength for BMI was not influenced to the same degree</w:t>
      </w:r>
      <w:r w:rsidR="00D03688">
        <w:t xml:space="preserve"> by changes in humidity.  </w:t>
      </w:r>
      <w:r>
        <w:t>Additionally, utilizing BMI for the resin material resulted in a local minimum for flexural strength near 70% relative humidity.  Epoxy resin on the other hand generally had a local maximum near 50% relative humidity</w:t>
      </w:r>
      <w:r w:rsidR="00D03688">
        <w:t>.</w:t>
      </w:r>
      <w:r>
        <w:t xml:space="preserve">  Both epoxy resin systems (</w:t>
      </w:r>
      <w:r w:rsidR="00D03688">
        <w:t>quartz/epoxy and carbon/epoxy</w:t>
      </w:r>
      <w:r>
        <w:t>) had initial strength values between 700-840 MPa that were in close proximity to each other at a specific fabrication pressure.  However, the effect of humidity exposure was distinctly different fo</w:t>
      </w:r>
      <w:r w:rsidR="00D03688">
        <w:t xml:space="preserve">r each fiber reinforcement type, with quartz-reinforced laminates being influenced </w:t>
      </w:r>
      <w:r>
        <w:t>by humidity to a larger degree. There were instances for carbon fiber that was more sporadic and random in nature.  For example, samples fabricated at 483 kPa demonstrated a large local minimum near 40% relative humidity, which was caused by the unusually low flexural strength for the specimens conditioned at 40% relative humidity.  The overall trend of a slight decline as humidity increased from zero to 100% relative humidity remained true, therefore it is believed that this behavior was more likely due to uncertainties with experimental data.</w:t>
      </w:r>
      <w:r w:rsidRPr="00FF5F91">
        <w:t xml:space="preserve"> </w:t>
      </w:r>
      <w:r w:rsidR="00D03688">
        <w:t xml:space="preserve"> </w:t>
      </w:r>
      <w:r>
        <w:t xml:space="preserve">The flexure strength increased as fabrication pressure increased for each prepreg material.  Excluding dry humidity environments (i.e. 2% RH), the flexural strength for quartz/epoxy increased substantially as fabrication pressure increased.  </w:t>
      </w:r>
      <w:r w:rsidR="00D03688">
        <w:t xml:space="preserve">Generally, all quartz-reinforced materials (quartz/BMI and quartz/epoxy) </w:t>
      </w:r>
      <w:r>
        <w:t>had similar initial strength values ranging from 270-350 MPa.  However, the rate of increase for epoxy was nearly double that for BMI.  Therefore this results in a flexural strength range of 562-967 MPa and 425-602 MPa for quartz/epoxy and quartz/BMI, respectively.  The flexural strength for carbon fiber reinforced laminates was influenced the le</w:t>
      </w:r>
      <w:r w:rsidR="00D03688">
        <w:t>ast due to fabrication pressure.</w:t>
      </w:r>
    </w:p>
    <w:p w14:paraId="4505B225" w14:textId="2A9F88CD" w:rsidR="00BB146F" w:rsidRDefault="00BB146F" w:rsidP="00BB146F">
      <w:pPr>
        <w:ind w:firstLine="360"/>
      </w:pPr>
      <w:r>
        <w:t xml:space="preserve">Contour plots for normalized flexural stiffness were primarily dependent on the fabrication pressure for all prepregs.  Since stiffness is fiber-dominated phenomenon, it was expected that humidity exposure would have a limited effect on the flexural stiffness, which was confirmed by the near vertical contour lines.  Overall, the spacing between contour lines remained similar throughout the entire fabrication pressure range.  The constant contour line spacing indicated near-linear increases in stiffness as fabrication pressure increased.  The maximum flexural stiffness was 29.3 GPa for both quartz-reinforced prepregs, regardless of whether BMI or epoxy was used.  The stiffness for each quartz-reinforced prepreg had a normalized percent change of about 25%.  Meanwhile, the flexural stiffness for carbon fiber-reinforcement was significantly higher, with a maximum of 53.3 GPa.  The load-bearing capability of carbon fiber is well known to be superior when compared to quartz fiber, which was reflected by the high stiffness values.  Carbon fiber-reinforcement also had a much narrower range of flexural stiffness values, as the normalized percent change was less than 20% for all fabricated specimens.  Contour plots for normalized flexural strength reveal significant contributions by prepreg humidity exposure and fabrication pressure.  Flexural strength requires good fiber-matrix interface to transfer loads between plies.  Therefore as laminate defects increase (i.e. void fraction) the strength potential significantly degrades.  The flexural strength for quartz/BMI and quartz/epoxy followed this trend very closely, in that the highest flexural strength was observed when humidity exposure was low and fabrication pressure was high, and correlated with the lowest void volume fraction.  Additionally, the spacing between contour lines was the closest in the same region when void </w:t>
      </w:r>
      <w:r w:rsidR="00EE66B9">
        <w:t xml:space="preserve">volume </w:t>
      </w:r>
      <w:r>
        <w:t>fraction similarly had the closest intervals, which was at high humidity exposure and low fabrication pressure.  An interesting note was the complex procedure required to improve strength for these laminates.  If starting at a low fabrication pressure, a majority of improvement could be achieved simply by increasing the cure pressure.  However, as pressure increased to higher amounts (greater than 350 kPa), it became increasingly necessary to reduce the humidity exposure level to continue improving the flexural strength.  Resin type has a significant role on the maximum flexural strength, which is corroborated by BMI being much lower (603 MPa) when compared to epoxy (967 MPa).  The normalized strength reduction for carbon/epoxy was much lower than the two quartz-reinforced laminates.  Additionally, the strength for carbon/epoxy laminates was influenced by humidity changes to the same degree.</w:t>
      </w:r>
    </w:p>
    <w:p w14:paraId="52EF7061" w14:textId="3228BC62" w:rsidR="00CD6402" w:rsidRDefault="00CD6402" w:rsidP="00CD6402">
      <w:pPr>
        <w:ind w:firstLine="360"/>
      </w:pPr>
      <w:r>
        <w:t>The experimental mass gain data for long-term hydraulic fluid absorption was analyzed using a hindered diffusion model.  The model had good agreement with the experimental data and was successful in recovering the absorption parameters and equilibrium fluid contents for each laminate.  Both quartz-reinforced laminates (quartz/BMI and quartz/epoxy) were nearing saturation after two years of immersion.  Meanwhile, the carbon/epoxy laminates have not neared saturation after 18 months of immersion</w:t>
      </w:r>
      <w:r w:rsidR="00056721">
        <w:t>.  For quartz/BMI and quartz/epoxy</w:t>
      </w:r>
      <w:r>
        <w:t xml:space="preserve">, the equilibrium fluid content increased as relative humidity exposure increased.  However, the effect was much more pronounced for BMI resin.  Additionally, the equilibrium fluid content was significantly higher for laminates fabricated at 69 kPa.  Meanwhile, the equilibrium fluid content was grouped tightly together for all other fabrication pressures.  This </w:t>
      </w:r>
      <w:r w:rsidR="00056721">
        <w:t xml:space="preserve">behavior </w:t>
      </w:r>
      <w:r>
        <w:t>closely mirrors the laminate fiber volume fraction for each material, where the largest incremental improvement was achieved when pressure was increased from 69 kPa to 207 kPa.  The rate of increase for equilibrium fluid content was significantly higher, by six fold, for BMI when compared to epoxy resin</w:t>
      </w:r>
      <w:r w:rsidR="00056721">
        <w:t>, which</w:t>
      </w:r>
      <w:r>
        <w:t xml:space="preserve"> gradually declined as fabrication pressure increased.  This indicates that prepreg humidity exposure must be closely monitored and accounted for when fabrication pressures are low so as to limit hydraulic fluid absorption.  The rate of increase for quartz/epoxy (</w:t>
      </w:r>
      <w:r>
        <w:fldChar w:fldCharType="begin"/>
      </w:r>
      <w:r>
        <w:instrText xml:space="preserve"> REF _Ref344549101 \h </w:instrText>
      </w:r>
      <w:r>
        <w:fldChar w:fldCharType="separate"/>
      </w:r>
      <w:r w:rsidR="008A1992" w:rsidRPr="00261427">
        <w:t xml:space="preserve">Figure </w:t>
      </w:r>
      <w:r w:rsidR="008A1992">
        <w:rPr>
          <w:noProof/>
        </w:rPr>
        <w:t>5</w:t>
      </w:r>
      <w:r w:rsidR="008A1992">
        <w:t>.</w:t>
      </w:r>
      <w:r w:rsidR="008A1992">
        <w:rPr>
          <w:noProof/>
        </w:rPr>
        <w:t>8</w:t>
      </w:r>
      <w:r>
        <w:fldChar w:fldCharType="end"/>
      </w:r>
      <w:r>
        <w:t>b) was very similar, regardless of the fabrication pressure.  Therefore, the equilibrium fluid content is influenced to a larger degree by the fabrication cure pressure</w:t>
      </w:r>
      <w:r w:rsidR="00056721">
        <w:t xml:space="preserve"> when epoxy resin is utilized</w:t>
      </w:r>
      <w:r>
        <w:t>.</w:t>
      </w:r>
      <w:r w:rsidR="00056721">
        <w:t xml:space="preserve">  </w:t>
      </w:r>
      <w:r>
        <w:t>Quartz/BMI generally had higher accuracy of the model fits when compared to quartz/epoxy.  Equilibrium fluid content was also more sensitive to changes in fabrica</w:t>
      </w:r>
      <w:r w:rsidR="00056721">
        <w:t>tion pressure for BMI, with increasing rates of</w:t>
      </w:r>
      <w:r>
        <w:t xml:space="preserve"> two or three times that </w:t>
      </w:r>
      <w:r w:rsidR="00056721">
        <w:t>epoxy.  This indicated</w:t>
      </w:r>
      <w:r>
        <w:t xml:space="preserve"> that the applied cure pressure contributes significantly to the amount of hydraulic fluid absorbed for BMI resin applications.</w:t>
      </w:r>
    </w:p>
    <w:p w14:paraId="7C3F8BD4" w14:textId="1F9D7E47" w:rsidR="00CD6C86" w:rsidRDefault="00705791" w:rsidP="00F11B9D">
      <w:pPr>
        <w:ind w:firstLine="360"/>
      </w:pPr>
      <w:r>
        <w:t>One contr</w:t>
      </w:r>
      <w:r w:rsidR="0033183F">
        <w:t>ibution of this research study wa</w:t>
      </w:r>
      <w:r>
        <w:t xml:space="preserve">s a detailed evaluation of the effect of humidity exposure and fabrication pressure on the laminate </w:t>
      </w:r>
      <w:r w:rsidR="0033183F">
        <w:t xml:space="preserve">flexural properties </w:t>
      </w:r>
      <w:r>
        <w:t xml:space="preserve">and absorption behavior of aerospace-grade composite prepregs. </w:t>
      </w:r>
      <w:r w:rsidR="00F11B9D">
        <w:t xml:space="preserve"> F</w:t>
      </w:r>
      <w:r>
        <w:t xml:space="preserve">lexural stiffness </w:t>
      </w:r>
      <w:r w:rsidR="00F11B9D">
        <w:t>was</w:t>
      </w:r>
      <w:r>
        <w:t xml:space="preserve"> generally dependent on the fabrication pressure, whereas</w:t>
      </w:r>
      <w:r w:rsidR="00F11B9D">
        <w:t xml:space="preserve"> flexural strength demonstrated a </w:t>
      </w:r>
      <w:r>
        <w:t xml:space="preserve">coupled </w:t>
      </w:r>
      <w:r w:rsidR="00F11B9D">
        <w:t>relationship with humidity exposure and cure pressure.</w:t>
      </w:r>
      <w:r>
        <w:t xml:space="preserve"> </w:t>
      </w:r>
      <w:r w:rsidR="00F11B9D">
        <w:t xml:space="preserve"> Property function equations</w:t>
      </w:r>
      <w:r>
        <w:t xml:space="preserve"> and contour plots </w:t>
      </w:r>
      <w:r w:rsidR="00F11B9D">
        <w:t>are</w:t>
      </w:r>
      <w:r>
        <w:t xml:space="preserve"> a useful tool in identifying </w:t>
      </w:r>
      <w:r w:rsidR="00F11B9D">
        <w:t>trends associated with</w:t>
      </w:r>
      <w:r>
        <w:t xml:space="preserve"> flexural properties.  Finally, </w:t>
      </w:r>
      <w:r w:rsidR="00F11B9D">
        <w:t>a detailed analysis of the equilibrium fluid content for each prepreg was developed using a hindered diffusion model.</w:t>
      </w:r>
    </w:p>
    <w:p w14:paraId="2CE42D24" w14:textId="3D3C120B" w:rsidR="00CD6C86" w:rsidRDefault="00CD6C86" w:rsidP="00CD6C86">
      <w:pPr>
        <w:pStyle w:val="Heading3"/>
      </w:pPr>
      <w:bookmarkStart w:id="324" w:name="_Toc346311045"/>
      <w:r>
        <w:t>Limitations and Future Work Associated with Research Objective 2</w:t>
      </w:r>
      <w:bookmarkEnd w:id="324"/>
    </w:p>
    <w:p w14:paraId="2D05CA28" w14:textId="4F841FA3" w:rsidR="001651E6" w:rsidRPr="00742DC9" w:rsidRDefault="001651E6" w:rsidP="001651E6">
      <w:pPr>
        <w:rPr>
          <w:u w:val="single"/>
        </w:rPr>
      </w:pPr>
      <w:r w:rsidRPr="00742DC9">
        <w:rPr>
          <w:u w:val="single"/>
        </w:rPr>
        <w:t>Discrepancies at high relative humidity exposure levels</w:t>
      </w:r>
    </w:p>
    <w:p w14:paraId="52291E45" w14:textId="77777777" w:rsidR="001651E6" w:rsidRDefault="001651E6" w:rsidP="001651E6">
      <w:pPr>
        <w:ind w:firstLine="360"/>
      </w:pPr>
      <w:r>
        <w:t>For some studies within this project, the 70% relative humidity prepreg conditioning had higher equilibrium fluid contents or higher flexural strength when compared to the 99% relative humidity specimens.  This localized behavior contradicts the overall trends in that increasing prepreg conditioning will increase the equilibrium fluid content and decrease the flexural strength.  This behavior may be due to experimental uncertainty inherent in characterizing laminates with considerable voids.  A more detailed investigation at several high relative humidity levels (i.e. 60%, 70%, 80% and 90% RH) would be desirable so as to further examine this phenomenon.</w:t>
      </w:r>
    </w:p>
    <w:p w14:paraId="0B509236" w14:textId="77777777" w:rsidR="001651E6" w:rsidRPr="001651E6" w:rsidRDefault="001651E6" w:rsidP="001651E6"/>
    <w:p w14:paraId="5C8CC718" w14:textId="35B65A70" w:rsidR="001651E6" w:rsidRPr="00742DC9" w:rsidRDefault="001651E6" w:rsidP="001651E6">
      <w:pPr>
        <w:rPr>
          <w:u w:val="single"/>
        </w:rPr>
      </w:pPr>
      <w:r w:rsidRPr="00742DC9">
        <w:rPr>
          <w:u w:val="single"/>
        </w:rPr>
        <w:t>Elevated temperature effects</w:t>
      </w:r>
    </w:p>
    <w:p w14:paraId="081D8A5E" w14:textId="6A4A59A3" w:rsidR="00056721" w:rsidRPr="00056721" w:rsidRDefault="001651E6" w:rsidP="0082168F">
      <w:pPr>
        <w:pStyle w:val="ListParagraph"/>
        <w:ind w:left="0" w:firstLine="360"/>
      </w:pPr>
      <w:r>
        <w:t xml:space="preserve">Researchers have frequently identified different absorption behaviors of composite laminates when exposed to liquid contaminations at elevated temperatures.  Frequently, the equilibrium fluid content will be achieved in a shorter duration when temperature increases.  Therefore, one area of future work could include </w:t>
      </w:r>
      <w:r w:rsidR="00056721">
        <w:t>examining</w:t>
      </w:r>
      <w:r>
        <w:t xml:space="preserve"> elevated temperature effects on the absorption behavior of high-performance composite laminates.</w:t>
      </w:r>
    </w:p>
    <w:p w14:paraId="757DFAA1" w14:textId="3BF57704" w:rsidR="00CD6C86" w:rsidRDefault="0082168F" w:rsidP="00CD6C86">
      <w:pPr>
        <w:pStyle w:val="Heading2"/>
      </w:pPr>
      <w:bookmarkStart w:id="325" w:name="_Toc346311046"/>
      <w:r>
        <w:t>Addressing</w:t>
      </w:r>
      <w:r w:rsidR="00CD6C86">
        <w:t xml:space="preserve"> Research Objective 3</w:t>
      </w:r>
      <w:bookmarkEnd w:id="325"/>
    </w:p>
    <w:p w14:paraId="7D04F2B0" w14:textId="017B87A5" w:rsidR="00CD6C86" w:rsidRPr="004E3EDF" w:rsidRDefault="00CD6C86" w:rsidP="00CD6C86">
      <w:pPr>
        <w:pStyle w:val="ListParagraph"/>
        <w:ind w:left="0"/>
        <w:rPr>
          <w:i/>
        </w:rPr>
      </w:pPr>
      <w:r>
        <w:rPr>
          <w:i/>
        </w:rPr>
        <w:t xml:space="preserve">Effect of </w:t>
      </w:r>
      <w:r w:rsidRPr="00275102">
        <w:rPr>
          <w:i/>
        </w:rPr>
        <w:t xml:space="preserve">long-term </w:t>
      </w:r>
      <w:r>
        <w:rPr>
          <w:i/>
        </w:rPr>
        <w:t>hydraulic fluid</w:t>
      </w:r>
      <w:r w:rsidRPr="00275102">
        <w:rPr>
          <w:i/>
        </w:rPr>
        <w:t xml:space="preserve"> contamination </w:t>
      </w:r>
      <w:r>
        <w:rPr>
          <w:i/>
        </w:rPr>
        <w:t>on the flexural properties</w:t>
      </w:r>
      <w:r w:rsidRPr="00275102">
        <w:rPr>
          <w:i/>
        </w:rPr>
        <w:t xml:space="preserve"> of aerospace-grade composite </w:t>
      </w:r>
      <w:r>
        <w:rPr>
          <w:i/>
        </w:rPr>
        <w:t>laminates</w:t>
      </w:r>
    </w:p>
    <w:p w14:paraId="41DF420C" w14:textId="77777777" w:rsidR="00CD6C86" w:rsidRDefault="00CD6C86" w:rsidP="00CD6C86">
      <w:pPr>
        <w:pStyle w:val="ListParagraph"/>
        <w:ind w:left="0"/>
      </w:pPr>
    </w:p>
    <w:p w14:paraId="603472FB" w14:textId="2451AE21" w:rsidR="001A18EC" w:rsidRDefault="001A18EC" w:rsidP="00460893">
      <w:pPr>
        <w:pStyle w:val="ListParagraph"/>
        <w:ind w:left="0" w:firstLine="360"/>
      </w:pPr>
      <w:r>
        <w:t xml:space="preserve">The effect of hydraulic fluid content on the laminate flexural </w:t>
      </w:r>
      <w:r w:rsidR="00460893">
        <w:t xml:space="preserve">properties </w:t>
      </w:r>
      <w:r w:rsidR="004D3F5D">
        <w:t xml:space="preserve">(Chapter </w:t>
      </w:r>
      <w:r w:rsidR="004D3F5D">
        <w:fldChar w:fldCharType="begin"/>
      </w:r>
      <w:r w:rsidR="004D3F5D">
        <w:instrText xml:space="preserve"> REF _Ref341343397 \r \h </w:instrText>
      </w:r>
      <w:r w:rsidR="004D3F5D">
        <w:fldChar w:fldCharType="separate"/>
      </w:r>
      <w:r w:rsidR="008A1992">
        <w:t>6</w:t>
      </w:r>
      <w:r w:rsidR="004D3F5D">
        <w:fldChar w:fldCharType="end"/>
      </w:r>
      <w:r w:rsidR="004D3F5D">
        <w:t xml:space="preserve">) </w:t>
      </w:r>
      <w:r w:rsidR="00460893">
        <w:t xml:space="preserve">was analyzed for the two quartz-reinforced materials (quartz/BMI and quartz/epoxy) as those materials had approached saturation after nearly two years of immersion.  </w:t>
      </w:r>
      <w:r w:rsidR="004D3F5D">
        <w:t xml:space="preserve">This study was developed to address the third research objective.  </w:t>
      </w:r>
      <w:r>
        <w:t xml:space="preserve">For both resin materials, the largest variation and sensitivity to hydraulic fluid contamination was observed for prepregs conditioned in a dry environment (i.e. 2% RH).  Nearly all quartz/BMI </w:t>
      </w:r>
      <w:r w:rsidR="00460893">
        <w:t>laminates</w:t>
      </w:r>
      <w:r>
        <w:t xml:space="preserve"> had stiffness reductions of less than 5%, even with a substantially wide ran</w:t>
      </w:r>
      <w:r w:rsidR="00460893">
        <w:t>ge of hydraulic fluid contents</w:t>
      </w:r>
      <w:r>
        <w:t xml:space="preserve"> of up to 9 %wt.  Conversely, the quartz/epoxy laminates (</w:t>
      </w:r>
      <w:r>
        <w:fldChar w:fldCharType="begin"/>
      </w:r>
      <w:r>
        <w:instrText xml:space="preserve"> REF _Ref344637621 \h </w:instrText>
      </w:r>
      <w:r>
        <w:fldChar w:fldCharType="separate"/>
      </w:r>
      <w:r w:rsidR="008A1992" w:rsidRPr="000C4E7E">
        <w:t xml:space="preserve">Figure </w:t>
      </w:r>
      <w:r w:rsidR="008A1992">
        <w:rPr>
          <w:noProof/>
        </w:rPr>
        <w:t>6</w:t>
      </w:r>
      <w:r w:rsidR="008A1992">
        <w:t>.</w:t>
      </w:r>
      <w:r w:rsidR="008A1992">
        <w:rPr>
          <w:noProof/>
        </w:rPr>
        <w:t>9</w:t>
      </w:r>
      <w:r>
        <w:fldChar w:fldCharType="end"/>
      </w:r>
      <w:r>
        <w:t xml:space="preserve">b) observed stiffness reductions of no more than 5%, but for less than 1.7 %wt. maximum observed hydraulic fluid content.  </w:t>
      </w:r>
      <w:r w:rsidR="00460893">
        <w:t>Therefore, h</w:t>
      </w:r>
      <w:r>
        <w:t>igher levels of hydraulic fluid content generally increased the level of stiffness percent reduction for epoxy resin.</w:t>
      </w:r>
      <w:r w:rsidR="00460893">
        <w:t xml:space="preserve">  </w:t>
      </w:r>
      <w:r>
        <w:t>BMI resin</w:t>
      </w:r>
      <w:r w:rsidR="00460893">
        <w:t xml:space="preserve"> was generally more sensitive to hydraulic fluid contamination when fabrication pressure was low.</w:t>
      </w:r>
      <w:r>
        <w:t xml:space="preserve">  Therefore, utilizing higher fabrication pressures becomes necessary to minimize the effect of hydraulic fluid on flexural stiffness.  The stiffness reduction for epoxy resin was not influenced significantly by varying hydraulic fluid contents.  The selected fabrication pressure dictates the percent reduction much more, evidenced by all laminates fabricated at 345 kPa and above having the largest percent reduction values.</w:t>
      </w:r>
    </w:p>
    <w:p w14:paraId="27F7D0A3" w14:textId="73BCEF52" w:rsidR="001A18EC" w:rsidRDefault="001A18EC" w:rsidP="001A18EC">
      <w:pPr>
        <w:ind w:firstLine="360"/>
      </w:pPr>
      <w:r>
        <w:t>Although some specimens at low fluid contents had large reductions in flexural strength, the overall trend observed for both resin materials was that higher levels of hydraulic fluid content resulted in larger reductions in flexural strength.  When hydraulic fluid content was greater than 5 %wt. all quartz/BMI laminates had strength reductions larger than 4.8%.  As hydraulic fluid content declined, the effect of hydraulic fluid on flexural strength also declined.  Wide variations for strength reduction were observed for quartz/epoxy laminates with no discernible trends due to varying fluid contents.</w:t>
      </w:r>
      <w:r w:rsidR="00460893">
        <w:t xml:space="preserve"> </w:t>
      </w:r>
      <w:r>
        <w:t xml:space="preserve"> Both resin materials demonstrated the largest range in strength reductions when fluid content was low, which progressively narrowed as fluid content increased.  Overall, the effect of hydraulic fluid on flexural strength slightly increased as hydraulic fluid content increased.  Hydraulic fluid contamination affects for BMI resin</w:t>
      </w:r>
      <w:r w:rsidR="00460893">
        <w:t xml:space="preserve"> </w:t>
      </w:r>
      <w:r>
        <w:t>were generally minimized when higher fabrication pressure</w:t>
      </w:r>
      <w:r w:rsidR="00460893">
        <w:t xml:space="preserve">s (345 kPa and above) were used. </w:t>
      </w:r>
      <w:r>
        <w:t xml:space="preserve"> Hydraulic fluid affects on flexural strength for epoxy resin increased substantially (0.0-14.3%) up to a hydraulic fluid content of 1.0 %wt.  Higher hydraulic fluid content values generally did not degrade the flexural strength by more than 9%.</w:t>
      </w:r>
    </w:p>
    <w:p w14:paraId="670C8AD1" w14:textId="7D4E7D3D" w:rsidR="00CD6C86" w:rsidRDefault="00223DB9" w:rsidP="00A05160">
      <w:pPr>
        <w:ind w:firstLine="360"/>
      </w:pPr>
      <w:r>
        <w:t xml:space="preserve">One contribution of this research study was a detailed evaluation of not only the effect of humidity exposure and fabrication pressure on the laminate flexural properties, but also the effect of long-term hydraulic fluid contamination.  </w:t>
      </w:r>
      <w:r w:rsidR="00A05160">
        <w:t>Overall, the flexural performance for both quartz-reinforced laminates was not significantly degraded as a result of long-term hydraulic fluid contamination.  For the most extreme cases, flexural strength was reduced by less than 9% and 15% after nearly two years of hydraulic fluid contamination for quartz/BMI and quartz/epoxy, respectively.</w:t>
      </w:r>
    </w:p>
    <w:p w14:paraId="6736624B" w14:textId="32598AB5" w:rsidR="00CD6C86" w:rsidRDefault="00CD6C86" w:rsidP="00CD6C86">
      <w:pPr>
        <w:pStyle w:val="Heading3"/>
      </w:pPr>
      <w:bookmarkStart w:id="326" w:name="_Toc346311047"/>
      <w:r>
        <w:t>Limitations and Future Work Associated with Research Objective 3</w:t>
      </w:r>
      <w:bookmarkEnd w:id="326"/>
    </w:p>
    <w:p w14:paraId="039EECCA" w14:textId="64C8434A" w:rsidR="001A18EC" w:rsidRPr="00742DC9" w:rsidRDefault="001A18EC" w:rsidP="001A18EC">
      <w:pPr>
        <w:rPr>
          <w:u w:val="single"/>
        </w:rPr>
      </w:pPr>
      <w:r>
        <w:rPr>
          <w:u w:val="single"/>
        </w:rPr>
        <w:t>Discrepancy with equilibrium fluid content for two specimen planar dimensions</w:t>
      </w:r>
    </w:p>
    <w:p w14:paraId="2F2DC6B8" w14:textId="0A2D5631" w:rsidR="00A05160" w:rsidRPr="00FC4D58" w:rsidRDefault="001A18EC" w:rsidP="00A05160">
      <w:pPr>
        <w:ind w:firstLine="360"/>
      </w:pPr>
      <w:r>
        <w:t>One discrepancy that could not be resolved with the current work was the</w:t>
      </w:r>
      <w:r w:rsidR="008E5671">
        <w:t xml:space="preserve"> different</w:t>
      </w:r>
      <w:r>
        <w:t xml:space="preserve"> equi</w:t>
      </w:r>
      <w:r w:rsidR="008E5671">
        <w:t xml:space="preserve">librium fluid contents </w:t>
      </w:r>
      <w:r>
        <w:t xml:space="preserve">for </w:t>
      </w:r>
      <w:r w:rsidR="008E5671">
        <w:t xml:space="preserve">specimens of </w:t>
      </w:r>
      <w:r>
        <w:t>two</w:t>
      </w:r>
      <w:r w:rsidR="008E5671">
        <w:t xml:space="preserve"> planar dimensions (i.e. absorption specimens from Chapter </w:t>
      </w:r>
      <w:r w:rsidR="008E5671">
        <w:fldChar w:fldCharType="begin"/>
      </w:r>
      <w:r w:rsidR="008E5671">
        <w:instrText xml:space="preserve"> REF _Ref464121241 \r \h </w:instrText>
      </w:r>
      <w:r w:rsidR="008E5671">
        <w:fldChar w:fldCharType="separate"/>
      </w:r>
      <w:r w:rsidR="008A1992">
        <w:t>5</w:t>
      </w:r>
      <w:r w:rsidR="008E5671">
        <w:fldChar w:fldCharType="end"/>
      </w:r>
      <w:r w:rsidR="008E5671">
        <w:t xml:space="preserve"> and flexural specimens from Chapter </w:t>
      </w:r>
      <w:r w:rsidR="008E5671">
        <w:fldChar w:fldCharType="begin"/>
      </w:r>
      <w:r w:rsidR="008E5671">
        <w:instrText xml:space="preserve"> REF _Ref341343397 \r \h </w:instrText>
      </w:r>
      <w:r w:rsidR="008E5671">
        <w:fldChar w:fldCharType="separate"/>
      </w:r>
      <w:r w:rsidR="008A1992">
        <w:t>6</w:t>
      </w:r>
      <w:r w:rsidR="008E5671">
        <w:fldChar w:fldCharType="end"/>
      </w:r>
      <w:r w:rsidR="008E5671">
        <w:t>).  Usually, different planar dimensions should only affect the initial slope of fluid diffusion that correlates with Fickian absorption.  As non-Fickian behavior begin to dominate for large time periods, both specimen dimensions should converge to a single equilibrium fluid content.  For most cases, the convergence never occurred and the equilibrium fluid content for two specimen sizes remained separated by 10-20%.  Local variations within specimens (i.e. unusually high void content) may be the cause.  However this hypothesis could not be confirmed by the current study.  Therefore, a comprehensive future study of multiple planar dimensions (e.g. aspect ratios of 1.0, 2.0, 3.0 and 4.0) would be helpful in determining the three-dimensional absorption behavior for laminates subjected to different humidity levels and fabrication pressures.</w:t>
      </w:r>
    </w:p>
    <w:p w14:paraId="1627D143" w14:textId="77777777" w:rsidR="004C2FF5" w:rsidRDefault="004C2FF5" w:rsidP="00BC1C8E">
      <w:r>
        <w:br w:type="page"/>
      </w:r>
    </w:p>
    <w:p w14:paraId="1093AA12" w14:textId="77777777" w:rsidR="00CE161F" w:rsidRDefault="00CE161F" w:rsidP="0012190A">
      <w:pPr>
        <w:pStyle w:val="Heading1"/>
      </w:pPr>
      <w:bookmarkStart w:id="327" w:name="_Toc346311048"/>
      <w:r w:rsidRPr="00540118">
        <w:t>references</w:t>
      </w:r>
      <w:bookmarkEnd w:id="327"/>
    </w:p>
    <w:p w14:paraId="2ADF5140" w14:textId="01D5E2A8" w:rsidR="00326DE0" w:rsidRDefault="00642AF3" w:rsidP="00326DE0">
      <w:pPr>
        <w:pStyle w:val="EndNoteBibliography"/>
        <w:ind w:left="720" w:hanging="720"/>
      </w:pPr>
      <w:bookmarkStart w:id="328" w:name="_ENREF_16"/>
      <w:r>
        <w:t>[</w:t>
      </w:r>
      <w:r w:rsidR="00326DE0">
        <w:t>1</w:t>
      </w:r>
      <w:r>
        <w:t>]</w:t>
      </w:r>
      <w:r w:rsidR="00326DE0" w:rsidRPr="00B17B04">
        <w:tab/>
      </w:r>
      <w:r w:rsidR="00C066D8">
        <w:t>J. P. Anderson</w:t>
      </w:r>
      <w:r w:rsidR="00326DE0" w:rsidRPr="00B17B04">
        <w:t xml:space="preserve"> and </w:t>
      </w:r>
      <w:r w:rsidR="00C066D8">
        <w:t>M. C. Altan,</w:t>
      </w:r>
      <w:r w:rsidR="00326DE0" w:rsidRPr="00B17B04">
        <w:t xml:space="preserve"> </w:t>
      </w:r>
      <w:r w:rsidR="00326DE0" w:rsidRPr="00C066D8">
        <w:t>Properties of composite cylinders fabricated by bladder assisted composite manufacturing.</w:t>
      </w:r>
      <w:r w:rsidR="00326DE0" w:rsidRPr="00B17B04">
        <w:t xml:space="preserve"> </w:t>
      </w:r>
      <w:r w:rsidR="00326DE0" w:rsidRPr="00C066D8">
        <w:rPr>
          <w:i/>
        </w:rPr>
        <w:t xml:space="preserve">Journal of Engineering and Material Technology, </w:t>
      </w:r>
      <w:r w:rsidR="00326DE0" w:rsidRPr="00B17B04">
        <w:rPr>
          <w:b/>
        </w:rPr>
        <w:t>134</w:t>
      </w:r>
      <w:r w:rsidR="00C066D8">
        <w:t>, 4</w:t>
      </w:r>
      <w:bookmarkEnd w:id="328"/>
      <w:r w:rsidR="00C066D8">
        <w:t xml:space="preserve"> (2012).</w:t>
      </w:r>
    </w:p>
    <w:p w14:paraId="5C1B334F" w14:textId="77777777" w:rsidR="00642AF3" w:rsidRPr="00B17B04" w:rsidRDefault="00642AF3" w:rsidP="00326DE0">
      <w:pPr>
        <w:pStyle w:val="EndNoteBibliography"/>
        <w:ind w:left="720" w:hanging="720"/>
      </w:pPr>
    </w:p>
    <w:p w14:paraId="543CBB06" w14:textId="1F17DDB5" w:rsidR="00326DE0" w:rsidRDefault="00642AF3" w:rsidP="00326DE0">
      <w:pPr>
        <w:pStyle w:val="EndNoteBibliography"/>
        <w:ind w:left="720" w:hanging="720"/>
      </w:pPr>
      <w:bookmarkStart w:id="329" w:name="_ENREF_17"/>
      <w:r>
        <w:t>[</w:t>
      </w:r>
      <w:r w:rsidR="00326DE0">
        <w:t>2</w:t>
      </w:r>
      <w:r>
        <w:t>]</w:t>
      </w:r>
      <w:r w:rsidR="00326DE0" w:rsidRPr="00B17B04">
        <w:tab/>
      </w:r>
      <w:r w:rsidR="00C066D8">
        <w:t xml:space="preserve">J. P. </w:t>
      </w:r>
      <w:r w:rsidR="00326DE0" w:rsidRPr="00B17B04">
        <w:t>Anderson and M.</w:t>
      </w:r>
      <w:r w:rsidR="00C066D8">
        <w:t xml:space="preserve"> </w:t>
      </w:r>
      <w:r w:rsidR="00326DE0" w:rsidRPr="00B17B04">
        <w:t xml:space="preserve">C. Altan, </w:t>
      </w:r>
      <w:r w:rsidR="00326DE0" w:rsidRPr="00C066D8">
        <w:t>Formation of voids in composite laminates: Coupled effect of moisture content and processing pressure.</w:t>
      </w:r>
      <w:r w:rsidR="00326DE0" w:rsidRPr="00B17B04">
        <w:t xml:space="preserve"> </w:t>
      </w:r>
      <w:r w:rsidR="00326DE0" w:rsidRPr="00C066D8">
        <w:rPr>
          <w:i/>
        </w:rPr>
        <w:t>Polymer Composites,</w:t>
      </w:r>
      <w:r w:rsidR="00326DE0" w:rsidRPr="00B17B04">
        <w:t xml:space="preserve"> </w:t>
      </w:r>
      <w:r w:rsidR="00326DE0" w:rsidRPr="00B17B04">
        <w:rPr>
          <w:b/>
        </w:rPr>
        <w:t>36</w:t>
      </w:r>
      <w:r w:rsidR="00C066D8">
        <w:t xml:space="preserve">, </w:t>
      </w:r>
      <w:r w:rsidR="00326DE0" w:rsidRPr="00B17B04">
        <w:t>2</w:t>
      </w:r>
      <w:bookmarkEnd w:id="329"/>
      <w:r w:rsidR="00C066D8">
        <w:t xml:space="preserve"> (2015).</w:t>
      </w:r>
    </w:p>
    <w:p w14:paraId="1BE2C0FE" w14:textId="77777777" w:rsidR="00642AF3" w:rsidRDefault="00642AF3" w:rsidP="00326DE0">
      <w:pPr>
        <w:pStyle w:val="EndNoteBibliography"/>
        <w:ind w:left="720" w:hanging="720"/>
      </w:pPr>
    </w:p>
    <w:p w14:paraId="17E24DA7" w14:textId="0248105B" w:rsidR="00326DE0" w:rsidRPr="00B17B04" w:rsidRDefault="00642AF3" w:rsidP="00326DE0">
      <w:pPr>
        <w:pStyle w:val="EndNoteBibliography"/>
        <w:ind w:left="720" w:hanging="720"/>
      </w:pPr>
      <w:r>
        <w:t>[</w:t>
      </w:r>
      <w:r w:rsidR="00326DE0">
        <w:t>3</w:t>
      </w:r>
      <w:r>
        <w:t>]</w:t>
      </w:r>
      <w:r w:rsidR="00A050E8">
        <w:tab/>
        <w:t xml:space="preserve">C. Maggana and </w:t>
      </w:r>
      <w:r w:rsidR="00326DE0" w:rsidRPr="00B17B04">
        <w:t>P.</w:t>
      </w:r>
      <w:r w:rsidR="00A050E8">
        <w:t xml:space="preserve"> Pissis</w:t>
      </w:r>
      <w:r w:rsidR="00326DE0" w:rsidRPr="00B17B04">
        <w:t xml:space="preserve">, </w:t>
      </w:r>
      <w:r w:rsidR="00326DE0" w:rsidRPr="00A050E8">
        <w:t>Water sorption and diffusion studies in an epoxy resin system.</w:t>
      </w:r>
      <w:r w:rsidR="00326DE0" w:rsidRPr="00B17B04">
        <w:t xml:space="preserve"> </w:t>
      </w:r>
      <w:r w:rsidR="00326DE0" w:rsidRPr="00A050E8">
        <w:rPr>
          <w:i/>
        </w:rPr>
        <w:t>Journal of Polymer Science, Part B: Polymer Physics,</w:t>
      </w:r>
      <w:r w:rsidR="00A050E8">
        <w:t xml:space="preserve"> </w:t>
      </w:r>
      <w:r w:rsidR="00326DE0" w:rsidRPr="00B17B04">
        <w:rPr>
          <w:b/>
        </w:rPr>
        <w:t>37</w:t>
      </w:r>
      <w:r w:rsidR="00A050E8">
        <w:t>, 11 (1999).</w:t>
      </w:r>
    </w:p>
    <w:p w14:paraId="7B3A899D" w14:textId="77777777" w:rsidR="00642AF3" w:rsidRDefault="00642AF3" w:rsidP="00326DE0">
      <w:pPr>
        <w:pStyle w:val="EndNoteBibliography"/>
        <w:ind w:left="720" w:hanging="720"/>
      </w:pPr>
    </w:p>
    <w:p w14:paraId="5FC9C1AE" w14:textId="7C86E615" w:rsidR="00326DE0" w:rsidRPr="00B17B04" w:rsidRDefault="00642AF3" w:rsidP="00326DE0">
      <w:pPr>
        <w:pStyle w:val="EndNoteBibliography"/>
        <w:ind w:left="720" w:hanging="720"/>
      </w:pPr>
      <w:r>
        <w:t>[</w:t>
      </w:r>
      <w:r w:rsidR="00326DE0">
        <w:t>4</w:t>
      </w:r>
      <w:r>
        <w:t>]</w:t>
      </w:r>
      <w:r w:rsidR="00326DE0" w:rsidRPr="00B17B04">
        <w:tab/>
        <w:t>R.</w:t>
      </w:r>
      <w:r w:rsidR="00A050E8">
        <w:t xml:space="preserve"> </w:t>
      </w:r>
      <w:r w:rsidR="00326DE0" w:rsidRPr="00B17B04">
        <w:t>M.</w:t>
      </w:r>
      <w:r w:rsidR="00A050E8">
        <w:t xml:space="preserve"> </w:t>
      </w:r>
      <w:r w:rsidR="00326DE0" w:rsidRPr="00B17B04">
        <w:t>V.</w:t>
      </w:r>
      <w:r w:rsidR="00A050E8">
        <w:t xml:space="preserve"> </w:t>
      </w:r>
      <w:r w:rsidR="00326DE0" w:rsidRPr="00B17B04">
        <w:t>G.</w:t>
      </w:r>
      <w:r w:rsidR="00A050E8">
        <w:t xml:space="preserve"> </w:t>
      </w:r>
      <w:r w:rsidR="00326DE0" w:rsidRPr="00B17B04">
        <w:t>K</w:t>
      </w:r>
      <w:r w:rsidR="00A050E8">
        <w:t>.</w:t>
      </w:r>
      <w:r w:rsidR="00326DE0" w:rsidRPr="00B17B04">
        <w:t xml:space="preserve"> Rao, M.</w:t>
      </w:r>
      <w:r w:rsidR="00A050E8">
        <w:t xml:space="preserve"> Chanda</w:t>
      </w:r>
      <w:r w:rsidR="00326DE0" w:rsidRPr="00B17B04">
        <w:t xml:space="preserve">, </w:t>
      </w:r>
      <w:r w:rsidR="0020252A">
        <w:t xml:space="preserve">and </w:t>
      </w:r>
      <w:r w:rsidR="00326DE0" w:rsidRPr="00B17B04">
        <w:t xml:space="preserve">N. Balasubramanian, </w:t>
      </w:r>
      <w:r w:rsidR="00326DE0" w:rsidRPr="00A050E8">
        <w:t xml:space="preserve">A Fickian diffusion model for permeable fibre polymer composites. </w:t>
      </w:r>
      <w:r w:rsidR="00326DE0" w:rsidRPr="00A050E8">
        <w:rPr>
          <w:i/>
        </w:rPr>
        <w:t>Journal of Reinforced Plastics and Composites,</w:t>
      </w:r>
      <w:r w:rsidR="00326DE0" w:rsidRPr="00B17B04">
        <w:t xml:space="preserve"> </w:t>
      </w:r>
      <w:r w:rsidR="00326DE0" w:rsidRPr="00B17B04">
        <w:rPr>
          <w:b/>
        </w:rPr>
        <w:t>2</w:t>
      </w:r>
      <w:r w:rsidR="00BF289B">
        <w:t>, 4 (1983).</w:t>
      </w:r>
    </w:p>
    <w:p w14:paraId="74F2BD83" w14:textId="77777777" w:rsidR="00642AF3" w:rsidRDefault="00642AF3" w:rsidP="00326DE0">
      <w:pPr>
        <w:pStyle w:val="EndNoteBibliography"/>
        <w:ind w:left="720" w:hanging="720"/>
      </w:pPr>
    </w:p>
    <w:p w14:paraId="5A180B06" w14:textId="7034C748" w:rsidR="00326DE0" w:rsidRPr="00B17B04" w:rsidRDefault="00642AF3" w:rsidP="00326DE0">
      <w:pPr>
        <w:pStyle w:val="EndNoteBibliography"/>
        <w:ind w:left="720" w:hanging="720"/>
      </w:pPr>
      <w:r>
        <w:t>[</w:t>
      </w:r>
      <w:r w:rsidR="00326DE0">
        <w:t>5</w:t>
      </w:r>
      <w:r>
        <w:t>]</w:t>
      </w:r>
      <w:r w:rsidR="00326DE0" w:rsidRPr="00B17B04">
        <w:tab/>
        <w:t>T.</w:t>
      </w:r>
      <w:r w:rsidR="00BF289B">
        <w:t xml:space="preserve"> C. Wong and</w:t>
      </w:r>
      <w:r w:rsidR="00326DE0" w:rsidRPr="00B17B04">
        <w:t xml:space="preserve"> L.</w:t>
      </w:r>
      <w:r w:rsidR="00BF289B">
        <w:t xml:space="preserve"> </w:t>
      </w:r>
      <w:r w:rsidR="00326DE0" w:rsidRPr="00B17B04">
        <w:t>J.</w:t>
      </w:r>
      <w:r w:rsidR="00BF289B">
        <w:t xml:space="preserve"> Broutman,</w:t>
      </w:r>
      <w:r w:rsidR="00326DE0" w:rsidRPr="00B17B04">
        <w:t xml:space="preserve"> </w:t>
      </w:r>
      <w:r w:rsidR="00326DE0" w:rsidRPr="00BF289B">
        <w:t>Moisture diffusion in epoxy resins. Part I. Non-Fickian sorption processes.</w:t>
      </w:r>
      <w:r w:rsidR="00326DE0" w:rsidRPr="00B17B04">
        <w:t xml:space="preserve"> </w:t>
      </w:r>
      <w:r w:rsidR="00326DE0" w:rsidRPr="00BF289B">
        <w:rPr>
          <w:i/>
        </w:rPr>
        <w:t>Polymer Engineering and Science,</w:t>
      </w:r>
      <w:r w:rsidR="00326DE0" w:rsidRPr="00B17B04">
        <w:t xml:space="preserve"> </w:t>
      </w:r>
      <w:r w:rsidR="00326DE0" w:rsidRPr="00B17B04">
        <w:rPr>
          <w:b/>
        </w:rPr>
        <w:t>25</w:t>
      </w:r>
      <w:r w:rsidR="00BF289B">
        <w:t>, 9</w:t>
      </w:r>
      <w:r w:rsidR="00326DE0" w:rsidRPr="00B17B04">
        <w:t xml:space="preserve"> </w:t>
      </w:r>
      <w:r w:rsidR="00BF289B">
        <w:t>(1985).</w:t>
      </w:r>
    </w:p>
    <w:p w14:paraId="5001D088" w14:textId="77777777" w:rsidR="00642AF3" w:rsidRDefault="00642AF3" w:rsidP="00326DE0">
      <w:pPr>
        <w:pStyle w:val="EndNoteBibliography"/>
        <w:ind w:left="720" w:hanging="720"/>
      </w:pPr>
    </w:p>
    <w:p w14:paraId="676BC4B6" w14:textId="1730CE65" w:rsidR="00326DE0" w:rsidRPr="0020252A" w:rsidRDefault="00642AF3" w:rsidP="00326DE0">
      <w:pPr>
        <w:pStyle w:val="EndNoteBibliography"/>
        <w:ind w:left="720" w:hanging="720"/>
      </w:pPr>
      <w:r>
        <w:t>[</w:t>
      </w:r>
      <w:r w:rsidR="00326DE0">
        <w:t>6</w:t>
      </w:r>
      <w:r>
        <w:t>]</w:t>
      </w:r>
      <w:r w:rsidR="00326DE0" w:rsidRPr="00B17B04">
        <w:tab/>
        <w:t>J. Vina, E.</w:t>
      </w:r>
      <w:r w:rsidR="0020252A">
        <w:t xml:space="preserve"> </w:t>
      </w:r>
      <w:r w:rsidR="00326DE0" w:rsidRPr="00B17B04">
        <w:t>A.</w:t>
      </w:r>
      <w:r w:rsidR="0020252A">
        <w:t xml:space="preserve"> Garcia</w:t>
      </w:r>
      <w:r w:rsidR="00326DE0" w:rsidRPr="00B17B04">
        <w:t>, A. Arguelles,</w:t>
      </w:r>
      <w:r w:rsidR="0020252A">
        <w:t xml:space="preserve"> and I</w:t>
      </w:r>
      <w:r w:rsidR="00326DE0" w:rsidRPr="00B17B04">
        <w:t xml:space="preserve">. Vina, </w:t>
      </w:r>
      <w:r w:rsidR="00326DE0" w:rsidRPr="0020252A">
        <w:t>The effect of moisture on the tensile and interlaminar shear strengths of glass or carbon fiber reinforced PEI.</w:t>
      </w:r>
      <w:r w:rsidR="00326DE0" w:rsidRPr="00B17B04">
        <w:t xml:space="preserve"> </w:t>
      </w:r>
      <w:r w:rsidR="00326DE0" w:rsidRPr="0020252A">
        <w:rPr>
          <w:i/>
        </w:rPr>
        <w:t>Journal of Materials Science Letters,</w:t>
      </w:r>
      <w:r w:rsidR="00326DE0" w:rsidRPr="00B17B04">
        <w:t xml:space="preserve"> </w:t>
      </w:r>
      <w:r w:rsidR="00326DE0" w:rsidRPr="00B17B04">
        <w:rPr>
          <w:b/>
        </w:rPr>
        <w:t>19</w:t>
      </w:r>
      <w:r w:rsidR="0020252A">
        <w:t>, (2000).</w:t>
      </w:r>
    </w:p>
    <w:p w14:paraId="70A9D38F" w14:textId="77777777" w:rsidR="00642AF3" w:rsidRDefault="00642AF3" w:rsidP="00326DE0">
      <w:pPr>
        <w:pStyle w:val="EndNoteBibliography"/>
        <w:ind w:left="720" w:hanging="720"/>
      </w:pPr>
    </w:p>
    <w:p w14:paraId="2C666AA9" w14:textId="7203E0FC" w:rsidR="00326DE0" w:rsidRPr="00B17B04" w:rsidRDefault="00642AF3" w:rsidP="00326DE0">
      <w:pPr>
        <w:pStyle w:val="EndNoteBibliography"/>
        <w:ind w:left="720" w:hanging="720"/>
      </w:pPr>
      <w:r>
        <w:t>[</w:t>
      </w:r>
      <w:r w:rsidR="00326DE0">
        <w:t>7</w:t>
      </w:r>
      <w:r>
        <w:t>]</w:t>
      </w:r>
      <w:r w:rsidR="00326DE0" w:rsidRPr="00B17B04">
        <w:tab/>
        <w:t>L. Aktas, Y.</w:t>
      </w:r>
      <w:r w:rsidR="0020252A">
        <w:t xml:space="preserve"> Hamidi</w:t>
      </w:r>
      <w:r w:rsidR="00326DE0" w:rsidRPr="00B17B04">
        <w:t>,</w:t>
      </w:r>
      <w:r w:rsidR="0020252A">
        <w:t xml:space="preserve"> and</w:t>
      </w:r>
      <w:r w:rsidR="00326DE0" w:rsidRPr="00B17B04">
        <w:t xml:space="preserve"> M.</w:t>
      </w:r>
      <w:r w:rsidR="0020252A">
        <w:t xml:space="preserve"> </w:t>
      </w:r>
      <w:r w:rsidR="00326DE0" w:rsidRPr="00B17B04">
        <w:t xml:space="preserve">C. Altan, </w:t>
      </w:r>
      <w:r w:rsidR="00326DE0" w:rsidRPr="0020252A">
        <w:t>Effect of moisture absorption on mechanical properties of resin transfer molded composites - Part I: Absorption.</w:t>
      </w:r>
      <w:r w:rsidR="00326DE0" w:rsidRPr="00B17B04">
        <w:t xml:space="preserve"> </w:t>
      </w:r>
      <w:r w:rsidR="00326DE0" w:rsidRPr="0020252A">
        <w:rPr>
          <w:i/>
        </w:rPr>
        <w:t>Journal of Materials Processing and Manufacturing Science,</w:t>
      </w:r>
      <w:r w:rsidR="00326DE0" w:rsidRPr="00B17B04">
        <w:t xml:space="preserve"> </w:t>
      </w:r>
      <w:r w:rsidR="00326DE0" w:rsidRPr="00B17B04">
        <w:rPr>
          <w:b/>
        </w:rPr>
        <w:t>10</w:t>
      </w:r>
      <w:r w:rsidR="0020252A">
        <w:t>, 4</w:t>
      </w:r>
      <w:r w:rsidR="00326DE0" w:rsidRPr="00B17B04">
        <w:t xml:space="preserve"> </w:t>
      </w:r>
      <w:r w:rsidR="0020252A">
        <w:t>(</w:t>
      </w:r>
      <w:r w:rsidR="0020252A" w:rsidRPr="00B17B04">
        <w:t>2002</w:t>
      </w:r>
      <w:r w:rsidR="0020252A">
        <w:t>)</w:t>
      </w:r>
      <w:r w:rsidR="0020252A" w:rsidRPr="00B17B04">
        <w:t>.</w:t>
      </w:r>
    </w:p>
    <w:p w14:paraId="51E639E9" w14:textId="77777777" w:rsidR="00642AF3" w:rsidRDefault="00642AF3" w:rsidP="00326DE0">
      <w:pPr>
        <w:pStyle w:val="EndNoteBibliography"/>
        <w:ind w:left="720" w:hanging="720"/>
      </w:pPr>
    </w:p>
    <w:p w14:paraId="7016A87D" w14:textId="34B15788" w:rsidR="00326DE0" w:rsidRPr="00B17B04" w:rsidRDefault="00642AF3" w:rsidP="00326DE0">
      <w:pPr>
        <w:pStyle w:val="EndNoteBibliography"/>
        <w:ind w:left="720" w:hanging="720"/>
      </w:pPr>
      <w:r>
        <w:t>[8]</w:t>
      </w:r>
      <w:r w:rsidR="00326DE0" w:rsidRPr="00B17B04">
        <w:tab/>
        <w:t>S. Popineau, C.</w:t>
      </w:r>
      <w:r w:rsidR="00DA05B8">
        <w:t xml:space="preserve"> Rondeau-Mouro</w:t>
      </w:r>
      <w:r w:rsidR="00326DE0" w:rsidRPr="00B17B04">
        <w:t xml:space="preserve">, C. Sulpice-Gaillet, </w:t>
      </w:r>
      <w:r w:rsidR="00DA05B8">
        <w:t xml:space="preserve">and </w:t>
      </w:r>
      <w:r w:rsidR="00326DE0" w:rsidRPr="00B17B04">
        <w:t>M.</w:t>
      </w:r>
      <w:r w:rsidR="00DA05B8">
        <w:t xml:space="preserve"> E. R.</w:t>
      </w:r>
      <w:r w:rsidR="00326DE0" w:rsidRPr="00B17B04">
        <w:t xml:space="preserve"> Shanahan, </w:t>
      </w:r>
      <w:r w:rsidR="00326DE0" w:rsidRPr="00DA05B8">
        <w:t>Free/bound water absorption in an epoxy adhesive.</w:t>
      </w:r>
      <w:r w:rsidR="00326DE0" w:rsidRPr="00B17B04">
        <w:t xml:space="preserve"> </w:t>
      </w:r>
      <w:r w:rsidR="00326DE0" w:rsidRPr="00DA05B8">
        <w:rPr>
          <w:i/>
        </w:rPr>
        <w:t>Polymer,</w:t>
      </w:r>
      <w:r w:rsidR="00326DE0" w:rsidRPr="00B17B04">
        <w:t xml:space="preserve"> </w:t>
      </w:r>
      <w:r w:rsidR="00326DE0" w:rsidRPr="00B17B04">
        <w:rPr>
          <w:b/>
        </w:rPr>
        <w:t>46</w:t>
      </w:r>
      <w:r w:rsidR="00DA05B8">
        <w:t>, 24</w:t>
      </w:r>
      <w:r w:rsidR="00326DE0" w:rsidRPr="00B17B04">
        <w:t xml:space="preserve"> </w:t>
      </w:r>
      <w:r w:rsidR="00DA05B8">
        <w:t>(2005).</w:t>
      </w:r>
    </w:p>
    <w:p w14:paraId="0C3CF229" w14:textId="77777777" w:rsidR="00642AF3" w:rsidRDefault="00642AF3" w:rsidP="00326DE0">
      <w:pPr>
        <w:pStyle w:val="EndNoteBibliography"/>
        <w:ind w:left="720" w:hanging="720"/>
      </w:pPr>
    </w:p>
    <w:p w14:paraId="304AAE1C" w14:textId="7DCACE51" w:rsidR="00326DE0" w:rsidRPr="00B17B04" w:rsidRDefault="00642AF3" w:rsidP="00326DE0">
      <w:pPr>
        <w:pStyle w:val="EndNoteBibliography"/>
        <w:ind w:left="720" w:hanging="720"/>
      </w:pPr>
      <w:r>
        <w:t>[9]</w:t>
      </w:r>
      <w:r w:rsidR="00326DE0" w:rsidRPr="00B17B04">
        <w:tab/>
        <w:t xml:space="preserve">W. Chu, </w:t>
      </w:r>
      <w:r w:rsidR="00DA05B8">
        <w:t xml:space="preserve">and </w:t>
      </w:r>
      <w:r w:rsidR="00326DE0" w:rsidRPr="00B17B04">
        <w:t>V.</w:t>
      </w:r>
      <w:r w:rsidR="00DA05B8">
        <w:t xml:space="preserve"> M. Karbhari</w:t>
      </w:r>
      <w:r w:rsidR="00326DE0" w:rsidRPr="00B17B04">
        <w:t xml:space="preserve">, </w:t>
      </w:r>
      <w:r w:rsidR="00326DE0" w:rsidRPr="00DA05B8">
        <w:t>Effect of water sorption on performance of pultruded E-glass/Vinylester composites.</w:t>
      </w:r>
      <w:r w:rsidR="00326DE0" w:rsidRPr="00B17B04">
        <w:t xml:space="preserve"> </w:t>
      </w:r>
      <w:r w:rsidR="00326DE0" w:rsidRPr="00DA05B8">
        <w:rPr>
          <w:i/>
        </w:rPr>
        <w:t xml:space="preserve">Journal of Materials in Civil Engineering, </w:t>
      </w:r>
      <w:r w:rsidR="00326DE0" w:rsidRPr="00B17B04">
        <w:rPr>
          <w:b/>
        </w:rPr>
        <w:t>17</w:t>
      </w:r>
      <w:r w:rsidR="00DA05B8">
        <w:t>, 1</w:t>
      </w:r>
      <w:r w:rsidR="00326DE0" w:rsidRPr="00B17B04">
        <w:t xml:space="preserve"> </w:t>
      </w:r>
      <w:r w:rsidR="00DA05B8">
        <w:t>(2005).</w:t>
      </w:r>
    </w:p>
    <w:p w14:paraId="3BAC6DFA" w14:textId="77777777" w:rsidR="00642AF3" w:rsidRDefault="00642AF3" w:rsidP="00326DE0">
      <w:pPr>
        <w:pStyle w:val="EndNoteBibliography"/>
        <w:ind w:left="720" w:hanging="720"/>
      </w:pPr>
    </w:p>
    <w:p w14:paraId="3C0634D3" w14:textId="0E834A83" w:rsidR="00326DE0" w:rsidRPr="00B17B04" w:rsidRDefault="00642AF3" w:rsidP="00326DE0">
      <w:pPr>
        <w:pStyle w:val="EndNoteBibliography"/>
        <w:ind w:left="720" w:hanging="720"/>
      </w:pPr>
      <w:r>
        <w:t>[10]</w:t>
      </w:r>
      <w:r w:rsidR="00326DE0" w:rsidRPr="00B17B04">
        <w:tab/>
      </w:r>
      <w:r w:rsidR="00DA05B8">
        <w:t>L-R</w:t>
      </w:r>
      <w:r w:rsidR="00871970">
        <w:t>.</w:t>
      </w:r>
      <w:r w:rsidR="00DA05B8">
        <w:t xml:space="preserve"> </w:t>
      </w:r>
      <w:r w:rsidR="00326DE0" w:rsidRPr="00B17B04">
        <w:t>Bao and A.</w:t>
      </w:r>
      <w:r w:rsidR="00DA05B8">
        <w:t xml:space="preserve"> F.</w:t>
      </w:r>
      <w:r w:rsidR="00326DE0" w:rsidRPr="00B17B04">
        <w:t xml:space="preserve"> Yee, </w:t>
      </w:r>
      <w:r w:rsidR="00326DE0" w:rsidRPr="00DA05B8">
        <w:t>Moisture diffusion and hygrothermal aging in Bismaleimide matrix carbon fiber composites - Part I: Uni-weave composites.</w:t>
      </w:r>
      <w:r w:rsidR="00326DE0" w:rsidRPr="00B17B04">
        <w:t xml:space="preserve"> </w:t>
      </w:r>
      <w:r w:rsidR="00326DE0" w:rsidRPr="00DA05B8">
        <w:rPr>
          <w:i/>
        </w:rPr>
        <w:t>Composites Science and Technology,</w:t>
      </w:r>
      <w:r w:rsidR="00326DE0" w:rsidRPr="00B17B04">
        <w:t xml:space="preserve"> </w:t>
      </w:r>
      <w:r w:rsidR="00326DE0" w:rsidRPr="00B17B04">
        <w:rPr>
          <w:b/>
        </w:rPr>
        <w:t>62</w:t>
      </w:r>
      <w:r w:rsidR="00DA05B8">
        <w:t>, 16</w:t>
      </w:r>
      <w:r w:rsidR="00326DE0" w:rsidRPr="00B17B04">
        <w:t xml:space="preserve"> </w:t>
      </w:r>
      <w:r w:rsidR="00DA05B8">
        <w:t>(</w:t>
      </w:r>
      <w:r w:rsidR="00DA05B8" w:rsidRPr="00B17B04">
        <w:t>2002</w:t>
      </w:r>
      <w:r w:rsidR="00DA05B8">
        <w:t>)</w:t>
      </w:r>
      <w:r w:rsidR="00DA05B8" w:rsidRPr="00B17B04">
        <w:t>.</w:t>
      </w:r>
    </w:p>
    <w:p w14:paraId="662D3D89" w14:textId="77777777" w:rsidR="00642AF3" w:rsidRDefault="00642AF3" w:rsidP="00326DE0">
      <w:pPr>
        <w:pStyle w:val="EndNoteBibliography"/>
        <w:ind w:left="720" w:hanging="720"/>
      </w:pPr>
    </w:p>
    <w:p w14:paraId="55255586" w14:textId="23CFC7BD" w:rsidR="00326DE0" w:rsidRPr="00B17B04" w:rsidRDefault="00642AF3" w:rsidP="00326DE0">
      <w:pPr>
        <w:pStyle w:val="EndNoteBibliography"/>
        <w:ind w:left="720" w:hanging="720"/>
      </w:pPr>
      <w:r>
        <w:t>[11]</w:t>
      </w:r>
      <w:r w:rsidR="00326DE0" w:rsidRPr="00B17B04">
        <w:tab/>
      </w:r>
      <w:r w:rsidR="00871970">
        <w:t xml:space="preserve">L-R. </w:t>
      </w:r>
      <w:r w:rsidR="00326DE0" w:rsidRPr="00B17B04">
        <w:t>Bao, and A.</w:t>
      </w:r>
      <w:r w:rsidR="00871970">
        <w:t xml:space="preserve"> F.</w:t>
      </w:r>
      <w:r w:rsidR="00326DE0" w:rsidRPr="00B17B04">
        <w:t xml:space="preserve"> Yee, </w:t>
      </w:r>
      <w:r w:rsidR="00326DE0" w:rsidRPr="00871970">
        <w:t xml:space="preserve">Moisture diffusion and hygrothermal aging in Bismaleimide matrix carbon fiber composites - Part II: Woven and hybrid composites. </w:t>
      </w:r>
      <w:r w:rsidR="00326DE0" w:rsidRPr="00871970">
        <w:rPr>
          <w:i/>
        </w:rPr>
        <w:t>Composites Science and Technology,</w:t>
      </w:r>
      <w:r w:rsidR="00326DE0" w:rsidRPr="00B17B04">
        <w:t xml:space="preserve"> </w:t>
      </w:r>
      <w:r w:rsidR="00326DE0" w:rsidRPr="00B17B04">
        <w:rPr>
          <w:b/>
        </w:rPr>
        <w:t>62</w:t>
      </w:r>
      <w:r w:rsidR="00871970">
        <w:t>, 16 (</w:t>
      </w:r>
      <w:r w:rsidR="00871970" w:rsidRPr="00B17B04">
        <w:t>2002</w:t>
      </w:r>
      <w:r w:rsidR="00871970">
        <w:t>)</w:t>
      </w:r>
      <w:r w:rsidR="00871970" w:rsidRPr="00B17B04">
        <w:t>.</w:t>
      </w:r>
    </w:p>
    <w:p w14:paraId="4FB21CA3" w14:textId="77777777" w:rsidR="00642AF3" w:rsidRDefault="00642AF3" w:rsidP="00326DE0">
      <w:pPr>
        <w:pStyle w:val="EndNoteBibliography"/>
        <w:ind w:left="720" w:hanging="720"/>
      </w:pPr>
    </w:p>
    <w:p w14:paraId="144ECB7A" w14:textId="762242AF" w:rsidR="00326DE0" w:rsidRPr="00B17B04" w:rsidRDefault="00642AF3" w:rsidP="00326DE0">
      <w:pPr>
        <w:pStyle w:val="EndNoteBibliography"/>
        <w:ind w:left="720" w:hanging="720"/>
      </w:pPr>
      <w:r>
        <w:t>[</w:t>
      </w:r>
      <w:r w:rsidR="00326DE0" w:rsidRPr="00B17B04">
        <w:t>1</w:t>
      </w:r>
      <w:r>
        <w:t>2]</w:t>
      </w:r>
      <w:r w:rsidR="00326DE0" w:rsidRPr="00B17B04">
        <w:tab/>
        <w:t>L</w:t>
      </w:r>
      <w:r w:rsidR="00871970">
        <w:t>-R</w:t>
      </w:r>
      <w:r w:rsidR="00326DE0" w:rsidRPr="00B17B04">
        <w:t>. Bao,</w:t>
      </w:r>
      <w:r w:rsidR="00871970">
        <w:t xml:space="preserve"> and</w:t>
      </w:r>
      <w:r w:rsidR="00326DE0" w:rsidRPr="00B17B04">
        <w:t xml:space="preserve"> A.</w:t>
      </w:r>
      <w:r w:rsidR="00871970">
        <w:t xml:space="preserve"> F. Yee</w:t>
      </w:r>
      <w:r w:rsidR="00326DE0" w:rsidRPr="00B17B04">
        <w:t xml:space="preserve">, </w:t>
      </w:r>
      <w:r w:rsidR="00326DE0" w:rsidRPr="00871970">
        <w:t>Effect of temperature on moisture absorption in a Bismaleimide resin and its carbon fiber composites.</w:t>
      </w:r>
      <w:r w:rsidR="00326DE0" w:rsidRPr="00B17B04">
        <w:t xml:space="preserve"> </w:t>
      </w:r>
      <w:r w:rsidR="00326DE0" w:rsidRPr="00871970">
        <w:rPr>
          <w:i/>
        </w:rPr>
        <w:t>Polymer,</w:t>
      </w:r>
      <w:r w:rsidR="00326DE0" w:rsidRPr="00B17B04">
        <w:t xml:space="preserve"> </w:t>
      </w:r>
      <w:r w:rsidR="00326DE0" w:rsidRPr="00B17B04">
        <w:rPr>
          <w:b/>
        </w:rPr>
        <w:t>43</w:t>
      </w:r>
      <w:r w:rsidR="00871970">
        <w:t>, 14</w:t>
      </w:r>
      <w:r w:rsidR="00326DE0" w:rsidRPr="00B17B04">
        <w:t xml:space="preserve"> </w:t>
      </w:r>
      <w:r w:rsidR="00871970">
        <w:t>(2002).</w:t>
      </w:r>
    </w:p>
    <w:p w14:paraId="0D05A5AC" w14:textId="77777777" w:rsidR="00642AF3" w:rsidRDefault="00642AF3" w:rsidP="00326DE0">
      <w:pPr>
        <w:pStyle w:val="EndNoteBibliography"/>
        <w:ind w:left="720" w:hanging="720"/>
      </w:pPr>
    </w:p>
    <w:p w14:paraId="2DE0B9F9" w14:textId="01971051" w:rsidR="00326DE0" w:rsidRPr="00B17B04" w:rsidRDefault="00642AF3" w:rsidP="00326DE0">
      <w:pPr>
        <w:pStyle w:val="EndNoteBibliography"/>
        <w:ind w:left="720" w:hanging="720"/>
      </w:pPr>
      <w:r>
        <w:t>[13]</w:t>
      </w:r>
      <w:r w:rsidR="00326DE0" w:rsidRPr="00B17B04">
        <w:tab/>
        <w:t>Y. Li, J.</w:t>
      </w:r>
      <w:r w:rsidR="00871970">
        <w:t xml:space="preserve"> Miranda</w:t>
      </w:r>
      <w:r w:rsidR="00326DE0" w:rsidRPr="00B17B04">
        <w:t>,</w:t>
      </w:r>
      <w:r w:rsidR="00871970">
        <w:t xml:space="preserve"> and</w:t>
      </w:r>
      <w:r w:rsidR="00326DE0" w:rsidRPr="00B17B04">
        <w:t xml:space="preserve"> H</w:t>
      </w:r>
      <w:r w:rsidR="00871970">
        <w:t>-J</w:t>
      </w:r>
      <w:r w:rsidR="00326DE0" w:rsidRPr="00B17B04">
        <w:t xml:space="preserve">. Sue, </w:t>
      </w:r>
      <w:r w:rsidR="00326DE0" w:rsidRPr="00871970">
        <w:t>Hygrothermal diffusion behavior in Bismaleimide resin.</w:t>
      </w:r>
      <w:r w:rsidR="00326DE0" w:rsidRPr="00B17B04">
        <w:t xml:space="preserve"> </w:t>
      </w:r>
      <w:r w:rsidR="00326DE0" w:rsidRPr="00871970">
        <w:rPr>
          <w:i/>
        </w:rPr>
        <w:t xml:space="preserve">Polymer, </w:t>
      </w:r>
      <w:r w:rsidR="00326DE0" w:rsidRPr="00B17B04">
        <w:rPr>
          <w:b/>
        </w:rPr>
        <w:t>42</w:t>
      </w:r>
      <w:r w:rsidR="00871970">
        <w:t>, 18</w:t>
      </w:r>
      <w:r w:rsidR="00871970" w:rsidRPr="00871970">
        <w:t xml:space="preserve"> </w:t>
      </w:r>
      <w:r w:rsidR="00871970">
        <w:t>(2001)</w:t>
      </w:r>
      <w:r w:rsidR="00326DE0" w:rsidRPr="00B17B04">
        <w:t>.</w:t>
      </w:r>
    </w:p>
    <w:p w14:paraId="179F8ACC" w14:textId="77777777" w:rsidR="00642AF3" w:rsidRDefault="00642AF3" w:rsidP="00326DE0">
      <w:pPr>
        <w:pStyle w:val="EndNoteBibliography"/>
        <w:ind w:left="720" w:hanging="720"/>
      </w:pPr>
    </w:p>
    <w:p w14:paraId="214B5735" w14:textId="5B001E8A" w:rsidR="00326DE0" w:rsidRPr="00B17B04" w:rsidRDefault="00642AF3" w:rsidP="00326DE0">
      <w:pPr>
        <w:pStyle w:val="EndNoteBibliography"/>
        <w:ind w:left="720" w:hanging="720"/>
      </w:pPr>
      <w:r>
        <w:t>[</w:t>
      </w:r>
      <w:r w:rsidR="00326DE0" w:rsidRPr="00B17B04">
        <w:t>1</w:t>
      </w:r>
      <w:r>
        <w:t>4]</w:t>
      </w:r>
      <w:r w:rsidR="00326DE0" w:rsidRPr="00B17B04">
        <w:tab/>
        <w:t>Y. Li, J.</w:t>
      </w:r>
      <w:r w:rsidR="00B837F6">
        <w:t xml:space="preserve"> Miranda</w:t>
      </w:r>
      <w:r w:rsidR="00326DE0" w:rsidRPr="00B17B04">
        <w:t>,</w:t>
      </w:r>
      <w:r w:rsidR="00B837F6">
        <w:t xml:space="preserve"> and</w:t>
      </w:r>
      <w:r w:rsidR="00326DE0" w:rsidRPr="00B17B04">
        <w:t xml:space="preserve"> H</w:t>
      </w:r>
      <w:r w:rsidR="00B837F6">
        <w:t>-J</w:t>
      </w:r>
      <w:r w:rsidR="00326DE0" w:rsidRPr="00B17B04">
        <w:t xml:space="preserve">. Sue, </w:t>
      </w:r>
      <w:r w:rsidR="00326DE0" w:rsidRPr="00B837F6">
        <w:t>Moisture diffusion behavior in Bismaleimide resin subjected to hygrothermal cycling.</w:t>
      </w:r>
      <w:r w:rsidR="00326DE0" w:rsidRPr="00B17B04">
        <w:t xml:space="preserve"> </w:t>
      </w:r>
      <w:r w:rsidR="00326DE0" w:rsidRPr="00B837F6">
        <w:rPr>
          <w:i/>
        </w:rPr>
        <w:t>Polymer Engineering and Science,</w:t>
      </w:r>
      <w:r w:rsidR="00326DE0" w:rsidRPr="00B17B04">
        <w:t xml:space="preserve"> </w:t>
      </w:r>
      <w:r w:rsidR="00326DE0" w:rsidRPr="00B17B04">
        <w:rPr>
          <w:b/>
        </w:rPr>
        <w:t>42</w:t>
      </w:r>
      <w:r w:rsidR="00B837F6">
        <w:t>, 2</w:t>
      </w:r>
      <w:r w:rsidR="00326DE0" w:rsidRPr="00B17B04">
        <w:t xml:space="preserve"> </w:t>
      </w:r>
      <w:r w:rsidR="00B837F6">
        <w:t>(2002)</w:t>
      </w:r>
      <w:r w:rsidR="00326DE0" w:rsidRPr="00B17B04">
        <w:t>.</w:t>
      </w:r>
    </w:p>
    <w:p w14:paraId="5E9C81CF" w14:textId="77777777" w:rsidR="00642AF3" w:rsidRDefault="00642AF3" w:rsidP="00326DE0">
      <w:pPr>
        <w:pStyle w:val="EndNoteBibliography"/>
        <w:ind w:left="720" w:hanging="720"/>
      </w:pPr>
    </w:p>
    <w:p w14:paraId="625D463F" w14:textId="16D75C88" w:rsidR="00326DE0" w:rsidRPr="00B17B04" w:rsidRDefault="00642AF3" w:rsidP="00326DE0">
      <w:pPr>
        <w:pStyle w:val="EndNoteBibliography"/>
        <w:ind w:left="720" w:hanging="720"/>
      </w:pPr>
      <w:r>
        <w:t>[</w:t>
      </w:r>
      <w:r w:rsidR="00326DE0" w:rsidRPr="00B17B04">
        <w:t>1</w:t>
      </w:r>
      <w:r>
        <w:t>5]</w:t>
      </w:r>
      <w:r w:rsidR="00326DE0" w:rsidRPr="00B17B04">
        <w:tab/>
      </w:r>
      <w:r w:rsidR="00B837F6">
        <w:t xml:space="preserve">V. L. </w:t>
      </w:r>
      <w:r w:rsidR="00326DE0" w:rsidRPr="00B17B04">
        <w:t xml:space="preserve">Saponara, </w:t>
      </w:r>
      <w:r w:rsidR="00326DE0" w:rsidRPr="00B837F6">
        <w:t>Environmental and chemical degradation of carbon/epoxy and structural adhesive for aerospace applications: Fickian and anomalous diffusion, Arrhenius kinetics.</w:t>
      </w:r>
      <w:r w:rsidR="00326DE0" w:rsidRPr="00B17B04">
        <w:t xml:space="preserve"> </w:t>
      </w:r>
      <w:r w:rsidR="00326DE0" w:rsidRPr="00B837F6">
        <w:rPr>
          <w:i/>
        </w:rPr>
        <w:t>Composite Structures,</w:t>
      </w:r>
      <w:r w:rsidR="00326DE0" w:rsidRPr="00B17B04">
        <w:t xml:space="preserve"> </w:t>
      </w:r>
      <w:r w:rsidR="00326DE0" w:rsidRPr="00B17B04">
        <w:rPr>
          <w:b/>
        </w:rPr>
        <w:t>93</w:t>
      </w:r>
      <w:r w:rsidR="00B837F6">
        <w:t>, 9</w:t>
      </w:r>
      <w:r w:rsidR="00326DE0" w:rsidRPr="00B17B04">
        <w:t xml:space="preserve"> </w:t>
      </w:r>
      <w:r w:rsidR="00B837F6">
        <w:t>(2011).</w:t>
      </w:r>
    </w:p>
    <w:p w14:paraId="61F6A700" w14:textId="77777777" w:rsidR="00642AF3" w:rsidRDefault="00642AF3" w:rsidP="00326DE0">
      <w:pPr>
        <w:pStyle w:val="EndNoteBibliography"/>
        <w:ind w:left="720" w:hanging="720"/>
      </w:pPr>
    </w:p>
    <w:p w14:paraId="2F5CCF5B" w14:textId="225CDB84" w:rsidR="00326DE0" w:rsidRPr="00B17B04" w:rsidRDefault="00642AF3" w:rsidP="00326DE0">
      <w:pPr>
        <w:pStyle w:val="EndNoteBibliography"/>
        <w:ind w:left="720" w:hanging="720"/>
      </w:pPr>
      <w:r>
        <w:t>[16]</w:t>
      </w:r>
      <w:r w:rsidR="00326DE0" w:rsidRPr="00B17B04">
        <w:tab/>
        <w:t>M. Al-Qadhi, N.</w:t>
      </w:r>
      <w:r w:rsidR="000474DE">
        <w:t xml:space="preserve"> </w:t>
      </w:r>
      <w:r w:rsidR="00326DE0" w:rsidRPr="00B17B04">
        <w:t>M</w:t>
      </w:r>
      <w:r w:rsidR="000474DE">
        <w:t>erah</w:t>
      </w:r>
      <w:r w:rsidR="00326DE0" w:rsidRPr="00B17B04">
        <w:t>, Z.</w:t>
      </w:r>
      <w:r w:rsidR="000474DE">
        <w:t xml:space="preserve"> </w:t>
      </w:r>
      <w:r w:rsidR="00326DE0" w:rsidRPr="00B17B04">
        <w:t xml:space="preserve">M. Gasem, N. Abu-Dheir, </w:t>
      </w:r>
      <w:r w:rsidR="000474DE">
        <w:t xml:space="preserve">and </w:t>
      </w:r>
      <w:r w:rsidR="00326DE0" w:rsidRPr="00B17B04">
        <w:t>B.</w:t>
      </w:r>
      <w:r w:rsidR="000474DE">
        <w:t xml:space="preserve"> </w:t>
      </w:r>
      <w:r w:rsidR="00326DE0" w:rsidRPr="00B17B04">
        <w:t xml:space="preserve">J. Abdul Aleem, </w:t>
      </w:r>
      <w:r w:rsidR="00326DE0" w:rsidRPr="000474DE">
        <w:t>Effect of water and crude oil on mechanical and thermal properties of epoxy-clay nanocomposites.</w:t>
      </w:r>
      <w:r w:rsidR="00326DE0" w:rsidRPr="00B17B04">
        <w:t xml:space="preserve"> </w:t>
      </w:r>
      <w:r w:rsidR="00326DE0" w:rsidRPr="000474DE">
        <w:rPr>
          <w:i/>
        </w:rPr>
        <w:t>Polymer Composites,</w:t>
      </w:r>
      <w:r w:rsidR="00326DE0" w:rsidRPr="00B17B04">
        <w:t xml:space="preserve"> </w:t>
      </w:r>
      <w:r w:rsidR="000474DE" w:rsidRPr="000474DE">
        <w:rPr>
          <w:b/>
        </w:rPr>
        <w:t>35</w:t>
      </w:r>
      <w:r w:rsidR="000474DE">
        <w:t>, 2 (</w:t>
      </w:r>
      <w:r w:rsidR="00326DE0" w:rsidRPr="000474DE">
        <w:t>2013</w:t>
      </w:r>
      <w:r w:rsidR="000474DE">
        <w:t>)</w:t>
      </w:r>
      <w:r w:rsidR="00326DE0" w:rsidRPr="00B17B04">
        <w:t>.</w:t>
      </w:r>
    </w:p>
    <w:p w14:paraId="7C7E2414" w14:textId="77777777" w:rsidR="00326DE0" w:rsidRDefault="00326DE0" w:rsidP="00326DE0">
      <w:pPr>
        <w:pStyle w:val="EndNoteBibliography"/>
        <w:ind w:left="720" w:hanging="720"/>
      </w:pPr>
    </w:p>
    <w:p w14:paraId="42853B13" w14:textId="47528D49" w:rsidR="00642AF3" w:rsidRPr="00B17B04" w:rsidRDefault="00642AF3" w:rsidP="00642AF3">
      <w:pPr>
        <w:pStyle w:val="EndNoteBibliography"/>
        <w:ind w:left="720" w:hanging="720"/>
      </w:pPr>
      <w:r>
        <w:t>[17]</w:t>
      </w:r>
      <w:r w:rsidRPr="00B17B04">
        <w:tab/>
      </w:r>
      <w:r w:rsidR="000474DE">
        <w:t xml:space="preserve">L. </w:t>
      </w:r>
      <w:r w:rsidRPr="00B17B04">
        <w:t xml:space="preserve">Liu, </w:t>
      </w:r>
      <w:r w:rsidR="000474DE">
        <w:t>B-M. Zhang, D-F. Wang, and Z-J Wu</w:t>
      </w:r>
      <w:r w:rsidRPr="00B17B04">
        <w:t xml:space="preserve">, </w:t>
      </w:r>
      <w:r w:rsidRPr="000474DE">
        <w:t>Effects of cure cycles on void content and mechanical properties of composite laminates.</w:t>
      </w:r>
      <w:r w:rsidRPr="00B17B04">
        <w:t xml:space="preserve"> </w:t>
      </w:r>
      <w:r w:rsidRPr="000474DE">
        <w:rPr>
          <w:i/>
        </w:rPr>
        <w:t xml:space="preserve">Composite Structures, </w:t>
      </w:r>
      <w:r w:rsidRPr="00B17B04">
        <w:rPr>
          <w:b/>
        </w:rPr>
        <w:t>73</w:t>
      </w:r>
      <w:r w:rsidR="000474DE">
        <w:t>, 3 (2006)</w:t>
      </w:r>
      <w:r w:rsidRPr="00B17B04">
        <w:t>.</w:t>
      </w:r>
    </w:p>
    <w:p w14:paraId="7460D982" w14:textId="77777777" w:rsidR="00642AF3" w:rsidRDefault="00642AF3" w:rsidP="00326DE0">
      <w:pPr>
        <w:pStyle w:val="EndNoteBibliography"/>
        <w:ind w:left="720" w:hanging="720"/>
      </w:pPr>
    </w:p>
    <w:p w14:paraId="5B3BF25C" w14:textId="39ECCA2F" w:rsidR="00642AF3" w:rsidRPr="00B17B04" w:rsidRDefault="00642AF3" w:rsidP="00642AF3">
      <w:pPr>
        <w:pStyle w:val="EndNoteBibliography"/>
        <w:ind w:left="720" w:hanging="720"/>
      </w:pPr>
      <w:r>
        <w:t>[18]</w:t>
      </w:r>
      <w:r w:rsidRPr="00B17B04">
        <w:tab/>
      </w:r>
      <w:r w:rsidR="000474DE">
        <w:t xml:space="preserve">K. R. </w:t>
      </w:r>
      <w:r w:rsidRPr="00B17B04">
        <w:t xml:space="preserve">Hurdelbrink II, </w:t>
      </w:r>
      <w:r w:rsidR="00CA00F5">
        <w:t>J. P. Anderson, Z. Siddique, and M. C. Altan,</w:t>
      </w:r>
      <w:r w:rsidRPr="00B17B04">
        <w:t xml:space="preserve"> </w:t>
      </w:r>
      <w:r w:rsidRPr="00CA00F5">
        <w:t>Effects of Processing Conditions on Mechanical Properties of Quartz/BMI Laminates.</w:t>
      </w:r>
      <w:r w:rsidRPr="00B17B04">
        <w:t xml:space="preserve"> </w:t>
      </w:r>
      <w:r w:rsidRPr="00B17B04">
        <w:rPr>
          <w:i/>
        </w:rPr>
        <w:t>American Society of Composites 30th Technical Conference</w:t>
      </w:r>
      <w:r w:rsidRPr="00B17B04">
        <w:t>. East Lansing, MI.</w:t>
      </w:r>
      <w:r w:rsidR="00CA00F5">
        <w:t xml:space="preserve"> (</w:t>
      </w:r>
      <w:r w:rsidR="00CA00F5" w:rsidRPr="00B17B04">
        <w:t>2015</w:t>
      </w:r>
      <w:r w:rsidR="00CA00F5">
        <w:t>)</w:t>
      </w:r>
      <w:r w:rsidR="00CA00F5" w:rsidRPr="00B17B04">
        <w:t>.</w:t>
      </w:r>
    </w:p>
    <w:p w14:paraId="2D67B5A8" w14:textId="77777777" w:rsidR="00642AF3" w:rsidRDefault="00642AF3" w:rsidP="00326DE0">
      <w:pPr>
        <w:pStyle w:val="EndNoteBibliography"/>
        <w:ind w:left="720" w:hanging="720"/>
      </w:pPr>
    </w:p>
    <w:p w14:paraId="6C9BBFAD" w14:textId="783ECFD5" w:rsidR="00642AF3" w:rsidRPr="00B17B04" w:rsidRDefault="00642AF3" w:rsidP="00642AF3">
      <w:pPr>
        <w:pStyle w:val="EndNoteBibliography"/>
        <w:ind w:left="720" w:hanging="720"/>
      </w:pPr>
      <w:r>
        <w:t>[19]</w:t>
      </w:r>
      <w:r w:rsidRPr="00B17B04">
        <w:tab/>
      </w:r>
      <w:r w:rsidR="00CA00F5">
        <w:t xml:space="preserve">S. J. </w:t>
      </w:r>
      <w:r w:rsidRPr="00B17B04">
        <w:t xml:space="preserve">Li, </w:t>
      </w:r>
      <w:r w:rsidR="00CA00F5">
        <w:t>L. H. Zhan, R. Chen, W. F. Peng, Y. A. Zhang, Y. Q. Zhou, and L. R. Zeng</w:t>
      </w:r>
      <w:r w:rsidRPr="00B17B04">
        <w:t xml:space="preserve">, </w:t>
      </w:r>
      <w:r w:rsidRPr="00CA00F5">
        <w:t>The influence of cure pressure on microstructure, temperature field and mechanical properties of advanced polymer-matrix composite laminates.</w:t>
      </w:r>
      <w:r w:rsidRPr="00B17B04">
        <w:t xml:space="preserve"> </w:t>
      </w:r>
      <w:r w:rsidRPr="00CA00F5">
        <w:rPr>
          <w:i/>
        </w:rPr>
        <w:t>Fibers and Polymers,</w:t>
      </w:r>
      <w:r w:rsidRPr="00B17B04">
        <w:t xml:space="preserve"> </w:t>
      </w:r>
      <w:r w:rsidRPr="00B17B04">
        <w:rPr>
          <w:b/>
        </w:rPr>
        <w:t>15</w:t>
      </w:r>
      <w:r w:rsidR="00CA00F5">
        <w:t>, 11 (</w:t>
      </w:r>
      <w:r w:rsidR="00CA00F5" w:rsidRPr="00B17B04">
        <w:t>2014</w:t>
      </w:r>
      <w:r w:rsidR="00CA00F5">
        <w:t>)</w:t>
      </w:r>
      <w:r w:rsidR="00CA00F5" w:rsidRPr="00B17B04">
        <w:t>.</w:t>
      </w:r>
    </w:p>
    <w:p w14:paraId="59A36663" w14:textId="77777777" w:rsidR="00642AF3" w:rsidRDefault="00642AF3" w:rsidP="00326DE0">
      <w:pPr>
        <w:pStyle w:val="EndNoteBibliography"/>
        <w:ind w:left="720" w:hanging="720"/>
      </w:pPr>
    </w:p>
    <w:p w14:paraId="0E071181" w14:textId="333668DB" w:rsidR="00642AF3" w:rsidRPr="00B17B04" w:rsidRDefault="00642AF3" w:rsidP="00642AF3">
      <w:pPr>
        <w:pStyle w:val="EndNoteBibliography"/>
        <w:ind w:left="720" w:hanging="720"/>
      </w:pPr>
      <w:r>
        <w:t>[20]</w:t>
      </w:r>
      <w:r w:rsidRPr="00B17B04">
        <w:tab/>
      </w:r>
      <w:r w:rsidR="00CA00F5">
        <w:t>S. R. Ghiorse</w:t>
      </w:r>
      <w:r w:rsidRPr="00B17B04">
        <w:t xml:space="preserve">, </w:t>
      </w:r>
      <w:r w:rsidRPr="00CA00F5">
        <w:t>Effect of void content on the mechanical properties of carbon/epoxy laminates.</w:t>
      </w:r>
      <w:r w:rsidRPr="00B17B04">
        <w:t xml:space="preserve"> </w:t>
      </w:r>
      <w:r w:rsidRPr="00CA00F5">
        <w:rPr>
          <w:i/>
        </w:rPr>
        <w:t>Sampe Quarterly,</w:t>
      </w:r>
      <w:r w:rsidRPr="00B17B04">
        <w:t xml:space="preserve"> </w:t>
      </w:r>
      <w:r w:rsidRPr="00B17B04">
        <w:rPr>
          <w:b/>
        </w:rPr>
        <w:t>24</w:t>
      </w:r>
      <w:r w:rsidR="00CA00F5">
        <w:t>, 2</w:t>
      </w:r>
      <w:r w:rsidRPr="00B17B04">
        <w:t xml:space="preserve"> </w:t>
      </w:r>
      <w:r w:rsidR="00CA00F5">
        <w:t>(</w:t>
      </w:r>
      <w:r w:rsidR="00CA00F5" w:rsidRPr="00B17B04">
        <w:t>1993</w:t>
      </w:r>
      <w:r w:rsidR="00CA00F5">
        <w:t>)</w:t>
      </w:r>
      <w:r w:rsidR="00CA00F5" w:rsidRPr="00B17B04">
        <w:t>.</w:t>
      </w:r>
    </w:p>
    <w:p w14:paraId="1C5DA8EA" w14:textId="77777777" w:rsidR="00642AF3" w:rsidRDefault="00642AF3" w:rsidP="00642AF3">
      <w:pPr>
        <w:pStyle w:val="EndNoteBibliography"/>
        <w:ind w:left="720" w:hanging="720"/>
      </w:pPr>
    </w:p>
    <w:p w14:paraId="40372A53" w14:textId="195E223B" w:rsidR="00642AF3" w:rsidRPr="00B17B04" w:rsidRDefault="00642AF3" w:rsidP="00642AF3">
      <w:pPr>
        <w:pStyle w:val="EndNoteBibliography"/>
        <w:ind w:left="720" w:hanging="720"/>
      </w:pPr>
      <w:r>
        <w:t>[2</w:t>
      </w:r>
      <w:r w:rsidRPr="00B17B04">
        <w:t>1</w:t>
      </w:r>
      <w:r>
        <w:t>]</w:t>
      </w:r>
      <w:r w:rsidRPr="00B17B04">
        <w:tab/>
      </w:r>
      <w:r w:rsidR="00CA00F5">
        <w:t xml:space="preserve">K. A. </w:t>
      </w:r>
      <w:r w:rsidRPr="00B17B04">
        <w:t xml:space="preserve">Olivero, </w:t>
      </w:r>
      <w:r w:rsidR="00CA00F5">
        <w:t>H. J. Barraza, E. A. O’Rear, and M. C. Altan</w:t>
      </w:r>
      <w:r w:rsidRPr="00B17B04">
        <w:t xml:space="preserve">, </w:t>
      </w:r>
      <w:r w:rsidRPr="00CA00F5">
        <w:t>Effect of injection rate and post-fill cure pressure on properties of resin transfer molded disks.</w:t>
      </w:r>
      <w:r w:rsidRPr="00B17B04">
        <w:t xml:space="preserve"> </w:t>
      </w:r>
      <w:r w:rsidRPr="00CA00F5">
        <w:rPr>
          <w:i/>
        </w:rPr>
        <w:t>Journal of Composite Materials,</w:t>
      </w:r>
      <w:r w:rsidRPr="00B17B04">
        <w:t xml:space="preserve"> </w:t>
      </w:r>
      <w:r w:rsidRPr="00B17B04">
        <w:rPr>
          <w:b/>
        </w:rPr>
        <w:t>36</w:t>
      </w:r>
      <w:r w:rsidR="00CA00F5">
        <w:t>, 16 (2002)</w:t>
      </w:r>
      <w:r w:rsidRPr="00B17B04">
        <w:t>.</w:t>
      </w:r>
    </w:p>
    <w:p w14:paraId="206279AA" w14:textId="77777777" w:rsidR="00642AF3" w:rsidRDefault="00642AF3" w:rsidP="00642AF3">
      <w:pPr>
        <w:pStyle w:val="EndNoteBibliography"/>
        <w:ind w:left="720" w:hanging="720"/>
      </w:pPr>
    </w:p>
    <w:p w14:paraId="1F5F8F4A" w14:textId="39D6651D" w:rsidR="00642AF3" w:rsidRPr="00B17B04" w:rsidRDefault="00642AF3" w:rsidP="00642AF3">
      <w:pPr>
        <w:pStyle w:val="EndNoteBibliography"/>
        <w:ind w:left="720" w:hanging="720"/>
      </w:pPr>
      <w:r>
        <w:t>[22]</w:t>
      </w:r>
      <w:r w:rsidRPr="00B17B04">
        <w:tab/>
      </w:r>
      <w:r w:rsidR="00536F94">
        <w:t xml:space="preserve">N. C. W. </w:t>
      </w:r>
      <w:r w:rsidRPr="00B17B04">
        <w:t>Judd, and W.</w:t>
      </w:r>
      <w:r w:rsidR="00536F94">
        <w:t xml:space="preserve"> </w:t>
      </w:r>
      <w:r w:rsidRPr="00B17B04">
        <w:t xml:space="preserve">W. Wright, </w:t>
      </w:r>
      <w:r w:rsidRPr="00536F94">
        <w:t>Voids and their effects on the mechanical properties of composites - An appraisal.</w:t>
      </w:r>
      <w:r w:rsidRPr="00B17B04">
        <w:t xml:space="preserve"> </w:t>
      </w:r>
      <w:r w:rsidRPr="00536F94">
        <w:rPr>
          <w:i/>
        </w:rPr>
        <w:t>Sampe Journal,</w:t>
      </w:r>
      <w:r w:rsidRPr="00B17B04">
        <w:t xml:space="preserve"> </w:t>
      </w:r>
      <w:r w:rsidRPr="00B17B04">
        <w:rPr>
          <w:b/>
        </w:rPr>
        <w:t>14</w:t>
      </w:r>
      <w:r w:rsidR="00536F94">
        <w:t>, 1</w:t>
      </w:r>
      <w:r w:rsidRPr="00B17B04">
        <w:t xml:space="preserve"> </w:t>
      </w:r>
      <w:r w:rsidR="00536F94">
        <w:t>(1978)</w:t>
      </w:r>
      <w:r w:rsidRPr="00B17B04">
        <w:t>.</w:t>
      </w:r>
    </w:p>
    <w:p w14:paraId="3E08AFDC" w14:textId="77777777" w:rsidR="00642AF3" w:rsidRDefault="00642AF3" w:rsidP="00642AF3">
      <w:pPr>
        <w:pStyle w:val="EndNoteBibliography"/>
        <w:ind w:left="720" w:hanging="720"/>
      </w:pPr>
    </w:p>
    <w:p w14:paraId="3008DB42" w14:textId="48A901A5" w:rsidR="00642AF3" w:rsidRPr="00B17B04" w:rsidRDefault="00642AF3" w:rsidP="00642AF3">
      <w:pPr>
        <w:pStyle w:val="EndNoteBibliography"/>
        <w:ind w:left="720" w:hanging="720"/>
      </w:pPr>
      <w:r>
        <w:t>[</w:t>
      </w:r>
      <w:r w:rsidRPr="00B17B04">
        <w:t>2</w:t>
      </w:r>
      <w:r>
        <w:t>3]</w:t>
      </w:r>
      <w:r w:rsidRPr="00B17B04">
        <w:tab/>
      </w:r>
      <w:r w:rsidR="00536F94">
        <w:t xml:space="preserve">P-O. </w:t>
      </w:r>
      <w:r w:rsidRPr="00B17B04">
        <w:t>Hagstrand, F. Bonjour, an</w:t>
      </w:r>
      <w:r w:rsidR="00536F94">
        <w:t>d J-</w:t>
      </w:r>
      <w:r w:rsidRPr="00B17B04">
        <w:t>A.</w:t>
      </w:r>
      <w:r w:rsidR="00536F94">
        <w:t xml:space="preserve"> </w:t>
      </w:r>
      <w:r w:rsidRPr="00B17B04">
        <w:t xml:space="preserve">E. Manson, </w:t>
      </w:r>
      <w:r w:rsidRPr="00536F94">
        <w:t>The influence of void content on the structural flexural performance of unidirectional glass fibre reinforced polypropylene composites.</w:t>
      </w:r>
      <w:r w:rsidRPr="00B17B04">
        <w:t xml:space="preserve"> </w:t>
      </w:r>
      <w:r w:rsidRPr="00536F94">
        <w:rPr>
          <w:i/>
        </w:rPr>
        <w:t xml:space="preserve">Composites Part A: Applied Science and Manufacturing, </w:t>
      </w:r>
      <w:r w:rsidRPr="00B17B04">
        <w:rPr>
          <w:b/>
        </w:rPr>
        <w:t>36</w:t>
      </w:r>
      <w:r w:rsidR="00536F94">
        <w:t>, 5 (2005)</w:t>
      </w:r>
      <w:r w:rsidRPr="00B17B04">
        <w:t>.</w:t>
      </w:r>
    </w:p>
    <w:p w14:paraId="343AE62F" w14:textId="77777777" w:rsidR="00642AF3" w:rsidRDefault="00642AF3" w:rsidP="00642AF3">
      <w:pPr>
        <w:pStyle w:val="EndNoteBibliography"/>
        <w:ind w:left="720" w:hanging="720"/>
      </w:pPr>
    </w:p>
    <w:p w14:paraId="5ED0307E" w14:textId="533F1850" w:rsidR="00642AF3" w:rsidRPr="00B17B04" w:rsidRDefault="00642AF3" w:rsidP="00642AF3">
      <w:pPr>
        <w:pStyle w:val="EndNoteBibliography"/>
        <w:ind w:left="720" w:hanging="720"/>
      </w:pPr>
      <w:r>
        <w:t>[</w:t>
      </w:r>
      <w:r w:rsidRPr="00B17B04">
        <w:t>2</w:t>
      </w:r>
      <w:r>
        <w:t>4]</w:t>
      </w:r>
      <w:r w:rsidRPr="00B17B04">
        <w:tab/>
      </w:r>
      <w:r w:rsidR="00536F94">
        <w:t xml:space="preserve">S. F. Muller </w:t>
      </w:r>
      <w:r w:rsidRPr="00B17B04">
        <w:t>de Almeida, and Z.</w:t>
      </w:r>
      <w:r w:rsidR="00536F94">
        <w:t xml:space="preserve"> </w:t>
      </w:r>
      <w:r w:rsidRPr="00B17B04">
        <w:t>d.</w:t>
      </w:r>
      <w:r w:rsidR="00536F94">
        <w:t xml:space="preserve"> </w:t>
      </w:r>
      <w:r w:rsidRPr="00B17B04">
        <w:t>S.</w:t>
      </w:r>
      <w:r w:rsidR="00536F94">
        <w:t xml:space="preserve"> </w:t>
      </w:r>
      <w:r w:rsidRPr="00B17B04">
        <w:t xml:space="preserve">N. Neto, </w:t>
      </w:r>
      <w:r w:rsidRPr="00536F94">
        <w:t>Effect of void content on the strength of composite laminates.</w:t>
      </w:r>
      <w:r w:rsidRPr="00B17B04">
        <w:t xml:space="preserve"> </w:t>
      </w:r>
      <w:r w:rsidR="00536F94">
        <w:rPr>
          <w:i/>
        </w:rPr>
        <w:t>Composite S</w:t>
      </w:r>
      <w:r w:rsidRPr="00536F94">
        <w:rPr>
          <w:i/>
        </w:rPr>
        <w:t>tructures,</w:t>
      </w:r>
      <w:r w:rsidRPr="00B17B04">
        <w:t xml:space="preserve"> </w:t>
      </w:r>
      <w:r w:rsidRPr="00B17B04">
        <w:rPr>
          <w:b/>
        </w:rPr>
        <w:t>28</w:t>
      </w:r>
      <w:r w:rsidR="00536F94">
        <w:t>, 2 (1994)</w:t>
      </w:r>
      <w:r w:rsidRPr="00B17B04">
        <w:t>.</w:t>
      </w:r>
    </w:p>
    <w:p w14:paraId="7422088E" w14:textId="77777777" w:rsidR="00642AF3" w:rsidRDefault="00642AF3" w:rsidP="00642AF3">
      <w:pPr>
        <w:pStyle w:val="EndNoteBibliography"/>
        <w:ind w:left="720" w:hanging="720"/>
      </w:pPr>
    </w:p>
    <w:p w14:paraId="210DCF4E" w14:textId="4AEA10AE" w:rsidR="00642AF3" w:rsidRPr="00B17B04" w:rsidRDefault="00642AF3" w:rsidP="00642AF3">
      <w:pPr>
        <w:pStyle w:val="EndNoteBibliography"/>
        <w:ind w:left="720" w:hanging="720"/>
      </w:pPr>
      <w:r>
        <w:t>[</w:t>
      </w:r>
      <w:r w:rsidRPr="00B17B04">
        <w:t>2</w:t>
      </w:r>
      <w:r>
        <w:t>5]</w:t>
      </w:r>
      <w:r w:rsidRPr="00B17B04">
        <w:tab/>
      </w:r>
      <w:r w:rsidR="00536F94">
        <w:t xml:space="preserve">Gorkem E. </w:t>
      </w:r>
      <w:r w:rsidRPr="00B17B04">
        <w:t xml:space="preserve">Guloglu, </w:t>
      </w:r>
      <w:r w:rsidR="00536F94">
        <w:t>K. R. Hurdelbrink II, J. P. Anderson, and M. C. Altan,</w:t>
      </w:r>
      <w:r w:rsidRPr="00B17B04">
        <w:t xml:space="preserve"> </w:t>
      </w:r>
      <w:r w:rsidRPr="00536F94">
        <w:t>Experimental and Theoretical Investigation of Non-Fickian Moisture Absorption of Quartz/BMI Laminates Fabricated by Preconditioned Prepregs.</w:t>
      </w:r>
      <w:r w:rsidR="00536F94">
        <w:t xml:space="preserve"> </w:t>
      </w:r>
      <w:r w:rsidRPr="00B17B04">
        <w:rPr>
          <w:i/>
        </w:rPr>
        <w:t>31st International Conference of the Polymer Processing Society</w:t>
      </w:r>
      <w:r w:rsidRPr="00B17B04">
        <w:t>. Jeju Island, Korea.</w:t>
      </w:r>
      <w:r w:rsidR="00536F94" w:rsidRPr="00536F94">
        <w:t xml:space="preserve"> </w:t>
      </w:r>
      <w:r w:rsidR="00536F94">
        <w:t>(2015).</w:t>
      </w:r>
    </w:p>
    <w:p w14:paraId="2AB71831" w14:textId="77777777" w:rsidR="00642AF3" w:rsidRDefault="00642AF3" w:rsidP="00642AF3">
      <w:pPr>
        <w:pStyle w:val="EndNoteBibliography"/>
        <w:ind w:left="720" w:hanging="720"/>
      </w:pPr>
    </w:p>
    <w:p w14:paraId="286FFAB8" w14:textId="45D5F7A6" w:rsidR="00642AF3" w:rsidRPr="00B17B04" w:rsidRDefault="00642AF3" w:rsidP="00642AF3">
      <w:pPr>
        <w:pStyle w:val="EndNoteBibliography"/>
        <w:ind w:left="720" w:hanging="720"/>
      </w:pPr>
      <w:r>
        <w:t>[</w:t>
      </w:r>
      <w:r w:rsidRPr="00B17B04">
        <w:t>2</w:t>
      </w:r>
      <w:r>
        <w:t>6]</w:t>
      </w:r>
      <w:r w:rsidRPr="00B17B04">
        <w:tab/>
      </w:r>
      <w:r w:rsidR="00536F94">
        <w:t xml:space="preserve">M. J. </w:t>
      </w:r>
      <w:r w:rsidRPr="00B17B04">
        <w:t xml:space="preserve">Robinson, </w:t>
      </w:r>
      <w:r w:rsidRPr="00536F94">
        <w:t>A qualitative analysis of some of the issues affecting the cost of composite structures.</w:t>
      </w:r>
      <w:r w:rsidRPr="00B17B04">
        <w:t xml:space="preserve"> </w:t>
      </w:r>
      <w:r w:rsidRPr="00536F94">
        <w:rPr>
          <w:i/>
        </w:rPr>
        <w:t>Advanced Materials/Affordable Processes,</w:t>
      </w:r>
      <w:r w:rsidRPr="00B17B04">
        <w:t xml:space="preserve"> </w:t>
      </w:r>
      <w:r w:rsidRPr="00B17B04">
        <w:rPr>
          <w:b/>
        </w:rPr>
        <w:t>23</w:t>
      </w:r>
      <w:r w:rsidRPr="00B17B04">
        <w:t xml:space="preserve"> </w:t>
      </w:r>
      <w:r w:rsidR="00536F94">
        <w:t>(1991)</w:t>
      </w:r>
      <w:r w:rsidRPr="00B17B04">
        <w:t>.</w:t>
      </w:r>
    </w:p>
    <w:p w14:paraId="61A2BFCF" w14:textId="77777777" w:rsidR="00642AF3" w:rsidRDefault="00642AF3" w:rsidP="00642AF3">
      <w:pPr>
        <w:pStyle w:val="EndNoteBibliography"/>
        <w:ind w:left="720" w:hanging="720"/>
      </w:pPr>
    </w:p>
    <w:p w14:paraId="67D1EE79" w14:textId="4D27F58F" w:rsidR="00642AF3" w:rsidRPr="00B17B04" w:rsidRDefault="00642AF3" w:rsidP="00642AF3">
      <w:pPr>
        <w:pStyle w:val="EndNoteBibliography"/>
        <w:ind w:left="720" w:hanging="720"/>
      </w:pPr>
      <w:r>
        <w:t>[</w:t>
      </w:r>
      <w:r w:rsidRPr="00B17B04">
        <w:t>27</w:t>
      </w:r>
      <w:r>
        <w:t>]</w:t>
      </w:r>
      <w:r w:rsidRPr="00B17B04">
        <w:tab/>
      </w:r>
      <w:r w:rsidR="00536F94">
        <w:t xml:space="preserve">S. </w:t>
      </w:r>
      <w:r w:rsidRPr="00B17B04">
        <w:t xml:space="preserve">Hernández, </w:t>
      </w:r>
      <w:r w:rsidR="00536F94">
        <w:t>F. Sket, C. Gonz</w:t>
      </w:r>
      <w:r w:rsidR="00BB7E47" w:rsidRPr="00B17B04">
        <w:t>á</w:t>
      </w:r>
      <w:r w:rsidR="00536F94">
        <w:t>lez, and J. Llorca</w:t>
      </w:r>
      <w:r w:rsidRPr="00B17B04">
        <w:t xml:space="preserve">, </w:t>
      </w:r>
      <w:r w:rsidRPr="00BB7E47">
        <w:t xml:space="preserve">Optimization of curing cycle in carbon fiber-reinforced laminates: void distribution and mechanical properties. </w:t>
      </w:r>
      <w:r w:rsidRPr="00BB7E47">
        <w:rPr>
          <w:i/>
        </w:rPr>
        <w:t>Composites Science and Technology,</w:t>
      </w:r>
      <w:r w:rsidRPr="00B17B04">
        <w:t xml:space="preserve"> </w:t>
      </w:r>
      <w:r w:rsidRPr="00B17B04">
        <w:rPr>
          <w:b/>
        </w:rPr>
        <w:t>85</w:t>
      </w:r>
      <w:r w:rsidR="00BB7E47">
        <w:t xml:space="preserve"> (2013)</w:t>
      </w:r>
      <w:r w:rsidRPr="00B17B04">
        <w:t>.</w:t>
      </w:r>
    </w:p>
    <w:p w14:paraId="09D36645" w14:textId="77777777" w:rsidR="00642AF3" w:rsidRDefault="00642AF3" w:rsidP="00326DE0">
      <w:pPr>
        <w:pStyle w:val="EndNoteBibliography"/>
        <w:ind w:left="720" w:hanging="720"/>
      </w:pPr>
    </w:p>
    <w:p w14:paraId="00C9E09F" w14:textId="1C9CED74" w:rsidR="00642AF3" w:rsidRPr="00B17B04" w:rsidRDefault="00642AF3" w:rsidP="00642AF3">
      <w:pPr>
        <w:pStyle w:val="EndNoteBibliography"/>
        <w:ind w:left="720" w:hanging="720"/>
      </w:pPr>
      <w:r>
        <w:t>[</w:t>
      </w:r>
      <w:r w:rsidRPr="00B17B04">
        <w:t>28</w:t>
      </w:r>
      <w:r>
        <w:t>]</w:t>
      </w:r>
      <w:r w:rsidRPr="00B17B04">
        <w:tab/>
      </w:r>
      <w:r w:rsidR="00BB7E47">
        <w:t xml:space="preserve">S. M. </w:t>
      </w:r>
      <w:r w:rsidRPr="00B17B04">
        <w:t xml:space="preserve">Sisodia, </w:t>
      </w:r>
      <w:r w:rsidR="00BB7E47">
        <w:t>E. K. Gamstedt, F. Edgren, and J. Varna</w:t>
      </w:r>
      <w:r w:rsidRPr="00B17B04">
        <w:t xml:space="preserve">, </w:t>
      </w:r>
      <w:r w:rsidRPr="00BB7E47">
        <w:t>Effects of voids on quasi-static and tension fatigue behavior of carbon-fibre composite laminates.</w:t>
      </w:r>
      <w:r w:rsidRPr="00B17B04">
        <w:t xml:space="preserve"> </w:t>
      </w:r>
      <w:r w:rsidRPr="00BB7E47">
        <w:rPr>
          <w:i/>
        </w:rPr>
        <w:t>Journal of Composite Materials,</w:t>
      </w:r>
      <w:r w:rsidRPr="00B17B04">
        <w:t xml:space="preserve"> </w:t>
      </w:r>
      <w:r w:rsidRPr="00B17B04">
        <w:rPr>
          <w:b/>
        </w:rPr>
        <w:t>49</w:t>
      </w:r>
      <w:r w:rsidR="00BB7E47">
        <w:t>, 17 (2015)</w:t>
      </w:r>
      <w:r w:rsidRPr="00B17B04">
        <w:t>.</w:t>
      </w:r>
    </w:p>
    <w:p w14:paraId="21D7E556" w14:textId="77777777" w:rsidR="00642AF3" w:rsidRDefault="00642AF3" w:rsidP="00642AF3">
      <w:pPr>
        <w:pStyle w:val="EndNoteBibliography"/>
        <w:ind w:left="720" w:hanging="720"/>
      </w:pPr>
    </w:p>
    <w:p w14:paraId="5BBAF326" w14:textId="3D2E066A" w:rsidR="00642AF3" w:rsidRPr="00B17B04" w:rsidRDefault="00642AF3" w:rsidP="00642AF3">
      <w:pPr>
        <w:pStyle w:val="EndNoteBibliography"/>
        <w:ind w:left="720" w:hanging="720"/>
      </w:pPr>
      <w:r>
        <w:t>[</w:t>
      </w:r>
      <w:r w:rsidRPr="00B17B04">
        <w:t>29</w:t>
      </w:r>
      <w:r>
        <w:t>]</w:t>
      </w:r>
      <w:r w:rsidRPr="00B17B04">
        <w:tab/>
      </w:r>
      <w:r w:rsidR="00BB7E47">
        <w:t xml:space="preserve">M. A. </w:t>
      </w:r>
      <w:r w:rsidRPr="00B17B04">
        <w:t>Suhot, and A.</w:t>
      </w:r>
      <w:r w:rsidR="00BB7E47">
        <w:t xml:space="preserve"> </w:t>
      </w:r>
      <w:r w:rsidRPr="00B17B04">
        <w:t xml:space="preserve">R. Chambers, </w:t>
      </w:r>
      <w:r w:rsidRPr="00BB7E47">
        <w:t>The effects of voids on the flexural properties and failure mechanisms of carbon/epoxy composites.</w:t>
      </w:r>
      <w:r w:rsidRPr="00B17B04">
        <w:t xml:space="preserve"> </w:t>
      </w:r>
      <w:r w:rsidRPr="00BB7E47">
        <w:rPr>
          <w:i/>
        </w:rPr>
        <w:t>Jurnal Teknologi,</w:t>
      </w:r>
      <w:r w:rsidRPr="00B17B04">
        <w:t xml:space="preserve"> </w:t>
      </w:r>
      <w:r w:rsidRPr="00B17B04">
        <w:rPr>
          <w:b/>
        </w:rPr>
        <w:t>71</w:t>
      </w:r>
      <w:r w:rsidR="00BB7E47">
        <w:t>, 2</w:t>
      </w:r>
      <w:r w:rsidR="00BB7E47" w:rsidRPr="00BB7E47">
        <w:t xml:space="preserve"> </w:t>
      </w:r>
      <w:r w:rsidR="00BB7E47">
        <w:t>(2014)</w:t>
      </w:r>
      <w:r w:rsidRPr="00B17B04">
        <w:t>.</w:t>
      </w:r>
    </w:p>
    <w:p w14:paraId="43E92F8A" w14:textId="77777777" w:rsidR="00642AF3" w:rsidRDefault="00642AF3" w:rsidP="00642AF3">
      <w:pPr>
        <w:pStyle w:val="EndNoteBibliography"/>
        <w:ind w:left="720" w:hanging="720"/>
      </w:pPr>
    </w:p>
    <w:p w14:paraId="2E0EEC46" w14:textId="6FB36C18" w:rsidR="00642AF3" w:rsidRPr="00B17B04" w:rsidRDefault="00642AF3" w:rsidP="00642AF3">
      <w:pPr>
        <w:pStyle w:val="EndNoteBibliography"/>
        <w:ind w:left="720" w:hanging="720"/>
      </w:pPr>
      <w:r>
        <w:t>[</w:t>
      </w:r>
      <w:r w:rsidRPr="00B17B04">
        <w:t>30</w:t>
      </w:r>
      <w:r>
        <w:t>]</w:t>
      </w:r>
      <w:r w:rsidRPr="00B17B04">
        <w:tab/>
      </w:r>
      <w:r w:rsidR="00BB7E47">
        <w:t xml:space="preserve">A. </w:t>
      </w:r>
      <w:r w:rsidRPr="00B17B04">
        <w:t xml:space="preserve">Zhang, H. Lu, and D. Zhang, </w:t>
      </w:r>
      <w:r w:rsidRPr="00BB7E47">
        <w:t>Research on the mechanical properties prediction of carbon/epoxy composite laminates with different void contents.</w:t>
      </w:r>
      <w:r w:rsidRPr="00B17B04">
        <w:t xml:space="preserve"> </w:t>
      </w:r>
      <w:r w:rsidRPr="00BB7E47">
        <w:rPr>
          <w:i/>
        </w:rPr>
        <w:t>Polymer Composites,</w:t>
      </w:r>
      <w:r w:rsidRPr="00B17B04">
        <w:t xml:space="preserve"> </w:t>
      </w:r>
      <w:r w:rsidRPr="00B17B04">
        <w:rPr>
          <w:b/>
        </w:rPr>
        <w:t>37</w:t>
      </w:r>
      <w:r w:rsidR="00BB7E47">
        <w:t>, 1</w:t>
      </w:r>
      <w:r w:rsidR="00BB7E47" w:rsidRPr="00BB7E47">
        <w:t xml:space="preserve"> </w:t>
      </w:r>
      <w:r w:rsidR="00BB7E47">
        <w:t>(</w:t>
      </w:r>
      <w:r w:rsidR="00BB7E47" w:rsidRPr="00B17B04">
        <w:t>2014</w:t>
      </w:r>
      <w:r w:rsidR="00BB7E47">
        <w:t>)</w:t>
      </w:r>
      <w:r w:rsidR="00BB7E47" w:rsidRPr="00B17B04">
        <w:t>.</w:t>
      </w:r>
    </w:p>
    <w:p w14:paraId="63D1A2EA" w14:textId="77777777" w:rsidR="00642AF3" w:rsidRDefault="00642AF3" w:rsidP="00642AF3">
      <w:pPr>
        <w:pStyle w:val="EndNoteBibliography"/>
        <w:ind w:left="720" w:hanging="720"/>
      </w:pPr>
    </w:p>
    <w:p w14:paraId="0D8AF4DA" w14:textId="2AD7629A" w:rsidR="00642AF3" w:rsidRPr="00B17B04" w:rsidRDefault="00642AF3" w:rsidP="00642AF3">
      <w:pPr>
        <w:pStyle w:val="EndNoteBibliography"/>
        <w:ind w:left="720" w:hanging="720"/>
      </w:pPr>
      <w:r>
        <w:t>[</w:t>
      </w:r>
      <w:r w:rsidRPr="00B17B04">
        <w:t>31</w:t>
      </w:r>
      <w:r>
        <w:t>]</w:t>
      </w:r>
      <w:r w:rsidRPr="00B17B04">
        <w:tab/>
      </w:r>
      <w:r w:rsidR="00BB7E47">
        <w:t xml:space="preserve">M. L. </w:t>
      </w:r>
      <w:r w:rsidRPr="00B17B04">
        <w:t>Costa, S.</w:t>
      </w:r>
      <w:r w:rsidR="00BB7E47">
        <w:t xml:space="preserve"> </w:t>
      </w:r>
      <w:r w:rsidRPr="00B17B04">
        <w:t>F.</w:t>
      </w:r>
      <w:r w:rsidR="00BB7E47">
        <w:t xml:space="preserve"> </w:t>
      </w:r>
      <w:r w:rsidRPr="00B17B04">
        <w:t>M.</w:t>
      </w:r>
      <w:r w:rsidR="00BB7E47">
        <w:t xml:space="preserve"> de</w:t>
      </w:r>
      <w:r w:rsidRPr="00B17B04">
        <w:t xml:space="preserve"> Almeida, and M.</w:t>
      </w:r>
      <w:r w:rsidR="00BB7E47">
        <w:t xml:space="preserve"> </w:t>
      </w:r>
      <w:r w:rsidRPr="00B17B04">
        <w:t xml:space="preserve">C. Rezende, </w:t>
      </w:r>
      <w:r w:rsidRPr="00BB7E47">
        <w:t>The influence of porosity on the interlaminar shear strength of carbon/epoxy and carbon/bismaleimide fabric laminates.</w:t>
      </w:r>
      <w:r w:rsidRPr="00B17B04">
        <w:t xml:space="preserve"> </w:t>
      </w:r>
      <w:r w:rsidRPr="00BB7E47">
        <w:rPr>
          <w:i/>
        </w:rPr>
        <w:t>Composites Science and Technology,</w:t>
      </w:r>
      <w:r w:rsidRPr="00B17B04">
        <w:t xml:space="preserve"> </w:t>
      </w:r>
      <w:r w:rsidRPr="00B17B04">
        <w:rPr>
          <w:b/>
        </w:rPr>
        <w:t>61</w:t>
      </w:r>
      <w:r w:rsidR="00BB7E47">
        <w:t>, 14</w:t>
      </w:r>
      <w:r w:rsidRPr="00B17B04">
        <w:t xml:space="preserve"> </w:t>
      </w:r>
      <w:r w:rsidR="00BB7E47">
        <w:t>(2001)</w:t>
      </w:r>
      <w:r w:rsidRPr="00B17B04">
        <w:t>.</w:t>
      </w:r>
    </w:p>
    <w:p w14:paraId="660A0FF7" w14:textId="77777777" w:rsidR="00642AF3" w:rsidRDefault="00642AF3" w:rsidP="00642AF3">
      <w:pPr>
        <w:pStyle w:val="EndNoteBibliography"/>
        <w:ind w:left="720" w:hanging="720"/>
      </w:pPr>
    </w:p>
    <w:p w14:paraId="26E0043F" w14:textId="0EE3C811" w:rsidR="00642AF3" w:rsidRPr="00B17B04" w:rsidRDefault="00642AF3" w:rsidP="00642AF3">
      <w:pPr>
        <w:pStyle w:val="EndNoteBibliography"/>
        <w:ind w:left="720" w:hanging="720"/>
      </w:pPr>
      <w:r>
        <w:t>[</w:t>
      </w:r>
      <w:r w:rsidRPr="00B17B04">
        <w:t>32</w:t>
      </w:r>
      <w:r>
        <w:t>]</w:t>
      </w:r>
      <w:r w:rsidRPr="00B17B04">
        <w:tab/>
      </w:r>
      <w:r w:rsidR="00BB7E47">
        <w:t xml:space="preserve">S. </w:t>
      </w:r>
      <w:r w:rsidRPr="00B17B04">
        <w:t xml:space="preserve">Hernández, </w:t>
      </w:r>
      <w:r w:rsidR="00BB7E47">
        <w:t>F. Sket, J. M. Molina-Aldareguia, C. Gonz</w:t>
      </w:r>
      <w:r w:rsidR="00BB7E47" w:rsidRPr="00B17B04">
        <w:t>á</w:t>
      </w:r>
      <w:r w:rsidR="00BB7E47">
        <w:t>lez, and J. Llorca</w:t>
      </w:r>
      <w:r w:rsidRPr="00B17B04">
        <w:t xml:space="preserve">, </w:t>
      </w:r>
      <w:r w:rsidRPr="008A2066">
        <w:t>Effect of curing cycle on void distribution and interlaminar shear strength in polymer-matrix composites.</w:t>
      </w:r>
      <w:r w:rsidRPr="00B17B04">
        <w:t xml:space="preserve"> </w:t>
      </w:r>
      <w:r w:rsidRPr="008A2066">
        <w:rPr>
          <w:i/>
        </w:rPr>
        <w:t>Composites Science and Technology,</w:t>
      </w:r>
      <w:r w:rsidRPr="00B17B04">
        <w:t xml:space="preserve"> </w:t>
      </w:r>
      <w:r w:rsidRPr="00B17B04">
        <w:rPr>
          <w:b/>
        </w:rPr>
        <w:t>71</w:t>
      </w:r>
      <w:r w:rsidR="008A2066">
        <w:t>, 10</w:t>
      </w:r>
      <w:r w:rsidRPr="00B17B04">
        <w:t xml:space="preserve"> </w:t>
      </w:r>
      <w:r w:rsidR="008A2066">
        <w:t>(2011)</w:t>
      </w:r>
      <w:r w:rsidRPr="00B17B04">
        <w:t>.</w:t>
      </w:r>
    </w:p>
    <w:p w14:paraId="760DBC7F" w14:textId="77777777" w:rsidR="00642AF3" w:rsidRDefault="00642AF3" w:rsidP="00642AF3">
      <w:pPr>
        <w:pStyle w:val="EndNoteBibliography"/>
        <w:ind w:left="720" w:hanging="720"/>
      </w:pPr>
    </w:p>
    <w:p w14:paraId="7B0FAF70" w14:textId="51148F31" w:rsidR="00642AF3" w:rsidRPr="00B17B04" w:rsidRDefault="00642AF3" w:rsidP="00642AF3">
      <w:pPr>
        <w:pStyle w:val="EndNoteBibliography"/>
        <w:ind w:left="720" w:hanging="720"/>
      </w:pPr>
      <w:r>
        <w:t>[</w:t>
      </w:r>
      <w:r w:rsidRPr="00B17B04">
        <w:t>33</w:t>
      </w:r>
      <w:r>
        <w:t>]</w:t>
      </w:r>
      <w:r w:rsidRPr="00B17B04">
        <w:tab/>
      </w:r>
      <w:r w:rsidR="008A2066">
        <w:t xml:space="preserve">H. </w:t>
      </w:r>
      <w:r w:rsidRPr="00B17B04">
        <w:t xml:space="preserve">Yoshida, T. Ogasa, and R. Hayashi, </w:t>
      </w:r>
      <w:r w:rsidRPr="008A2066">
        <w:t>Statistical approach to the relationship between ILSS and void content of CFRP.</w:t>
      </w:r>
      <w:r w:rsidRPr="00B17B04">
        <w:t xml:space="preserve"> </w:t>
      </w:r>
      <w:r w:rsidRPr="008A2066">
        <w:rPr>
          <w:i/>
        </w:rPr>
        <w:t>Composites Science and Technology,</w:t>
      </w:r>
      <w:r w:rsidRPr="00B17B04">
        <w:t xml:space="preserve"> </w:t>
      </w:r>
      <w:r w:rsidRPr="00B17B04">
        <w:rPr>
          <w:b/>
        </w:rPr>
        <w:t>25</w:t>
      </w:r>
      <w:r w:rsidR="008A2066">
        <w:t>, 1</w:t>
      </w:r>
      <w:r w:rsidRPr="00B17B04">
        <w:t xml:space="preserve"> </w:t>
      </w:r>
      <w:r w:rsidR="008A2066">
        <w:t>(1986)</w:t>
      </w:r>
      <w:r w:rsidRPr="00B17B04">
        <w:t>.</w:t>
      </w:r>
    </w:p>
    <w:p w14:paraId="2A65F3BF" w14:textId="77777777" w:rsidR="00642AF3" w:rsidRDefault="00642AF3" w:rsidP="00642AF3">
      <w:pPr>
        <w:pStyle w:val="EndNoteBibliography"/>
        <w:ind w:left="720" w:hanging="720"/>
      </w:pPr>
    </w:p>
    <w:p w14:paraId="23CA51A0" w14:textId="013435B6" w:rsidR="00642AF3" w:rsidRPr="00B17B04" w:rsidRDefault="00642AF3" w:rsidP="00642AF3">
      <w:pPr>
        <w:pStyle w:val="EndNoteBibliography"/>
        <w:ind w:left="720" w:hanging="720"/>
      </w:pPr>
      <w:r>
        <w:t>[</w:t>
      </w:r>
      <w:r w:rsidRPr="00B17B04">
        <w:t>34</w:t>
      </w:r>
      <w:r>
        <w:t>]</w:t>
      </w:r>
      <w:r w:rsidRPr="00B17B04">
        <w:tab/>
      </w:r>
      <w:r w:rsidR="008A2066">
        <w:t xml:space="preserve">W. V. </w:t>
      </w:r>
      <w:r w:rsidRPr="00B17B04">
        <w:t xml:space="preserve">Liebig, </w:t>
      </w:r>
      <w:r w:rsidR="008A2066">
        <w:t>C. Viets, K. Schultze, and B. Fiedler</w:t>
      </w:r>
      <w:r w:rsidRPr="00B17B04">
        <w:t xml:space="preserve">, </w:t>
      </w:r>
      <w:r w:rsidRPr="008A2066">
        <w:t xml:space="preserve">Influence of voids on the compressive failure behaviour of fibre-reinforced composites. </w:t>
      </w:r>
      <w:r w:rsidRPr="008A2066">
        <w:rPr>
          <w:i/>
        </w:rPr>
        <w:t xml:space="preserve">Composites Science and Technology, </w:t>
      </w:r>
      <w:r w:rsidRPr="00B17B04">
        <w:rPr>
          <w:b/>
        </w:rPr>
        <w:t>117</w:t>
      </w:r>
      <w:r w:rsidR="008A2066">
        <w:t xml:space="preserve"> (2015)</w:t>
      </w:r>
      <w:r w:rsidRPr="00B17B04">
        <w:t>.</w:t>
      </w:r>
    </w:p>
    <w:p w14:paraId="20A7A1B1" w14:textId="77777777" w:rsidR="00642AF3" w:rsidRDefault="00642AF3" w:rsidP="00642AF3">
      <w:pPr>
        <w:pStyle w:val="EndNoteBibliography"/>
        <w:ind w:left="720" w:hanging="720"/>
      </w:pPr>
    </w:p>
    <w:p w14:paraId="23AA3D5F" w14:textId="62C5AED9" w:rsidR="00642AF3" w:rsidRPr="00B17B04" w:rsidRDefault="00642AF3" w:rsidP="00642AF3">
      <w:pPr>
        <w:pStyle w:val="EndNoteBibliography"/>
        <w:ind w:left="720" w:hanging="720"/>
      </w:pPr>
      <w:r>
        <w:t>[</w:t>
      </w:r>
      <w:r w:rsidRPr="00B17B04">
        <w:t>35</w:t>
      </w:r>
      <w:r>
        <w:t>]</w:t>
      </w:r>
      <w:r w:rsidRPr="00B17B04">
        <w:tab/>
      </w:r>
      <w:r w:rsidR="008A2066">
        <w:t xml:space="preserve">Z-S. </w:t>
      </w:r>
      <w:r w:rsidRPr="00B17B04">
        <w:t xml:space="preserve">Guo, </w:t>
      </w:r>
      <w:r w:rsidR="008A2066">
        <w:t>L Liu, B-M. Zhang, and S Du</w:t>
      </w:r>
      <w:r w:rsidRPr="00B17B04">
        <w:t xml:space="preserve">, </w:t>
      </w:r>
      <w:r w:rsidRPr="008A2066">
        <w:t xml:space="preserve">Critical void content for thermoset composite laminates. </w:t>
      </w:r>
      <w:r w:rsidRPr="008A2066">
        <w:rPr>
          <w:i/>
        </w:rPr>
        <w:t>Journal of Composite Materials,</w:t>
      </w:r>
      <w:r w:rsidRPr="00B17B04">
        <w:t xml:space="preserve"> </w:t>
      </w:r>
      <w:r w:rsidRPr="00B17B04">
        <w:rPr>
          <w:b/>
        </w:rPr>
        <w:t>43</w:t>
      </w:r>
      <w:r w:rsidR="008A2066">
        <w:t>, 17</w:t>
      </w:r>
      <w:r w:rsidR="008A2066" w:rsidRPr="008A2066">
        <w:t xml:space="preserve"> </w:t>
      </w:r>
      <w:r w:rsidR="008A2066">
        <w:t>(</w:t>
      </w:r>
      <w:r w:rsidR="008A2066" w:rsidRPr="00B17B04">
        <w:t>2009</w:t>
      </w:r>
      <w:r w:rsidR="008A2066">
        <w:t>)</w:t>
      </w:r>
      <w:r w:rsidRPr="00B17B04">
        <w:t>.</w:t>
      </w:r>
    </w:p>
    <w:p w14:paraId="4B678DB1" w14:textId="77777777" w:rsidR="00642AF3" w:rsidRDefault="00642AF3" w:rsidP="00642AF3">
      <w:pPr>
        <w:pStyle w:val="EndNoteBibliography"/>
        <w:ind w:left="720" w:hanging="720"/>
      </w:pPr>
    </w:p>
    <w:p w14:paraId="55011B9C" w14:textId="489B6E42" w:rsidR="00642AF3" w:rsidRPr="00B17B04" w:rsidRDefault="00642AF3" w:rsidP="00642AF3">
      <w:pPr>
        <w:pStyle w:val="EndNoteBibliography"/>
        <w:ind w:left="720" w:hanging="720"/>
      </w:pPr>
      <w:r>
        <w:t>[</w:t>
      </w:r>
      <w:r w:rsidRPr="00B17B04">
        <w:t>36</w:t>
      </w:r>
      <w:r>
        <w:t>]</w:t>
      </w:r>
      <w:r w:rsidRPr="00B17B04">
        <w:tab/>
      </w:r>
      <w:r w:rsidR="002C73BB">
        <w:t xml:space="preserve">G. </w:t>
      </w:r>
      <w:r w:rsidRPr="00B17B04">
        <w:t xml:space="preserve">Seon, </w:t>
      </w:r>
      <w:r w:rsidR="002C73BB">
        <w:t>A. Makeev, Y. Nikishkov, and E. Lee</w:t>
      </w:r>
      <w:r w:rsidRPr="00B17B04">
        <w:t xml:space="preserve">, </w:t>
      </w:r>
      <w:r w:rsidRPr="002C73BB">
        <w:t>Effects of defects on interlaminar tensile fatigue behavior of carbon/epoxy composites.</w:t>
      </w:r>
      <w:r w:rsidRPr="00B17B04">
        <w:t xml:space="preserve"> </w:t>
      </w:r>
      <w:r w:rsidRPr="002C73BB">
        <w:rPr>
          <w:i/>
        </w:rPr>
        <w:t xml:space="preserve">Composites Science and Technology, </w:t>
      </w:r>
      <w:r w:rsidRPr="00B17B04">
        <w:rPr>
          <w:b/>
        </w:rPr>
        <w:t>89</w:t>
      </w:r>
      <w:r w:rsidR="002C73BB">
        <w:t xml:space="preserve"> (2013)</w:t>
      </w:r>
      <w:r w:rsidRPr="00B17B04">
        <w:t>.</w:t>
      </w:r>
    </w:p>
    <w:p w14:paraId="6F636A47" w14:textId="77777777" w:rsidR="00642AF3" w:rsidRDefault="00642AF3" w:rsidP="00642AF3">
      <w:pPr>
        <w:pStyle w:val="EndNoteBibliography"/>
        <w:ind w:left="720" w:hanging="720"/>
      </w:pPr>
    </w:p>
    <w:p w14:paraId="268D0F0F" w14:textId="502E7D3F" w:rsidR="00642AF3" w:rsidRPr="00B17B04" w:rsidRDefault="00642AF3" w:rsidP="00642AF3">
      <w:pPr>
        <w:pStyle w:val="EndNoteBibliography"/>
        <w:ind w:left="720" w:hanging="720"/>
      </w:pPr>
      <w:r>
        <w:t>[</w:t>
      </w:r>
      <w:r w:rsidRPr="00B17B04">
        <w:t>37</w:t>
      </w:r>
      <w:r>
        <w:t>]</w:t>
      </w:r>
      <w:r w:rsidRPr="00B17B04">
        <w:tab/>
      </w:r>
      <w:r w:rsidR="002C73BB">
        <w:t xml:space="preserve">L. K. </w:t>
      </w:r>
      <w:r w:rsidRPr="00B17B04">
        <w:t>Grunenfelder, and S.</w:t>
      </w:r>
      <w:r w:rsidR="002C73BB">
        <w:t xml:space="preserve"> </w:t>
      </w:r>
      <w:r w:rsidRPr="00B17B04">
        <w:t xml:space="preserve">R. Nutt, </w:t>
      </w:r>
      <w:r w:rsidRPr="002C73BB">
        <w:t xml:space="preserve">Void formation in composite prepregs–effect of dissolved moisture. </w:t>
      </w:r>
      <w:r w:rsidRPr="002C73BB">
        <w:rPr>
          <w:i/>
        </w:rPr>
        <w:t>Composites Science and Technology,</w:t>
      </w:r>
      <w:r w:rsidRPr="00B17B04">
        <w:t xml:space="preserve"> </w:t>
      </w:r>
      <w:r w:rsidRPr="00B17B04">
        <w:rPr>
          <w:b/>
        </w:rPr>
        <w:t>70</w:t>
      </w:r>
      <w:r w:rsidR="002C73BB">
        <w:t>, 16 (2010)</w:t>
      </w:r>
      <w:r w:rsidRPr="00B17B04">
        <w:t>.</w:t>
      </w:r>
    </w:p>
    <w:p w14:paraId="611C53E7" w14:textId="77777777" w:rsidR="00642AF3" w:rsidRDefault="00642AF3" w:rsidP="00642AF3">
      <w:pPr>
        <w:pStyle w:val="EndNoteBibliography"/>
        <w:ind w:left="720" w:hanging="720"/>
      </w:pPr>
    </w:p>
    <w:p w14:paraId="0C876EB2" w14:textId="36C47DE2" w:rsidR="00642AF3" w:rsidRPr="00B17B04" w:rsidRDefault="00642AF3" w:rsidP="00642AF3">
      <w:pPr>
        <w:pStyle w:val="EndNoteBibliography"/>
        <w:ind w:left="720" w:hanging="720"/>
      </w:pPr>
      <w:r>
        <w:t>[</w:t>
      </w:r>
      <w:r w:rsidRPr="00B17B04">
        <w:t>38</w:t>
      </w:r>
      <w:r>
        <w:t>]</w:t>
      </w:r>
      <w:r w:rsidRPr="00B17B04">
        <w:tab/>
      </w:r>
      <w:r w:rsidR="002C73BB">
        <w:t xml:space="preserve">H. </w:t>
      </w:r>
      <w:r w:rsidRPr="00B17B04">
        <w:t xml:space="preserve">Jeong, </w:t>
      </w:r>
      <w:r w:rsidRPr="002C73BB">
        <w:t>Effects of voids on the mechanical strength and ultrasonic attenuation of laminated composites.</w:t>
      </w:r>
      <w:r w:rsidRPr="00B17B04">
        <w:t xml:space="preserve"> </w:t>
      </w:r>
      <w:r w:rsidR="002C73BB">
        <w:rPr>
          <w:i/>
        </w:rPr>
        <w:t>Journal of C</w:t>
      </w:r>
      <w:r w:rsidRPr="002C73BB">
        <w:rPr>
          <w:i/>
        </w:rPr>
        <w:t>ompo</w:t>
      </w:r>
      <w:r w:rsidR="002C73BB">
        <w:rPr>
          <w:i/>
        </w:rPr>
        <w:t>site M</w:t>
      </w:r>
      <w:r w:rsidRPr="002C73BB">
        <w:rPr>
          <w:i/>
        </w:rPr>
        <w:t>aterials,</w:t>
      </w:r>
      <w:r w:rsidRPr="00B17B04">
        <w:t xml:space="preserve"> </w:t>
      </w:r>
      <w:r w:rsidRPr="00B17B04">
        <w:rPr>
          <w:b/>
        </w:rPr>
        <w:t>31</w:t>
      </w:r>
      <w:r w:rsidR="002C73BB">
        <w:t>, 3</w:t>
      </w:r>
      <w:r w:rsidRPr="00B17B04">
        <w:t xml:space="preserve"> </w:t>
      </w:r>
      <w:r w:rsidR="002C73BB">
        <w:t>(1997)</w:t>
      </w:r>
      <w:r w:rsidRPr="00B17B04">
        <w:t>.</w:t>
      </w:r>
    </w:p>
    <w:p w14:paraId="13010853" w14:textId="77777777" w:rsidR="00642AF3" w:rsidRDefault="00642AF3" w:rsidP="00642AF3">
      <w:pPr>
        <w:pStyle w:val="EndNoteBibliography"/>
        <w:ind w:left="720" w:hanging="720"/>
      </w:pPr>
    </w:p>
    <w:p w14:paraId="42AE57A3" w14:textId="6973B165" w:rsidR="00642AF3" w:rsidRPr="00B17B04" w:rsidRDefault="00642AF3" w:rsidP="00642AF3">
      <w:pPr>
        <w:pStyle w:val="EndNoteBibliography"/>
        <w:ind w:left="720" w:hanging="720"/>
      </w:pPr>
      <w:r>
        <w:t>[</w:t>
      </w:r>
      <w:r w:rsidRPr="00B17B04">
        <w:t>39</w:t>
      </w:r>
      <w:r>
        <w:t>]</w:t>
      </w:r>
      <w:r w:rsidRPr="00B17B04">
        <w:tab/>
      </w:r>
      <w:r w:rsidR="001D3C6F">
        <w:t xml:space="preserve">T. S. </w:t>
      </w:r>
      <w:r w:rsidRPr="00B17B04">
        <w:t>Lundström, and B.</w:t>
      </w:r>
      <w:r w:rsidR="001D3C6F">
        <w:t xml:space="preserve"> </w:t>
      </w:r>
      <w:r w:rsidRPr="00B17B04">
        <w:t xml:space="preserve">R. Gebart, </w:t>
      </w:r>
      <w:r w:rsidRPr="001D3C6F">
        <w:t xml:space="preserve">Influence from process parameters on void formation in resin transfer molding. </w:t>
      </w:r>
      <w:r w:rsidRPr="001D3C6F">
        <w:rPr>
          <w:i/>
        </w:rPr>
        <w:t>Polymer Composites,</w:t>
      </w:r>
      <w:r w:rsidRPr="00B17B04">
        <w:t xml:space="preserve"> </w:t>
      </w:r>
      <w:r w:rsidRPr="00B17B04">
        <w:rPr>
          <w:b/>
        </w:rPr>
        <w:t>15</w:t>
      </w:r>
      <w:r w:rsidR="001D3C6F">
        <w:t>, 1</w:t>
      </w:r>
      <w:r w:rsidRPr="00B17B04">
        <w:t xml:space="preserve"> </w:t>
      </w:r>
      <w:r w:rsidR="001D3C6F">
        <w:t>(1994)</w:t>
      </w:r>
      <w:r w:rsidRPr="00B17B04">
        <w:t>.</w:t>
      </w:r>
    </w:p>
    <w:p w14:paraId="70F9A712" w14:textId="77777777" w:rsidR="00642AF3" w:rsidRDefault="00642AF3" w:rsidP="00642AF3">
      <w:pPr>
        <w:pStyle w:val="EndNoteBibliography"/>
        <w:ind w:left="720" w:hanging="720"/>
      </w:pPr>
    </w:p>
    <w:p w14:paraId="3564F22A" w14:textId="5F67E795" w:rsidR="00642AF3" w:rsidRPr="00B17B04" w:rsidRDefault="00642AF3" w:rsidP="00642AF3">
      <w:pPr>
        <w:pStyle w:val="EndNoteBibliography"/>
        <w:ind w:left="720" w:hanging="720"/>
      </w:pPr>
      <w:r>
        <w:t>[</w:t>
      </w:r>
      <w:r w:rsidRPr="00B17B04">
        <w:t>40</w:t>
      </w:r>
      <w:r>
        <w:t>]</w:t>
      </w:r>
      <w:r w:rsidRPr="00B17B04">
        <w:tab/>
      </w:r>
      <w:r w:rsidR="001D3C6F">
        <w:t xml:space="preserve">G. R. </w:t>
      </w:r>
      <w:r w:rsidRPr="00B17B04">
        <w:t xml:space="preserve">Sherwin, </w:t>
      </w:r>
      <w:r w:rsidRPr="001D3C6F">
        <w:t>Non-autoclave processing of advanced composite repairs</w:t>
      </w:r>
      <w:r w:rsidRPr="00B17B04">
        <w:rPr>
          <w:i/>
        </w:rPr>
        <w:t>.</w:t>
      </w:r>
      <w:r w:rsidRPr="00B17B04">
        <w:t xml:space="preserve"> </w:t>
      </w:r>
      <w:r w:rsidR="001D3C6F">
        <w:rPr>
          <w:i/>
        </w:rPr>
        <w:t>International J</w:t>
      </w:r>
      <w:r w:rsidRPr="001D3C6F">
        <w:rPr>
          <w:i/>
        </w:rPr>
        <w:t xml:space="preserve">ournal of </w:t>
      </w:r>
      <w:r w:rsidR="001D3C6F">
        <w:rPr>
          <w:i/>
        </w:rPr>
        <w:t>A</w:t>
      </w:r>
      <w:r w:rsidRPr="001D3C6F">
        <w:rPr>
          <w:i/>
        </w:rPr>
        <w:t xml:space="preserve">dhesion and </w:t>
      </w:r>
      <w:r w:rsidR="001D3C6F">
        <w:rPr>
          <w:i/>
        </w:rPr>
        <w:t>A</w:t>
      </w:r>
      <w:r w:rsidRPr="001D3C6F">
        <w:rPr>
          <w:i/>
        </w:rPr>
        <w:t>dhesives,</w:t>
      </w:r>
      <w:r w:rsidRPr="00B17B04">
        <w:t xml:space="preserve"> </w:t>
      </w:r>
      <w:r w:rsidRPr="00B17B04">
        <w:rPr>
          <w:b/>
        </w:rPr>
        <w:t>19</w:t>
      </w:r>
      <w:r w:rsidR="002258A6">
        <w:t>, 2</w:t>
      </w:r>
      <w:r w:rsidRPr="00B17B04">
        <w:t xml:space="preserve"> </w:t>
      </w:r>
      <w:r w:rsidR="002258A6">
        <w:t>(</w:t>
      </w:r>
      <w:r w:rsidR="001D3C6F">
        <w:t>1999)</w:t>
      </w:r>
      <w:r w:rsidRPr="00B17B04">
        <w:t>.</w:t>
      </w:r>
    </w:p>
    <w:p w14:paraId="7A94ED5E" w14:textId="77777777" w:rsidR="00642AF3" w:rsidRDefault="00642AF3" w:rsidP="00642AF3">
      <w:pPr>
        <w:pStyle w:val="EndNoteBibliography"/>
        <w:ind w:left="720" w:hanging="720"/>
      </w:pPr>
    </w:p>
    <w:p w14:paraId="7CAB08F3" w14:textId="6271771A" w:rsidR="00642AF3" w:rsidRPr="00B17B04" w:rsidRDefault="00642AF3" w:rsidP="00642AF3">
      <w:pPr>
        <w:pStyle w:val="EndNoteBibliography"/>
        <w:ind w:left="720" w:hanging="720"/>
      </w:pPr>
      <w:r>
        <w:t>[</w:t>
      </w:r>
      <w:r w:rsidRPr="00B17B04">
        <w:t>41</w:t>
      </w:r>
      <w:r>
        <w:t>]</w:t>
      </w:r>
      <w:r w:rsidRPr="00B17B04">
        <w:tab/>
      </w:r>
      <w:r w:rsidR="002258A6">
        <w:t xml:space="preserve">M. </w:t>
      </w:r>
      <w:r w:rsidRPr="00B17B04">
        <w:t xml:space="preserve">Shen, </w:t>
      </w:r>
      <w:r w:rsidR="002258A6">
        <w:t>M. S. Wagner, D. G. Castner, B. D. Ratner, and T. A. Horbett</w:t>
      </w:r>
      <w:r w:rsidRPr="00B17B04">
        <w:t xml:space="preserve">, </w:t>
      </w:r>
      <w:r w:rsidRPr="002258A6">
        <w:t>Multivariate surface analysis of plasma-deposited tetraglyme for reduction of protein adsorption and monocyte adhesion.</w:t>
      </w:r>
      <w:r w:rsidRPr="00B17B04">
        <w:t xml:space="preserve"> </w:t>
      </w:r>
      <w:r w:rsidRPr="002258A6">
        <w:rPr>
          <w:i/>
        </w:rPr>
        <w:t>Langmuir,</w:t>
      </w:r>
      <w:r w:rsidRPr="00B17B04">
        <w:t xml:space="preserve"> </w:t>
      </w:r>
      <w:r w:rsidRPr="00B17B04">
        <w:rPr>
          <w:b/>
        </w:rPr>
        <w:t>19</w:t>
      </w:r>
      <w:r w:rsidR="002258A6">
        <w:t>, 5</w:t>
      </w:r>
      <w:r w:rsidRPr="00B17B04">
        <w:t xml:space="preserve"> </w:t>
      </w:r>
      <w:r w:rsidR="002258A6">
        <w:t>(2003)</w:t>
      </w:r>
      <w:r w:rsidRPr="00B17B04">
        <w:t>.</w:t>
      </w:r>
    </w:p>
    <w:p w14:paraId="7D029B5D" w14:textId="77777777" w:rsidR="00642AF3" w:rsidRDefault="00642AF3" w:rsidP="00642AF3">
      <w:pPr>
        <w:pStyle w:val="EndNoteBibliography"/>
        <w:ind w:left="720" w:hanging="720"/>
      </w:pPr>
    </w:p>
    <w:p w14:paraId="48834E5C" w14:textId="04CD2E53" w:rsidR="00642AF3" w:rsidRPr="00B17B04" w:rsidRDefault="00642AF3" w:rsidP="00642AF3">
      <w:pPr>
        <w:pStyle w:val="EndNoteBibliography"/>
        <w:ind w:left="720" w:hanging="720"/>
      </w:pPr>
      <w:r>
        <w:t>[</w:t>
      </w:r>
      <w:r w:rsidRPr="00B17B04">
        <w:t>42</w:t>
      </w:r>
      <w:r>
        <w:t>]</w:t>
      </w:r>
      <w:r w:rsidRPr="00B17B04">
        <w:tab/>
      </w:r>
      <w:r w:rsidR="002258A6">
        <w:t xml:space="preserve">A. </w:t>
      </w:r>
      <w:r w:rsidRPr="00B17B04">
        <w:t>Kumar, and R.</w:t>
      </w:r>
      <w:r w:rsidR="002258A6">
        <w:t xml:space="preserve"> </w:t>
      </w:r>
      <w:r w:rsidRPr="00B17B04">
        <w:t xml:space="preserve">G. Reddy, </w:t>
      </w:r>
      <w:r w:rsidRPr="002258A6">
        <w:t>Effect of channel dimensions and shape in the flow-field distributor on the performance of polymer electrolyte membrane fuel cells.</w:t>
      </w:r>
      <w:r w:rsidRPr="00B17B04">
        <w:t xml:space="preserve"> </w:t>
      </w:r>
      <w:r w:rsidRPr="002258A6">
        <w:rPr>
          <w:i/>
        </w:rPr>
        <w:t>Journal of Power Sources,</w:t>
      </w:r>
      <w:r w:rsidRPr="00B17B04">
        <w:t xml:space="preserve"> </w:t>
      </w:r>
      <w:r w:rsidRPr="00B17B04">
        <w:rPr>
          <w:b/>
        </w:rPr>
        <w:t>113</w:t>
      </w:r>
      <w:r w:rsidR="002258A6">
        <w:t>, 1</w:t>
      </w:r>
      <w:r w:rsidRPr="00B17B04">
        <w:t xml:space="preserve"> </w:t>
      </w:r>
      <w:r w:rsidR="002258A6">
        <w:t>(2003)</w:t>
      </w:r>
      <w:r w:rsidRPr="00B17B04">
        <w:t>.</w:t>
      </w:r>
    </w:p>
    <w:p w14:paraId="59302A28" w14:textId="77777777" w:rsidR="00642AF3" w:rsidRDefault="00642AF3" w:rsidP="00642AF3">
      <w:pPr>
        <w:pStyle w:val="EndNoteBibliography"/>
        <w:ind w:left="720" w:hanging="720"/>
      </w:pPr>
    </w:p>
    <w:p w14:paraId="7061F177" w14:textId="718D0692" w:rsidR="00642AF3" w:rsidRPr="00B17B04" w:rsidRDefault="00642AF3" w:rsidP="00642AF3">
      <w:pPr>
        <w:pStyle w:val="EndNoteBibliography"/>
        <w:ind w:left="720" w:hanging="720"/>
      </w:pPr>
      <w:r>
        <w:t>[</w:t>
      </w:r>
      <w:r w:rsidRPr="00B17B04">
        <w:t>43</w:t>
      </w:r>
      <w:r>
        <w:t>]</w:t>
      </w:r>
      <w:r w:rsidRPr="00B17B04">
        <w:tab/>
      </w:r>
      <w:r w:rsidR="002258A6">
        <w:t xml:space="preserve">S. L. </w:t>
      </w:r>
      <w:r w:rsidRPr="00B17B04">
        <w:t xml:space="preserve">Campanelli, </w:t>
      </w:r>
      <w:r w:rsidR="002258A6">
        <w:t>A. D. Ludovico, C. Bonserio, P. Cavalluzzi, and M. Cinquepalmi</w:t>
      </w:r>
      <w:r w:rsidRPr="00B17B04">
        <w:t xml:space="preserve">, </w:t>
      </w:r>
      <w:r w:rsidRPr="002258A6">
        <w:t>Experimental analysis of the laser milling process parameters.</w:t>
      </w:r>
      <w:r w:rsidRPr="00B17B04">
        <w:t xml:space="preserve"> </w:t>
      </w:r>
      <w:r w:rsidRPr="002258A6">
        <w:rPr>
          <w:i/>
        </w:rPr>
        <w:t>Journal of Materials Processing Technology,</w:t>
      </w:r>
      <w:r w:rsidRPr="00B17B04">
        <w:t xml:space="preserve"> </w:t>
      </w:r>
      <w:r w:rsidRPr="00B17B04">
        <w:rPr>
          <w:b/>
        </w:rPr>
        <w:t>191</w:t>
      </w:r>
      <w:r w:rsidR="002258A6">
        <w:t>, 1</w:t>
      </w:r>
      <w:r w:rsidRPr="00B17B04">
        <w:t xml:space="preserve"> </w:t>
      </w:r>
      <w:r w:rsidR="002258A6">
        <w:t>(2007)</w:t>
      </w:r>
      <w:r w:rsidRPr="00B17B04">
        <w:t>.</w:t>
      </w:r>
    </w:p>
    <w:p w14:paraId="5953CFC5" w14:textId="77777777" w:rsidR="00642AF3" w:rsidRDefault="00642AF3" w:rsidP="00642AF3">
      <w:pPr>
        <w:pStyle w:val="EndNoteBibliography"/>
        <w:ind w:left="720" w:hanging="720"/>
      </w:pPr>
    </w:p>
    <w:p w14:paraId="78795E75" w14:textId="5785D6CE" w:rsidR="00642AF3" w:rsidRPr="00B17B04" w:rsidRDefault="00642AF3" w:rsidP="00642AF3">
      <w:pPr>
        <w:pStyle w:val="EndNoteBibliography"/>
        <w:ind w:left="720" w:hanging="720"/>
      </w:pPr>
      <w:r>
        <w:t>[</w:t>
      </w:r>
      <w:r w:rsidRPr="00B17B04">
        <w:t>44</w:t>
      </w:r>
      <w:r>
        <w:t>]</w:t>
      </w:r>
      <w:r w:rsidRPr="00B17B04">
        <w:tab/>
      </w:r>
      <w:r w:rsidR="002258A6">
        <w:t xml:space="preserve">V. </w:t>
      </w:r>
      <w:r w:rsidRPr="00B17B04">
        <w:t>Yong, and H.</w:t>
      </w:r>
      <w:r w:rsidR="002258A6">
        <w:t xml:space="preserve"> </w:t>
      </w:r>
      <w:r w:rsidRPr="00B17B04">
        <w:t xml:space="preserve">T. Hahn, </w:t>
      </w:r>
      <w:r w:rsidRPr="002258A6">
        <w:t xml:space="preserve">Moisture absorption modeling using design of experiments. </w:t>
      </w:r>
      <w:r w:rsidRPr="002258A6">
        <w:rPr>
          <w:i/>
        </w:rPr>
        <w:t xml:space="preserve">Journal of </w:t>
      </w:r>
      <w:r w:rsidR="002258A6">
        <w:rPr>
          <w:i/>
        </w:rPr>
        <w:t>A</w:t>
      </w:r>
      <w:r w:rsidRPr="002258A6">
        <w:rPr>
          <w:i/>
        </w:rPr>
        <w:t xml:space="preserve">pplied </w:t>
      </w:r>
      <w:r w:rsidR="002258A6">
        <w:rPr>
          <w:i/>
        </w:rPr>
        <w:t>P</w:t>
      </w:r>
      <w:r w:rsidRPr="002258A6">
        <w:rPr>
          <w:i/>
        </w:rPr>
        <w:t xml:space="preserve">olymer </w:t>
      </w:r>
      <w:r w:rsidR="002258A6">
        <w:rPr>
          <w:i/>
        </w:rPr>
        <w:t>S</w:t>
      </w:r>
      <w:r w:rsidRPr="002258A6">
        <w:rPr>
          <w:i/>
        </w:rPr>
        <w:t xml:space="preserve">cience, </w:t>
      </w:r>
      <w:r w:rsidRPr="00B17B04">
        <w:rPr>
          <w:b/>
        </w:rPr>
        <w:t>103</w:t>
      </w:r>
      <w:r w:rsidR="002258A6">
        <w:t>, 3</w:t>
      </w:r>
      <w:r w:rsidRPr="00B17B04">
        <w:t xml:space="preserve"> </w:t>
      </w:r>
      <w:r w:rsidR="002258A6">
        <w:t>(2007)</w:t>
      </w:r>
      <w:r w:rsidRPr="00B17B04">
        <w:t>.</w:t>
      </w:r>
    </w:p>
    <w:p w14:paraId="274AAA40" w14:textId="77777777" w:rsidR="00642AF3" w:rsidRDefault="00642AF3" w:rsidP="00642AF3">
      <w:pPr>
        <w:pStyle w:val="EndNoteBibliography"/>
        <w:ind w:left="720" w:hanging="720"/>
      </w:pPr>
    </w:p>
    <w:p w14:paraId="6B1D5852" w14:textId="55708B5E" w:rsidR="00D37BB4" w:rsidRPr="00B17B04" w:rsidRDefault="00D37BB4" w:rsidP="00D37BB4">
      <w:pPr>
        <w:pStyle w:val="EndNoteBibliography"/>
        <w:ind w:left="720" w:hanging="720"/>
      </w:pPr>
      <w:r>
        <w:t>[45]</w:t>
      </w:r>
      <w:r w:rsidRPr="00B17B04">
        <w:tab/>
      </w:r>
      <w:r w:rsidR="002258A6">
        <w:t xml:space="preserve">L. R. </w:t>
      </w:r>
      <w:r w:rsidRPr="00B17B04">
        <w:t>Grace, and M.</w:t>
      </w:r>
      <w:r w:rsidR="002258A6">
        <w:t xml:space="preserve"> </w:t>
      </w:r>
      <w:r w:rsidRPr="00B17B04">
        <w:t xml:space="preserve">C. Altan, </w:t>
      </w:r>
      <w:r w:rsidRPr="002258A6">
        <w:t>Characterization of anisotropic moisture absorption in polymeric composites using hindered diffusion model.</w:t>
      </w:r>
      <w:r w:rsidRPr="00B17B04">
        <w:t xml:space="preserve"> </w:t>
      </w:r>
      <w:r w:rsidRPr="002258A6">
        <w:rPr>
          <w:i/>
        </w:rPr>
        <w:t xml:space="preserve">Composites Part A: Applied Science and Manufacturing, </w:t>
      </w:r>
      <w:r w:rsidRPr="00B17B04">
        <w:rPr>
          <w:b/>
        </w:rPr>
        <w:t>43</w:t>
      </w:r>
      <w:r w:rsidR="002258A6">
        <w:t>, 8</w:t>
      </w:r>
      <w:r w:rsidRPr="00B17B04">
        <w:t xml:space="preserve"> </w:t>
      </w:r>
      <w:r w:rsidR="002258A6">
        <w:t>(2012)</w:t>
      </w:r>
      <w:r w:rsidRPr="00B17B04">
        <w:t>.</w:t>
      </w:r>
    </w:p>
    <w:p w14:paraId="5FD221D8" w14:textId="77777777" w:rsidR="00D37BB4" w:rsidRDefault="00D37BB4" w:rsidP="00D37BB4">
      <w:pPr>
        <w:pStyle w:val="EndNoteBibliography"/>
        <w:ind w:left="720" w:hanging="720"/>
      </w:pPr>
    </w:p>
    <w:p w14:paraId="1B695694" w14:textId="1A9F2E7C" w:rsidR="00D37BB4" w:rsidRPr="00B17B04" w:rsidRDefault="00D37BB4" w:rsidP="00D37BB4">
      <w:pPr>
        <w:pStyle w:val="EndNoteBibliography"/>
        <w:ind w:left="720" w:hanging="720"/>
      </w:pPr>
      <w:r>
        <w:t>[46]</w:t>
      </w:r>
      <w:r w:rsidRPr="00B17B04">
        <w:tab/>
      </w:r>
      <w:r w:rsidR="002258A6">
        <w:t xml:space="preserve">L. R. </w:t>
      </w:r>
      <w:r w:rsidRPr="00B17B04">
        <w:t>Grace, and M.</w:t>
      </w:r>
      <w:r w:rsidR="002258A6">
        <w:t xml:space="preserve"> </w:t>
      </w:r>
      <w:r w:rsidRPr="00B17B04">
        <w:t xml:space="preserve">C. Altan, </w:t>
      </w:r>
      <w:r w:rsidRPr="002258A6">
        <w:t>Non-fickian three-dimensional hindered moisture absorption in polymeric composites: Model development and validation.</w:t>
      </w:r>
      <w:r w:rsidRPr="00B17B04">
        <w:t xml:space="preserve"> </w:t>
      </w:r>
      <w:r w:rsidRPr="002258A6">
        <w:rPr>
          <w:i/>
        </w:rPr>
        <w:t>Polymer Composites,</w:t>
      </w:r>
      <w:r w:rsidRPr="00B17B04">
        <w:t xml:space="preserve"> </w:t>
      </w:r>
      <w:r w:rsidRPr="00B17B04">
        <w:rPr>
          <w:b/>
        </w:rPr>
        <w:t>34</w:t>
      </w:r>
      <w:r w:rsidR="002258A6">
        <w:t>, 7</w:t>
      </w:r>
      <w:r w:rsidR="002258A6" w:rsidRPr="002258A6">
        <w:t xml:space="preserve"> </w:t>
      </w:r>
      <w:r w:rsidR="002258A6">
        <w:t>(2013)</w:t>
      </w:r>
      <w:r w:rsidRPr="00B17B04">
        <w:t>.</w:t>
      </w:r>
    </w:p>
    <w:p w14:paraId="332B2FF4" w14:textId="77777777" w:rsidR="00D37BB4" w:rsidRDefault="00D37BB4" w:rsidP="00D37BB4">
      <w:pPr>
        <w:pStyle w:val="EndNoteBibliography"/>
        <w:ind w:left="720" w:hanging="720"/>
      </w:pPr>
    </w:p>
    <w:p w14:paraId="1ADB625C" w14:textId="3DD22125" w:rsidR="00D37BB4" w:rsidRPr="00B17B04" w:rsidRDefault="00D37BB4" w:rsidP="00D37BB4">
      <w:pPr>
        <w:pStyle w:val="EndNoteBibliography"/>
        <w:ind w:left="720" w:hanging="720"/>
      </w:pPr>
      <w:r>
        <w:t>[47]</w:t>
      </w:r>
      <w:r w:rsidRPr="00B17B04">
        <w:tab/>
      </w:r>
      <w:r w:rsidR="00353888">
        <w:t xml:space="preserve">L. R. </w:t>
      </w:r>
      <w:r w:rsidRPr="00B17B04">
        <w:t>Grace, and M.</w:t>
      </w:r>
      <w:r w:rsidR="00353888">
        <w:t xml:space="preserve"> </w:t>
      </w:r>
      <w:r w:rsidRPr="00B17B04">
        <w:t xml:space="preserve">C. Altan, </w:t>
      </w:r>
      <w:r w:rsidRPr="00353888">
        <w:t>Three-dimensional anisotropic moisture absorption in quartz-reinforced Bismaleimide laminates.</w:t>
      </w:r>
      <w:r w:rsidRPr="00B17B04">
        <w:t xml:space="preserve"> </w:t>
      </w:r>
      <w:r w:rsidRPr="00353888">
        <w:rPr>
          <w:i/>
        </w:rPr>
        <w:t xml:space="preserve">Polymer Engineering and Science, </w:t>
      </w:r>
      <w:r w:rsidRPr="00B17B04">
        <w:rPr>
          <w:b/>
        </w:rPr>
        <w:t>54</w:t>
      </w:r>
      <w:r w:rsidR="00353888">
        <w:t>, 1</w:t>
      </w:r>
      <w:r w:rsidRPr="00B17B04">
        <w:t xml:space="preserve"> </w:t>
      </w:r>
      <w:r w:rsidR="00353888">
        <w:t>(2014)</w:t>
      </w:r>
      <w:r w:rsidRPr="00B17B04">
        <w:t>.</w:t>
      </w:r>
    </w:p>
    <w:p w14:paraId="4788EDF3" w14:textId="77777777" w:rsidR="00D37BB4" w:rsidRDefault="00D37BB4" w:rsidP="00642AF3">
      <w:pPr>
        <w:pStyle w:val="EndNoteBibliography"/>
        <w:ind w:left="720" w:hanging="720"/>
      </w:pPr>
    </w:p>
    <w:p w14:paraId="6329B500" w14:textId="34AA6F49" w:rsidR="00642AF3" w:rsidRPr="00B17B04" w:rsidRDefault="00642AF3" w:rsidP="00642AF3">
      <w:pPr>
        <w:pStyle w:val="EndNoteBibliography"/>
        <w:ind w:left="720" w:hanging="720"/>
      </w:pPr>
      <w:r>
        <w:t>[</w:t>
      </w:r>
      <w:r w:rsidR="00D37BB4">
        <w:t>48</w:t>
      </w:r>
      <w:r>
        <w:t>]</w:t>
      </w:r>
      <w:r w:rsidRPr="00B17B04">
        <w:tab/>
      </w:r>
      <w:r w:rsidR="008D0DA2">
        <w:t xml:space="preserve">E. </w:t>
      </w:r>
      <w:r w:rsidRPr="00B17B04">
        <w:t xml:space="preserve">Perez-Pacheco, </w:t>
      </w:r>
      <w:r w:rsidR="008D0DA2">
        <w:t>J. I. Cauich-Cupul, A. Valadez-Gonzalez, and P. J. Herrera-Franco</w:t>
      </w:r>
      <w:r w:rsidRPr="00B17B04">
        <w:t xml:space="preserve">, </w:t>
      </w:r>
      <w:r w:rsidR="008D0DA2">
        <w:t xml:space="preserve">Effect of moisture absorption on the mechanical behavior of carbon fiber/epoxy matrix composites. </w:t>
      </w:r>
      <w:r w:rsidRPr="008D0DA2">
        <w:rPr>
          <w:i/>
        </w:rPr>
        <w:t>Journal of Material</w:t>
      </w:r>
      <w:r w:rsidR="008D0DA2">
        <w:rPr>
          <w:i/>
        </w:rPr>
        <w:t>s</w:t>
      </w:r>
      <w:r w:rsidRPr="008D0DA2">
        <w:rPr>
          <w:i/>
        </w:rPr>
        <w:t xml:space="preserve"> Science,</w:t>
      </w:r>
      <w:r w:rsidRPr="00B17B04">
        <w:t xml:space="preserve"> </w:t>
      </w:r>
      <w:r w:rsidRPr="00B17B04">
        <w:rPr>
          <w:b/>
        </w:rPr>
        <w:t>48</w:t>
      </w:r>
      <w:r w:rsidR="008D0DA2">
        <w:t>, 5</w:t>
      </w:r>
      <w:r w:rsidRPr="00B17B04">
        <w:t xml:space="preserve"> </w:t>
      </w:r>
      <w:r w:rsidR="008D0DA2">
        <w:t>(2013)</w:t>
      </w:r>
      <w:r w:rsidRPr="00B17B04">
        <w:t>.</w:t>
      </w:r>
    </w:p>
    <w:p w14:paraId="052DB304" w14:textId="77777777" w:rsidR="00642AF3" w:rsidRDefault="00642AF3" w:rsidP="00642AF3">
      <w:pPr>
        <w:pStyle w:val="EndNoteBibliography"/>
        <w:ind w:left="720" w:hanging="720"/>
      </w:pPr>
    </w:p>
    <w:p w14:paraId="52119CA3" w14:textId="43932189" w:rsidR="00642AF3" w:rsidRPr="00B17B04" w:rsidRDefault="00642AF3" w:rsidP="00642AF3">
      <w:pPr>
        <w:pStyle w:val="EndNoteBibliography"/>
        <w:ind w:left="720" w:hanging="720"/>
      </w:pPr>
      <w:r>
        <w:t>[</w:t>
      </w:r>
      <w:r w:rsidR="00D37BB4">
        <w:t>49</w:t>
      </w:r>
      <w:r>
        <w:t>]</w:t>
      </w:r>
      <w:r w:rsidRPr="00B17B04">
        <w:tab/>
      </w:r>
      <w:r w:rsidR="008D0DA2">
        <w:t xml:space="preserve">F. </w:t>
      </w:r>
      <w:r w:rsidRPr="00B17B04">
        <w:t>Pomies, and L.</w:t>
      </w:r>
      <w:r w:rsidR="008D0DA2">
        <w:t xml:space="preserve"> </w:t>
      </w:r>
      <w:r w:rsidRPr="00B17B04">
        <w:t>A. Carlsson,</w:t>
      </w:r>
      <w:r w:rsidR="008D0DA2">
        <w:t xml:space="preserve"> Analysis of modulus and strength of dry and wet thermoset and thermoplastic composites loaded in transverse tension.</w:t>
      </w:r>
      <w:r w:rsidRPr="00B17B04">
        <w:t xml:space="preserve"> </w:t>
      </w:r>
      <w:r w:rsidRPr="008D0DA2">
        <w:rPr>
          <w:i/>
        </w:rPr>
        <w:t xml:space="preserve">Journal of Composite Materials, </w:t>
      </w:r>
      <w:r w:rsidRPr="00B17B04">
        <w:rPr>
          <w:b/>
        </w:rPr>
        <w:t>28</w:t>
      </w:r>
      <w:r w:rsidR="008D0DA2">
        <w:t>, 1 (1994)</w:t>
      </w:r>
      <w:r w:rsidRPr="00B17B04">
        <w:t>.</w:t>
      </w:r>
    </w:p>
    <w:p w14:paraId="35E5BD71" w14:textId="77777777" w:rsidR="00642AF3" w:rsidRDefault="00642AF3" w:rsidP="00642AF3">
      <w:pPr>
        <w:pStyle w:val="EndNoteBibliography"/>
        <w:ind w:left="720" w:hanging="720"/>
      </w:pPr>
    </w:p>
    <w:p w14:paraId="08B2F8AD" w14:textId="1207BDDE" w:rsidR="00642AF3" w:rsidRPr="00B17B04" w:rsidRDefault="00642AF3" w:rsidP="00642AF3">
      <w:pPr>
        <w:pStyle w:val="EndNoteBibliography"/>
        <w:ind w:left="720" w:hanging="720"/>
      </w:pPr>
      <w:r>
        <w:t>[</w:t>
      </w:r>
      <w:r w:rsidR="00D37BB4">
        <w:t>50</w:t>
      </w:r>
      <w:r>
        <w:t>]</w:t>
      </w:r>
      <w:r w:rsidRPr="00B17B04">
        <w:tab/>
      </w:r>
      <w:r w:rsidR="008D0DA2">
        <w:t xml:space="preserve">W. L. </w:t>
      </w:r>
      <w:r w:rsidRPr="00B17B04">
        <w:t>Bradley, and T.</w:t>
      </w:r>
      <w:r w:rsidR="008D0DA2">
        <w:t xml:space="preserve"> </w:t>
      </w:r>
      <w:r w:rsidRPr="00B17B04">
        <w:t>S. Grant,</w:t>
      </w:r>
      <w:r w:rsidR="008D0DA2">
        <w:t xml:space="preserve"> The effect of the moisture absorption on the interfacial strength of polymeric matrix composites.</w:t>
      </w:r>
      <w:r w:rsidRPr="00B17B04">
        <w:t xml:space="preserve"> </w:t>
      </w:r>
      <w:r w:rsidRPr="008D0DA2">
        <w:rPr>
          <w:i/>
        </w:rPr>
        <w:t>Journal of Material</w:t>
      </w:r>
      <w:r w:rsidR="008D0DA2" w:rsidRPr="008D0DA2">
        <w:rPr>
          <w:i/>
        </w:rPr>
        <w:t>s</w:t>
      </w:r>
      <w:r w:rsidRPr="008D0DA2">
        <w:rPr>
          <w:i/>
        </w:rPr>
        <w:t xml:space="preserve"> Science, </w:t>
      </w:r>
      <w:r w:rsidRPr="00B17B04">
        <w:rPr>
          <w:b/>
        </w:rPr>
        <w:t>30</w:t>
      </w:r>
      <w:r w:rsidR="008D0DA2">
        <w:t>, 21</w:t>
      </w:r>
      <w:r w:rsidRPr="00B17B04">
        <w:t xml:space="preserve"> </w:t>
      </w:r>
      <w:r w:rsidR="008D0DA2">
        <w:t>(1995)</w:t>
      </w:r>
      <w:r w:rsidRPr="00B17B04">
        <w:t>.</w:t>
      </w:r>
    </w:p>
    <w:p w14:paraId="5A6C6AF3" w14:textId="77777777" w:rsidR="00642AF3" w:rsidRDefault="00642AF3" w:rsidP="00642AF3">
      <w:pPr>
        <w:pStyle w:val="EndNoteBibliography"/>
        <w:ind w:left="720" w:hanging="720"/>
      </w:pPr>
    </w:p>
    <w:p w14:paraId="54FAC80F" w14:textId="0136FCC4" w:rsidR="00642AF3" w:rsidRPr="00B17B04" w:rsidRDefault="00642AF3" w:rsidP="00642AF3">
      <w:pPr>
        <w:pStyle w:val="EndNoteBibliography"/>
        <w:ind w:left="720" w:hanging="720"/>
      </w:pPr>
      <w:r>
        <w:t>[</w:t>
      </w:r>
      <w:r w:rsidR="00D37BB4">
        <w:t>51</w:t>
      </w:r>
      <w:r>
        <w:t>]</w:t>
      </w:r>
      <w:r w:rsidRPr="00B17B04">
        <w:tab/>
      </w:r>
      <w:r w:rsidR="00BB5A34">
        <w:t xml:space="preserve">E. P. </w:t>
      </w:r>
      <w:r w:rsidRPr="00B17B04">
        <w:t xml:space="preserve">Sideridis, </w:t>
      </w:r>
      <w:r w:rsidR="00BB5A34">
        <w:t xml:space="preserve">and G. S. Bikakis, Shear properties and load-deflection response of cross-ply glass-epoxy composite short-beams subjected to three-point-bending tests, and the effect of moisture absorption. </w:t>
      </w:r>
      <w:r w:rsidR="00BB5A34" w:rsidRPr="00BB5A34">
        <w:rPr>
          <w:i/>
        </w:rPr>
        <w:t>Journal of Applied Polymer S</w:t>
      </w:r>
      <w:r w:rsidRPr="00BB5A34">
        <w:rPr>
          <w:i/>
        </w:rPr>
        <w:t xml:space="preserve">cience, </w:t>
      </w:r>
      <w:r w:rsidRPr="00B17B04">
        <w:rPr>
          <w:b/>
        </w:rPr>
        <w:t>129</w:t>
      </w:r>
      <w:r w:rsidR="00BB5A34">
        <w:t>, 4</w:t>
      </w:r>
      <w:r w:rsidRPr="00B17B04">
        <w:t xml:space="preserve"> </w:t>
      </w:r>
      <w:r w:rsidR="00BB5A34">
        <w:t>(2013)</w:t>
      </w:r>
      <w:r w:rsidRPr="00B17B04">
        <w:t>.</w:t>
      </w:r>
    </w:p>
    <w:p w14:paraId="56F0D4E1" w14:textId="77777777" w:rsidR="00642AF3" w:rsidRDefault="00642AF3" w:rsidP="00642AF3">
      <w:pPr>
        <w:pStyle w:val="EndNoteBibliography"/>
        <w:ind w:left="720" w:hanging="720"/>
      </w:pPr>
    </w:p>
    <w:p w14:paraId="33D9BEAB" w14:textId="7BCF9203" w:rsidR="00642AF3" w:rsidRPr="00B17B04" w:rsidRDefault="00642AF3" w:rsidP="00642AF3">
      <w:pPr>
        <w:pStyle w:val="EndNoteBibliography"/>
        <w:ind w:left="720" w:hanging="720"/>
      </w:pPr>
      <w:r>
        <w:t>[</w:t>
      </w:r>
      <w:r w:rsidR="00D37BB4">
        <w:t>52</w:t>
      </w:r>
      <w:r>
        <w:t>]</w:t>
      </w:r>
      <w:r w:rsidRPr="00B17B04">
        <w:tab/>
      </w:r>
      <w:r w:rsidR="00BB5A34">
        <w:t xml:space="preserve">T. A. </w:t>
      </w:r>
      <w:r w:rsidRPr="00B17B04">
        <w:t>Bullions, A.</w:t>
      </w:r>
      <w:r w:rsidR="00BB5A34">
        <w:t xml:space="preserve"> </w:t>
      </w:r>
      <w:r w:rsidRPr="00B17B04">
        <w:t>C. Loos, and J.</w:t>
      </w:r>
      <w:r w:rsidR="00BB5A34">
        <w:t xml:space="preserve"> </w:t>
      </w:r>
      <w:r w:rsidRPr="00B17B04">
        <w:t xml:space="preserve">E. McGrath, </w:t>
      </w:r>
      <w:r w:rsidR="00BB5A34">
        <w:t xml:space="preserve">Moisture sorption effects on and properties of a carbon fiber-reinforced phenylethynyl-terminated poly(etherimide). </w:t>
      </w:r>
      <w:r w:rsidRPr="00BB5A34">
        <w:rPr>
          <w:i/>
        </w:rPr>
        <w:t>Journal of Composite Materials,</w:t>
      </w:r>
      <w:r w:rsidRPr="00B17B04">
        <w:t xml:space="preserve"> </w:t>
      </w:r>
      <w:r w:rsidRPr="00B17B04">
        <w:rPr>
          <w:b/>
        </w:rPr>
        <w:t>37</w:t>
      </w:r>
      <w:r w:rsidR="00BB5A34">
        <w:t>, 9 (</w:t>
      </w:r>
      <w:r w:rsidR="00BB5A34" w:rsidRPr="00B17B04">
        <w:t>2003</w:t>
      </w:r>
      <w:r w:rsidR="00BB5A34">
        <w:t>)</w:t>
      </w:r>
      <w:r w:rsidRPr="00B17B04">
        <w:t>.</w:t>
      </w:r>
    </w:p>
    <w:p w14:paraId="44CAFACF" w14:textId="77777777" w:rsidR="00642AF3" w:rsidRDefault="00642AF3" w:rsidP="00642AF3">
      <w:pPr>
        <w:pStyle w:val="EndNoteBibliography"/>
        <w:ind w:left="720" w:hanging="720"/>
      </w:pPr>
    </w:p>
    <w:p w14:paraId="641677CD" w14:textId="175E9A51" w:rsidR="00642AF3" w:rsidRPr="00B17B04" w:rsidRDefault="00642AF3" w:rsidP="00642AF3">
      <w:pPr>
        <w:pStyle w:val="EndNoteBibliography"/>
        <w:ind w:left="720" w:hanging="720"/>
      </w:pPr>
      <w:r>
        <w:t>[</w:t>
      </w:r>
      <w:r w:rsidR="005571C2">
        <w:t>53</w:t>
      </w:r>
      <w:r>
        <w:t>]</w:t>
      </w:r>
      <w:r w:rsidRPr="00B17B04">
        <w:tab/>
      </w:r>
      <w:r w:rsidR="005571C2">
        <w:t xml:space="preserve">R. M. V. G. K. </w:t>
      </w:r>
      <w:r w:rsidRPr="00B17B04">
        <w:t>Rao, H.</w:t>
      </w:r>
      <w:r w:rsidR="005571C2">
        <w:t xml:space="preserve"> </w:t>
      </w:r>
      <w:r w:rsidRPr="00B17B04">
        <w:t>V.</w:t>
      </w:r>
      <w:r w:rsidR="005571C2">
        <w:t xml:space="preserve"> </w:t>
      </w:r>
      <w:r w:rsidRPr="00B17B04">
        <w:t>S. Kumari, and K.</w:t>
      </w:r>
      <w:r w:rsidR="005571C2">
        <w:t xml:space="preserve"> </w:t>
      </w:r>
      <w:r w:rsidRPr="00B17B04">
        <w:t>S. Raju,</w:t>
      </w:r>
      <w:r w:rsidR="005571C2">
        <w:t xml:space="preserve"> Moisture diffusion behavior of T300-914C laminates.</w:t>
      </w:r>
      <w:r w:rsidRPr="00B17B04">
        <w:t xml:space="preserve"> </w:t>
      </w:r>
      <w:r w:rsidRPr="005571C2">
        <w:rPr>
          <w:i/>
        </w:rPr>
        <w:t xml:space="preserve">Journal of Reinforced Plastics and Composites, </w:t>
      </w:r>
      <w:r w:rsidRPr="00B17B04">
        <w:rPr>
          <w:b/>
        </w:rPr>
        <w:t>14</w:t>
      </w:r>
      <w:r w:rsidR="005571C2">
        <w:t>, 5 (1995)</w:t>
      </w:r>
      <w:r w:rsidRPr="00B17B04">
        <w:t>.</w:t>
      </w:r>
    </w:p>
    <w:p w14:paraId="7CF9FA74" w14:textId="77777777" w:rsidR="00642AF3" w:rsidRDefault="00642AF3" w:rsidP="00642AF3">
      <w:pPr>
        <w:pStyle w:val="EndNoteBibliography"/>
        <w:ind w:left="720" w:hanging="720"/>
      </w:pPr>
    </w:p>
    <w:p w14:paraId="4CFEDAF3" w14:textId="2A30ABCA" w:rsidR="00642AF3" w:rsidRPr="00B17B04" w:rsidRDefault="00642AF3" w:rsidP="00642AF3">
      <w:pPr>
        <w:pStyle w:val="EndNoteBibliography"/>
        <w:ind w:left="720" w:hanging="720"/>
      </w:pPr>
      <w:r>
        <w:t>[</w:t>
      </w:r>
      <w:r w:rsidR="005571C2">
        <w:t>54</w:t>
      </w:r>
      <w:r>
        <w:t>]</w:t>
      </w:r>
      <w:r w:rsidRPr="00B17B04">
        <w:tab/>
      </w:r>
      <w:r w:rsidR="00FE082D">
        <w:t xml:space="preserve">N. </w:t>
      </w:r>
      <w:r w:rsidR="00BB5A34">
        <w:t xml:space="preserve">Abacha, </w:t>
      </w:r>
      <w:r w:rsidR="00FE082D">
        <w:t>M. Kubouchi, T. Sakai, and K. Tsuda</w:t>
      </w:r>
      <w:r w:rsidR="00BB5A34">
        <w:t>,</w:t>
      </w:r>
      <w:r w:rsidR="00FE082D">
        <w:t xml:space="preserve"> Diffusion behavior of water and sulfuric acid in epoxy/organoclay nanocomposites.</w:t>
      </w:r>
      <w:r w:rsidR="00BB5A34">
        <w:t xml:space="preserve"> </w:t>
      </w:r>
      <w:r w:rsidR="00BB5A34" w:rsidRPr="00FE082D">
        <w:rPr>
          <w:i/>
        </w:rPr>
        <w:t>Journal of A</w:t>
      </w:r>
      <w:r w:rsidRPr="00FE082D">
        <w:rPr>
          <w:i/>
        </w:rPr>
        <w:t xml:space="preserve">pplied </w:t>
      </w:r>
      <w:r w:rsidR="00BB5A34" w:rsidRPr="00FE082D">
        <w:rPr>
          <w:i/>
        </w:rPr>
        <w:t>P</w:t>
      </w:r>
      <w:r w:rsidRPr="00FE082D">
        <w:rPr>
          <w:i/>
        </w:rPr>
        <w:t xml:space="preserve">olymer </w:t>
      </w:r>
      <w:r w:rsidR="00BB5A34" w:rsidRPr="00FE082D">
        <w:rPr>
          <w:i/>
        </w:rPr>
        <w:t>S</w:t>
      </w:r>
      <w:r w:rsidRPr="00FE082D">
        <w:rPr>
          <w:i/>
        </w:rPr>
        <w:t xml:space="preserve">cience, </w:t>
      </w:r>
      <w:r w:rsidRPr="00B17B04">
        <w:rPr>
          <w:b/>
        </w:rPr>
        <w:t>112</w:t>
      </w:r>
      <w:r w:rsidR="00FE082D">
        <w:t>, 2</w:t>
      </w:r>
      <w:r w:rsidRPr="00B17B04">
        <w:t xml:space="preserve"> </w:t>
      </w:r>
      <w:r w:rsidR="00FE082D">
        <w:t>(2009)</w:t>
      </w:r>
      <w:r w:rsidRPr="00B17B04">
        <w:t>.</w:t>
      </w:r>
    </w:p>
    <w:p w14:paraId="259CDC9D" w14:textId="77777777" w:rsidR="00642AF3" w:rsidRDefault="00642AF3" w:rsidP="00642AF3">
      <w:pPr>
        <w:pStyle w:val="EndNoteBibliography"/>
        <w:ind w:left="720" w:hanging="720"/>
      </w:pPr>
    </w:p>
    <w:p w14:paraId="68227032" w14:textId="7BCDA198" w:rsidR="00642AF3" w:rsidRPr="00B17B04" w:rsidRDefault="00642AF3" w:rsidP="00642AF3">
      <w:pPr>
        <w:pStyle w:val="EndNoteBibliography"/>
        <w:ind w:left="720" w:hanging="720"/>
      </w:pPr>
      <w:r>
        <w:t>[</w:t>
      </w:r>
      <w:r w:rsidR="005571C2">
        <w:t>55</w:t>
      </w:r>
      <w:r>
        <w:t>]</w:t>
      </w:r>
      <w:r w:rsidRPr="00B17B04">
        <w:tab/>
      </w:r>
      <w:r w:rsidR="008C5720">
        <w:t xml:space="preserve">T. </w:t>
      </w:r>
      <w:r w:rsidRPr="00B17B04">
        <w:t>Glaskova, and A. Aniskevich,</w:t>
      </w:r>
      <w:r w:rsidR="008C5720">
        <w:t xml:space="preserve"> Moisture absorption by epoxy/montmorillonite nanocomposite. </w:t>
      </w:r>
      <w:r w:rsidRPr="008C5720">
        <w:rPr>
          <w:i/>
        </w:rPr>
        <w:t>Composites Science and Technology,</w:t>
      </w:r>
      <w:r w:rsidRPr="00B17B04">
        <w:t xml:space="preserve"> </w:t>
      </w:r>
      <w:r w:rsidRPr="00B17B04">
        <w:rPr>
          <w:b/>
        </w:rPr>
        <w:t>69</w:t>
      </w:r>
      <w:r w:rsidR="008C5720">
        <w:t>, 15-16</w:t>
      </w:r>
      <w:r w:rsidRPr="00B17B04">
        <w:t xml:space="preserve"> </w:t>
      </w:r>
      <w:r w:rsidR="008C5720">
        <w:t>(2009)</w:t>
      </w:r>
      <w:r w:rsidRPr="00B17B04">
        <w:t>.</w:t>
      </w:r>
    </w:p>
    <w:p w14:paraId="07E60E86" w14:textId="77777777" w:rsidR="00642AF3" w:rsidRDefault="00642AF3" w:rsidP="00642AF3">
      <w:pPr>
        <w:pStyle w:val="EndNoteBibliography"/>
        <w:ind w:left="720" w:hanging="720"/>
      </w:pPr>
    </w:p>
    <w:p w14:paraId="0C3718CA" w14:textId="396D7DA1" w:rsidR="00642AF3" w:rsidRPr="00B17B04" w:rsidRDefault="00642AF3" w:rsidP="00642AF3">
      <w:pPr>
        <w:pStyle w:val="EndNoteBibliography"/>
        <w:ind w:left="720" w:hanging="720"/>
      </w:pPr>
      <w:r>
        <w:t>[</w:t>
      </w:r>
      <w:r w:rsidR="005571C2">
        <w:t>56</w:t>
      </w:r>
      <w:r>
        <w:t>]</w:t>
      </w:r>
      <w:r w:rsidRPr="00B17B04">
        <w:tab/>
      </w:r>
      <w:r w:rsidR="008C5720">
        <w:t xml:space="preserve">K. R. </w:t>
      </w:r>
      <w:r w:rsidRPr="00B17B04">
        <w:t>Hurdelbrink II, Z. Siddique, and M.</w:t>
      </w:r>
      <w:r w:rsidR="008C5720">
        <w:t xml:space="preserve"> </w:t>
      </w:r>
      <w:r w:rsidRPr="00B17B04">
        <w:t xml:space="preserve">C. Altan. </w:t>
      </w:r>
      <w:r w:rsidR="008C5720">
        <w:t>The coupled effect of microvoids and hydraulic fluid absorption on mechanical properties of quartz/BMI l</w:t>
      </w:r>
      <w:r w:rsidRPr="008C5720">
        <w:t>aminates.</w:t>
      </w:r>
      <w:r w:rsidRPr="00B17B04">
        <w:t xml:space="preserve"> </w:t>
      </w:r>
      <w:r w:rsidRPr="00B17B04">
        <w:rPr>
          <w:i/>
        </w:rPr>
        <w:t>American Society of Composites 29th Technical Conference</w:t>
      </w:r>
      <w:r w:rsidRPr="00B17B04">
        <w:t>. San Diego, CA.</w:t>
      </w:r>
      <w:r w:rsidR="008C5720">
        <w:t xml:space="preserve"> (</w:t>
      </w:r>
      <w:r w:rsidR="008C5720" w:rsidRPr="00B17B04">
        <w:t>2014</w:t>
      </w:r>
      <w:r w:rsidR="008C5720">
        <w:t>)</w:t>
      </w:r>
      <w:r w:rsidR="008C5720" w:rsidRPr="00B17B04">
        <w:t>.</w:t>
      </w:r>
    </w:p>
    <w:p w14:paraId="19B39328" w14:textId="77777777" w:rsidR="00642AF3" w:rsidRDefault="00642AF3" w:rsidP="00642AF3">
      <w:pPr>
        <w:pStyle w:val="EndNoteBibliography"/>
        <w:ind w:left="720" w:hanging="720"/>
      </w:pPr>
    </w:p>
    <w:p w14:paraId="38BEC311" w14:textId="6B291142" w:rsidR="00642AF3" w:rsidRPr="00B17B04" w:rsidRDefault="00642AF3" w:rsidP="00642AF3">
      <w:pPr>
        <w:pStyle w:val="EndNoteBibliography"/>
        <w:ind w:left="720" w:hanging="720"/>
      </w:pPr>
      <w:r>
        <w:t>[</w:t>
      </w:r>
      <w:r w:rsidR="005571C2">
        <w:t>57</w:t>
      </w:r>
      <w:r>
        <w:t>]</w:t>
      </w:r>
      <w:r w:rsidRPr="00B17B04">
        <w:tab/>
      </w:r>
      <w:r w:rsidR="008C5720">
        <w:t xml:space="preserve">L </w:t>
      </w:r>
      <w:r w:rsidRPr="00B17B04">
        <w:t>Aktas, Y.</w:t>
      </w:r>
      <w:r w:rsidR="008C5720">
        <w:t xml:space="preserve"> </w:t>
      </w:r>
      <w:r w:rsidRPr="00B17B04">
        <w:t>K. Hamidi, and M.</w:t>
      </w:r>
      <w:r w:rsidR="008C5720">
        <w:t xml:space="preserve"> </w:t>
      </w:r>
      <w:r w:rsidRPr="00B17B04">
        <w:t>C. Altan,</w:t>
      </w:r>
      <w:r w:rsidR="008C5720">
        <w:t xml:space="preserve"> Combined edge and anisotropy effects on Fickian mass diffusion in polymer composites.</w:t>
      </w:r>
      <w:r w:rsidRPr="00B17B04">
        <w:t xml:space="preserve"> </w:t>
      </w:r>
      <w:r w:rsidRPr="008C5720">
        <w:rPr>
          <w:i/>
        </w:rPr>
        <w:t xml:space="preserve">Journal of Engineering and Material Technology, </w:t>
      </w:r>
      <w:r w:rsidRPr="00B17B04">
        <w:rPr>
          <w:b/>
        </w:rPr>
        <w:t>126</w:t>
      </w:r>
      <w:r w:rsidR="008C5720">
        <w:t>, 4</w:t>
      </w:r>
      <w:r w:rsidRPr="00B17B04">
        <w:t xml:space="preserve"> </w:t>
      </w:r>
      <w:r w:rsidR="008C5720">
        <w:t>(2004)</w:t>
      </w:r>
      <w:r w:rsidRPr="00B17B04">
        <w:t>.</w:t>
      </w:r>
    </w:p>
    <w:p w14:paraId="7775B887" w14:textId="77777777" w:rsidR="00642AF3" w:rsidRDefault="00642AF3" w:rsidP="00642AF3">
      <w:pPr>
        <w:pStyle w:val="EndNoteBibliography"/>
        <w:ind w:left="720" w:hanging="720"/>
      </w:pPr>
    </w:p>
    <w:p w14:paraId="094E3A2C" w14:textId="2EB36892" w:rsidR="00642AF3" w:rsidRPr="00B17B04" w:rsidRDefault="00642AF3" w:rsidP="00642AF3">
      <w:pPr>
        <w:pStyle w:val="EndNoteBibliography"/>
        <w:ind w:left="720" w:hanging="720"/>
      </w:pPr>
      <w:r>
        <w:t>[</w:t>
      </w:r>
      <w:r w:rsidR="005571C2">
        <w:t>58</w:t>
      </w:r>
      <w:r>
        <w:t>]</w:t>
      </w:r>
      <w:r w:rsidRPr="00B17B04">
        <w:tab/>
      </w:r>
      <w:r w:rsidR="008C5720">
        <w:t xml:space="preserve">J. </w:t>
      </w:r>
      <w:r w:rsidRPr="00B17B04">
        <w:t xml:space="preserve">Crank, </w:t>
      </w:r>
      <w:r w:rsidR="008C5720">
        <w:t>The mathematics of d</w:t>
      </w:r>
      <w:r w:rsidRPr="008C5720">
        <w:t>iffusion.</w:t>
      </w:r>
      <w:r w:rsidR="008C5720">
        <w:t xml:space="preserve"> </w:t>
      </w:r>
      <w:r w:rsidR="008C5720" w:rsidRPr="008C5720">
        <w:rPr>
          <w:i/>
        </w:rPr>
        <w:t>Oxford University Press</w:t>
      </w:r>
      <w:r w:rsidR="008C5720">
        <w:t xml:space="preserve"> (1975).</w:t>
      </w:r>
    </w:p>
    <w:p w14:paraId="6E60E670" w14:textId="77777777" w:rsidR="00642AF3" w:rsidRDefault="00642AF3" w:rsidP="00642AF3">
      <w:pPr>
        <w:pStyle w:val="EndNoteBibliography"/>
        <w:ind w:left="720" w:hanging="720"/>
      </w:pPr>
    </w:p>
    <w:p w14:paraId="191A590B" w14:textId="08308E83" w:rsidR="00642AF3" w:rsidRPr="00B17B04" w:rsidRDefault="00642AF3" w:rsidP="00642AF3">
      <w:pPr>
        <w:pStyle w:val="EndNoteBibliography"/>
        <w:ind w:left="720" w:hanging="720"/>
      </w:pPr>
      <w:r>
        <w:t>[</w:t>
      </w:r>
      <w:r w:rsidR="005571C2">
        <w:t>59</w:t>
      </w:r>
      <w:r>
        <w:t>]</w:t>
      </w:r>
      <w:r w:rsidRPr="00B17B04">
        <w:tab/>
      </w:r>
      <w:r w:rsidR="00353888">
        <w:t xml:space="preserve">H. G. </w:t>
      </w:r>
      <w:r w:rsidRPr="00B17B04">
        <w:t>Carter, and K.</w:t>
      </w:r>
      <w:r w:rsidR="00353888">
        <w:t xml:space="preserve"> </w:t>
      </w:r>
      <w:r w:rsidRPr="00B17B04">
        <w:t xml:space="preserve">G. Kibler, </w:t>
      </w:r>
      <w:r w:rsidRPr="00353888">
        <w:t xml:space="preserve">Langmuir-Type Model for Anomalous Moisture Diffusion in Composite Resins. </w:t>
      </w:r>
      <w:r w:rsidRPr="00353888">
        <w:rPr>
          <w:i/>
        </w:rPr>
        <w:t>Journal of Composite Materials,</w:t>
      </w:r>
      <w:r w:rsidRPr="00B17B04">
        <w:t xml:space="preserve"> </w:t>
      </w:r>
      <w:r w:rsidRPr="00B17B04">
        <w:rPr>
          <w:b/>
        </w:rPr>
        <w:t>12</w:t>
      </w:r>
      <w:r w:rsidR="00353888">
        <w:t xml:space="preserve"> (1978)</w:t>
      </w:r>
      <w:r w:rsidRPr="00B17B04">
        <w:t>.</w:t>
      </w:r>
    </w:p>
    <w:p w14:paraId="68D4E470" w14:textId="77777777" w:rsidR="00642AF3" w:rsidRDefault="00642AF3" w:rsidP="00642AF3">
      <w:pPr>
        <w:pStyle w:val="EndNoteBibliography"/>
        <w:ind w:left="720" w:hanging="720"/>
      </w:pPr>
    </w:p>
    <w:p w14:paraId="22D6B12C" w14:textId="783AD964" w:rsidR="00642AF3" w:rsidRPr="00B17B04" w:rsidRDefault="00642AF3" w:rsidP="00642AF3">
      <w:pPr>
        <w:pStyle w:val="EndNoteBibliography"/>
        <w:ind w:left="720" w:hanging="720"/>
      </w:pPr>
      <w:r>
        <w:t>[</w:t>
      </w:r>
      <w:r w:rsidR="005571C2">
        <w:t>60</w:t>
      </w:r>
      <w:r>
        <w:t>]</w:t>
      </w:r>
      <w:r w:rsidRPr="00B17B04">
        <w:tab/>
      </w:r>
      <w:r w:rsidR="00BF55D5">
        <w:t xml:space="preserve">H. L. </w:t>
      </w:r>
      <w:r w:rsidRPr="00B17B04">
        <w:t>Frisch, and C.</w:t>
      </w:r>
      <w:r w:rsidR="00BF55D5">
        <w:t xml:space="preserve"> </w:t>
      </w:r>
      <w:r w:rsidRPr="00B17B04">
        <w:t xml:space="preserve">E. Rogers, </w:t>
      </w:r>
      <w:r w:rsidRPr="00BF55D5">
        <w:t>Transport in Polymers.</w:t>
      </w:r>
      <w:r w:rsidRPr="00B17B04">
        <w:t xml:space="preserve"> </w:t>
      </w:r>
      <w:r w:rsidRPr="00BF55D5">
        <w:rPr>
          <w:i/>
        </w:rPr>
        <w:t>Journal of Polymer Science Part C-Polymer Symposium,</w:t>
      </w:r>
      <w:r w:rsidRPr="00B17B04">
        <w:t xml:space="preserve"> </w:t>
      </w:r>
      <w:r w:rsidRPr="00B17B04">
        <w:rPr>
          <w:b/>
        </w:rPr>
        <w:t>12</w:t>
      </w:r>
      <w:r w:rsidR="00BF55D5">
        <w:t>, 12PC (</w:t>
      </w:r>
      <w:r w:rsidR="00BF55D5" w:rsidRPr="00B17B04">
        <w:t>196</w:t>
      </w:r>
      <w:r w:rsidR="00BF55D5">
        <w:t>6).</w:t>
      </w:r>
    </w:p>
    <w:p w14:paraId="62342812" w14:textId="77777777" w:rsidR="00642AF3" w:rsidRDefault="00642AF3" w:rsidP="00642AF3">
      <w:pPr>
        <w:pStyle w:val="EndNoteBibliography"/>
        <w:ind w:left="720" w:hanging="720"/>
      </w:pPr>
    </w:p>
    <w:p w14:paraId="4409B7C4" w14:textId="08A5BB6B" w:rsidR="00642AF3" w:rsidRPr="00B17B04" w:rsidRDefault="00642AF3" w:rsidP="00642AF3">
      <w:pPr>
        <w:pStyle w:val="EndNoteBibliography"/>
        <w:ind w:left="720" w:hanging="720"/>
      </w:pPr>
      <w:r>
        <w:t>[</w:t>
      </w:r>
      <w:r w:rsidR="005571C2">
        <w:t>61</w:t>
      </w:r>
      <w:r>
        <w:t>]</w:t>
      </w:r>
      <w:r w:rsidRPr="00B17B04">
        <w:tab/>
        <w:t xml:space="preserve">S. Roy, </w:t>
      </w:r>
      <w:r w:rsidR="00106A45">
        <w:t xml:space="preserve">W. X. Xu </w:t>
      </w:r>
      <w:r w:rsidRPr="00B17B04">
        <w:t>S.</w:t>
      </w:r>
      <w:r w:rsidR="00106A45">
        <w:t xml:space="preserve"> </w:t>
      </w:r>
      <w:r w:rsidRPr="00B17B04">
        <w:t>J.</w:t>
      </w:r>
      <w:r w:rsidR="00106A45">
        <w:t xml:space="preserve"> </w:t>
      </w:r>
      <w:r w:rsidRPr="00B17B04">
        <w:t>P</w:t>
      </w:r>
      <w:r w:rsidR="00106A45">
        <w:t>ark</w:t>
      </w:r>
      <w:r w:rsidRPr="00B17B04">
        <w:t>,</w:t>
      </w:r>
      <w:r w:rsidR="00106A45">
        <w:t xml:space="preserve"> and</w:t>
      </w:r>
      <w:r w:rsidRPr="00B17B04">
        <w:t xml:space="preserve"> K.</w:t>
      </w:r>
      <w:r w:rsidR="00106A45">
        <w:t xml:space="preserve"> </w:t>
      </w:r>
      <w:r w:rsidRPr="00B17B04">
        <w:t xml:space="preserve">M. Liechti, </w:t>
      </w:r>
      <w:r w:rsidRPr="00106A45">
        <w:t xml:space="preserve">Anomalous moisture diffusion in viscoelastic polymers: modeling and testing. </w:t>
      </w:r>
      <w:r w:rsidRPr="00106A45">
        <w:rPr>
          <w:i/>
        </w:rPr>
        <w:t>Journal of Applied Mechanics,</w:t>
      </w:r>
      <w:r w:rsidRPr="00B17B04">
        <w:t xml:space="preserve"> </w:t>
      </w:r>
      <w:r w:rsidRPr="00B17B04">
        <w:rPr>
          <w:b/>
        </w:rPr>
        <w:t>67</w:t>
      </w:r>
      <w:r w:rsidR="00106A45">
        <w:t>, 2 (2000)</w:t>
      </w:r>
      <w:r w:rsidRPr="00B17B04">
        <w:t>.</w:t>
      </w:r>
    </w:p>
    <w:p w14:paraId="056D6329" w14:textId="77777777" w:rsidR="00CE5424" w:rsidRDefault="00CE5424" w:rsidP="00F47BAB">
      <w:pPr>
        <w:spacing w:after="240" w:line="240" w:lineRule="auto"/>
        <w:ind w:left="360" w:hanging="360"/>
      </w:pPr>
      <w:r>
        <w:br w:type="page"/>
      </w:r>
    </w:p>
    <w:p w14:paraId="5081E1BA" w14:textId="79711CF2" w:rsidR="00F96D4F" w:rsidRDefault="00F96D4F" w:rsidP="00F96D4F">
      <w:pPr>
        <w:pStyle w:val="Heading1"/>
      </w:pPr>
      <w:bookmarkStart w:id="330" w:name="_Toc346311049"/>
      <w:r>
        <w:t>appendix a:</w:t>
      </w:r>
      <w:r w:rsidR="00C57F86">
        <w:t xml:space="preserve"> Specimen Averages for Property Functions</w:t>
      </w:r>
      <w:bookmarkEnd w:id="330"/>
    </w:p>
    <w:p w14:paraId="52E77015" w14:textId="57071FBA" w:rsidR="0049383C" w:rsidRPr="00C16655" w:rsidRDefault="0049383C" w:rsidP="0049383C">
      <w:pPr>
        <w:pStyle w:val="Caption"/>
        <w:keepNext/>
        <w:spacing w:line="240" w:lineRule="auto"/>
        <w:jc w:val="center"/>
        <w:rPr>
          <w:sz w:val="24"/>
        </w:rPr>
      </w:pPr>
      <w:bookmarkStart w:id="331" w:name="_Toc346310861"/>
      <w:r w:rsidRPr="00C16655">
        <w:rPr>
          <w:sz w:val="24"/>
        </w:rPr>
        <w:t xml:space="preserve">Table </w:t>
      </w:r>
      <w:r>
        <w:rPr>
          <w:sz w:val="24"/>
        </w:rPr>
        <w:t>A</w:t>
      </w:r>
      <w:r w:rsidR="00707D23">
        <w:rPr>
          <w:sz w:val="24"/>
        </w:rPr>
        <w:t>.</w:t>
      </w:r>
      <w:r w:rsidR="00707D23">
        <w:rPr>
          <w:sz w:val="24"/>
        </w:rPr>
        <w:fldChar w:fldCharType="begin"/>
      </w:r>
      <w:r w:rsidR="00707D23">
        <w:rPr>
          <w:sz w:val="24"/>
        </w:rPr>
        <w:instrText xml:space="preserve"> SEQ Table \* ARABIC \s 1 </w:instrText>
      </w:r>
      <w:r w:rsidR="00707D23">
        <w:rPr>
          <w:sz w:val="24"/>
        </w:rPr>
        <w:fldChar w:fldCharType="separate"/>
      </w:r>
      <w:r w:rsidR="008A1992">
        <w:rPr>
          <w:noProof/>
          <w:sz w:val="24"/>
        </w:rPr>
        <w:t>1</w:t>
      </w:r>
      <w:r w:rsidR="00707D23">
        <w:rPr>
          <w:sz w:val="24"/>
        </w:rPr>
        <w:fldChar w:fldCharType="end"/>
      </w:r>
      <w:r w:rsidRPr="00C16655">
        <w:rPr>
          <w:sz w:val="24"/>
        </w:rPr>
        <w:t xml:space="preserve"> Average fiber volume fraction and 95% confidence interval for</w:t>
      </w:r>
      <w:r>
        <w:rPr>
          <w:sz w:val="24"/>
        </w:rPr>
        <w:t xml:space="preserve"> the</w:t>
      </w:r>
      <w:r w:rsidRPr="00C16655">
        <w:rPr>
          <w:sz w:val="24"/>
        </w:rPr>
        <w:t xml:space="preserve"> </w:t>
      </w:r>
      <w:proofErr w:type="gramStart"/>
      <w:r w:rsidRPr="00C16655">
        <w:rPr>
          <w:sz w:val="24"/>
        </w:rPr>
        <w:t>three prepreg</w:t>
      </w:r>
      <w:proofErr w:type="gramEnd"/>
      <w:r w:rsidRPr="00C16655">
        <w:rPr>
          <w:sz w:val="24"/>
        </w:rPr>
        <w:t xml:space="preserve"> materials</w:t>
      </w:r>
      <w:bookmarkEnd w:id="331"/>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
        <w:gridCol w:w="1310"/>
        <w:gridCol w:w="871"/>
        <w:gridCol w:w="360"/>
        <w:gridCol w:w="871"/>
        <w:gridCol w:w="871"/>
        <w:gridCol w:w="360"/>
        <w:gridCol w:w="871"/>
        <w:gridCol w:w="872"/>
        <w:gridCol w:w="360"/>
        <w:gridCol w:w="872"/>
      </w:tblGrid>
      <w:tr w:rsidR="0049383C" w14:paraId="5C6D7B81" w14:textId="77777777" w:rsidTr="0049383C">
        <w:trPr>
          <w:cantSplit/>
          <w:trHeight w:val="1584"/>
          <w:jc w:val="center"/>
        </w:trPr>
        <w:tc>
          <w:tcPr>
            <w:tcW w:w="2181" w:type="dxa"/>
            <w:gridSpan w:val="2"/>
            <w:tcBorders>
              <w:bottom w:val="single" w:sz="18" w:space="0" w:color="auto"/>
            </w:tcBorders>
            <w:vAlign w:val="bottom"/>
          </w:tcPr>
          <w:p w14:paraId="13C3A6EE" w14:textId="77777777" w:rsidR="0049383C" w:rsidRPr="00386413" w:rsidRDefault="0049383C" w:rsidP="0049383C">
            <w:pPr>
              <w:spacing w:line="240" w:lineRule="auto"/>
              <w:jc w:val="center"/>
              <w:rPr>
                <w:b/>
              </w:rPr>
            </w:pPr>
            <w:r w:rsidRPr="00386413">
              <w:rPr>
                <w:b/>
              </w:rPr>
              <w:t xml:space="preserve">Prepreg Conditioning </w:t>
            </w:r>
          </w:p>
          <w:p w14:paraId="53E7AF02" w14:textId="77777777" w:rsidR="0049383C" w:rsidRDefault="0049383C" w:rsidP="0049383C">
            <w:pPr>
              <w:spacing w:line="240" w:lineRule="auto"/>
              <w:jc w:val="center"/>
            </w:pPr>
            <w:r w:rsidRPr="00386413">
              <w:rPr>
                <w:b/>
              </w:rPr>
              <w:t>(% RH) &amp; Fabrication Pressure (kPa)</w:t>
            </w:r>
          </w:p>
        </w:tc>
        <w:tc>
          <w:tcPr>
            <w:tcW w:w="2102" w:type="dxa"/>
            <w:gridSpan w:val="3"/>
            <w:tcBorders>
              <w:bottom w:val="single" w:sz="18" w:space="0" w:color="auto"/>
            </w:tcBorders>
            <w:vAlign w:val="bottom"/>
          </w:tcPr>
          <w:p w14:paraId="7A31C28E" w14:textId="77777777" w:rsidR="0049383C" w:rsidRPr="00386413" w:rsidRDefault="0049383C" w:rsidP="0049383C">
            <w:pPr>
              <w:spacing w:line="240" w:lineRule="auto"/>
              <w:jc w:val="center"/>
              <w:rPr>
                <w:b/>
              </w:rPr>
            </w:pPr>
            <w:r w:rsidRPr="00386413">
              <w:rPr>
                <w:b/>
              </w:rPr>
              <w:t>Quartz / BMI</w:t>
            </w:r>
          </w:p>
        </w:tc>
        <w:tc>
          <w:tcPr>
            <w:tcW w:w="2102" w:type="dxa"/>
            <w:gridSpan w:val="3"/>
            <w:tcBorders>
              <w:bottom w:val="single" w:sz="18" w:space="0" w:color="auto"/>
            </w:tcBorders>
            <w:vAlign w:val="bottom"/>
          </w:tcPr>
          <w:p w14:paraId="6201B1D4" w14:textId="77777777" w:rsidR="0049383C" w:rsidRPr="00386413" w:rsidRDefault="0049383C" w:rsidP="0049383C">
            <w:pPr>
              <w:spacing w:line="240" w:lineRule="auto"/>
              <w:jc w:val="center"/>
              <w:rPr>
                <w:b/>
              </w:rPr>
            </w:pPr>
            <w:r w:rsidRPr="00386413">
              <w:rPr>
                <w:b/>
              </w:rPr>
              <w:t>Quartz / Epoxy</w:t>
            </w:r>
          </w:p>
        </w:tc>
        <w:tc>
          <w:tcPr>
            <w:tcW w:w="2104" w:type="dxa"/>
            <w:gridSpan w:val="3"/>
            <w:tcBorders>
              <w:bottom w:val="single" w:sz="18" w:space="0" w:color="auto"/>
            </w:tcBorders>
            <w:vAlign w:val="bottom"/>
          </w:tcPr>
          <w:p w14:paraId="760FEFBF" w14:textId="77777777" w:rsidR="0049383C" w:rsidRPr="00386413" w:rsidRDefault="0049383C" w:rsidP="0049383C">
            <w:pPr>
              <w:spacing w:line="240" w:lineRule="auto"/>
              <w:jc w:val="center"/>
              <w:rPr>
                <w:b/>
              </w:rPr>
            </w:pPr>
            <w:r w:rsidRPr="00386413">
              <w:rPr>
                <w:b/>
              </w:rPr>
              <w:t>Carbon / Epoxy</w:t>
            </w:r>
          </w:p>
        </w:tc>
      </w:tr>
      <w:tr w:rsidR="0049383C" w14:paraId="12D0A76F" w14:textId="77777777" w:rsidTr="0049383C">
        <w:trPr>
          <w:cantSplit/>
          <w:trHeight w:val="360"/>
          <w:jc w:val="center"/>
        </w:trPr>
        <w:tc>
          <w:tcPr>
            <w:tcW w:w="871" w:type="dxa"/>
            <w:vMerge w:val="restart"/>
            <w:tcBorders>
              <w:top w:val="single" w:sz="18" w:space="0" w:color="auto"/>
              <w:left w:val="single" w:sz="6" w:space="0" w:color="auto"/>
            </w:tcBorders>
            <w:textDirection w:val="btLr"/>
            <w:vAlign w:val="center"/>
          </w:tcPr>
          <w:p w14:paraId="6F27ED49" w14:textId="77777777" w:rsidR="0049383C" w:rsidRDefault="0049383C" w:rsidP="0049383C">
            <w:pPr>
              <w:spacing w:line="240" w:lineRule="auto"/>
              <w:ind w:left="113" w:right="113"/>
              <w:jc w:val="center"/>
            </w:pPr>
            <w:r>
              <w:t>2% RH</w:t>
            </w:r>
          </w:p>
        </w:tc>
        <w:tc>
          <w:tcPr>
            <w:tcW w:w="1310" w:type="dxa"/>
            <w:tcBorders>
              <w:top w:val="single" w:sz="18" w:space="0" w:color="auto"/>
              <w:right w:val="single" w:sz="6" w:space="0" w:color="auto"/>
            </w:tcBorders>
            <w:vAlign w:val="center"/>
          </w:tcPr>
          <w:p w14:paraId="69C6F929" w14:textId="77777777" w:rsidR="0049383C" w:rsidRDefault="0049383C" w:rsidP="0049383C">
            <w:pPr>
              <w:spacing w:line="240" w:lineRule="auto"/>
              <w:jc w:val="center"/>
            </w:pPr>
            <w:r>
              <w:t>68.9</w:t>
            </w:r>
          </w:p>
        </w:tc>
        <w:tc>
          <w:tcPr>
            <w:tcW w:w="871" w:type="dxa"/>
            <w:tcBorders>
              <w:top w:val="single" w:sz="18" w:space="0" w:color="auto"/>
              <w:left w:val="single" w:sz="6" w:space="0" w:color="auto"/>
            </w:tcBorders>
            <w:vAlign w:val="center"/>
          </w:tcPr>
          <w:p w14:paraId="11518C9D" w14:textId="77777777" w:rsidR="0049383C" w:rsidRDefault="0049383C" w:rsidP="0049383C">
            <w:pPr>
              <w:spacing w:line="240" w:lineRule="auto"/>
              <w:jc w:val="right"/>
            </w:pPr>
            <w:r>
              <w:t>50.72</w:t>
            </w:r>
          </w:p>
        </w:tc>
        <w:tc>
          <w:tcPr>
            <w:tcW w:w="360" w:type="dxa"/>
            <w:tcBorders>
              <w:top w:val="single" w:sz="18" w:space="0" w:color="auto"/>
            </w:tcBorders>
            <w:vAlign w:val="center"/>
          </w:tcPr>
          <w:p w14:paraId="008C1A09" w14:textId="77777777" w:rsidR="0049383C" w:rsidRDefault="0049383C" w:rsidP="0049383C">
            <w:pPr>
              <w:spacing w:line="240" w:lineRule="auto"/>
              <w:jc w:val="center"/>
            </w:pPr>
            <w:r>
              <w:t>±</w:t>
            </w:r>
          </w:p>
        </w:tc>
        <w:tc>
          <w:tcPr>
            <w:tcW w:w="871" w:type="dxa"/>
            <w:tcBorders>
              <w:top w:val="single" w:sz="18" w:space="0" w:color="auto"/>
              <w:right w:val="single" w:sz="6" w:space="0" w:color="auto"/>
            </w:tcBorders>
            <w:vAlign w:val="center"/>
          </w:tcPr>
          <w:p w14:paraId="19CF8B30" w14:textId="77777777" w:rsidR="0049383C" w:rsidRDefault="0049383C" w:rsidP="0049383C">
            <w:pPr>
              <w:spacing w:line="240" w:lineRule="auto"/>
              <w:jc w:val="left"/>
            </w:pPr>
            <w:r>
              <w:t>2.88</w:t>
            </w:r>
          </w:p>
        </w:tc>
        <w:tc>
          <w:tcPr>
            <w:tcW w:w="871" w:type="dxa"/>
            <w:tcBorders>
              <w:top w:val="single" w:sz="18" w:space="0" w:color="auto"/>
              <w:left w:val="single" w:sz="6" w:space="0" w:color="auto"/>
            </w:tcBorders>
            <w:vAlign w:val="center"/>
          </w:tcPr>
          <w:p w14:paraId="4A1B6197" w14:textId="77777777" w:rsidR="0049383C" w:rsidRDefault="0049383C" w:rsidP="0049383C">
            <w:pPr>
              <w:spacing w:line="240" w:lineRule="auto"/>
              <w:jc w:val="right"/>
            </w:pPr>
            <w:r>
              <w:t>49.04</w:t>
            </w:r>
          </w:p>
        </w:tc>
        <w:tc>
          <w:tcPr>
            <w:tcW w:w="360" w:type="dxa"/>
            <w:tcBorders>
              <w:top w:val="single" w:sz="18" w:space="0" w:color="auto"/>
            </w:tcBorders>
            <w:vAlign w:val="center"/>
          </w:tcPr>
          <w:p w14:paraId="177BC931" w14:textId="77777777" w:rsidR="0049383C" w:rsidRDefault="0049383C" w:rsidP="0049383C">
            <w:pPr>
              <w:spacing w:line="240" w:lineRule="auto"/>
              <w:jc w:val="center"/>
            </w:pPr>
            <w:r>
              <w:t>±</w:t>
            </w:r>
          </w:p>
        </w:tc>
        <w:tc>
          <w:tcPr>
            <w:tcW w:w="871" w:type="dxa"/>
            <w:tcBorders>
              <w:top w:val="single" w:sz="18" w:space="0" w:color="auto"/>
              <w:right w:val="single" w:sz="6" w:space="0" w:color="auto"/>
            </w:tcBorders>
            <w:vAlign w:val="center"/>
          </w:tcPr>
          <w:p w14:paraId="02E22B2E" w14:textId="77777777" w:rsidR="0049383C" w:rsidRDefault="0049383C" w:rsidP="0049383C">
            <w:pPr>
              <w:spacing w:line="240" w:lineRule="auto"/>
              <w:jc w:val="left"/>
            </w:pPr>
            <w:r>
              <w:t>4.23</w:t>
            </w:r>
          </w:p>
        </w:tc>
        <w:tc>
          <w:tcPr>
            <w:tcW w:w="872" w:type="dxa"/>
            <w:tcBorders>
              <w:top w:val="single" w:sz="18" w:space="0" w:color="auto"/>
              <w:left w:val="single" w:sz="6" w:space="0" w:color="auto"/>
            </w:tcBorders>
            <w:vAlign w:val="center"/>
          </w:tcPr>
          <w:p w14:paraId="399F370A" w14:textId="77777777" w:rsidR="0049383C" w:rsidRDefault="0049383C" w:rsidP="0049383C">
            <w:pPr>
              <w:spacing w:line="240" w:lineRule="auto"/>
              <w:jc w:val="right"/>
            </w:pPr>
            <w:r>
              <w:t>55.24</w:t>
            </w:r>
          </w:p>
        </w:tc>
        <w:tc>
          <w:tcPr>
            <w:tcW w:w="360" w:type="dxa"/>
            <w:tcBorders>
              <w:top w:val="single" w:sz="18" w:space="0" w:color="auto"/>
            </w:tcBorders>
            <w:vAlign w:val="center"/>
          </w:tcPr>
          <w:p w14:paraId="2C0F3E5F" w14:textId="77777777" w:rsidR="0049383C" w:rsidRDefault="0049383C" w:rsidP="0049383C">
            <w:pPr>
              <w:spacing w:line="240" w:lineRule="auto"/>
              <w:jc w:val="center"/>
            </w:pPr>
            <w:r>
              <w:t>±</w:t>
            </w:r>
          </w:p>
        </w:tc>
        <w:tc>
          <w:tcPr>
            <w:tcW w:w="872" w:type="dxa"/>
            <w:tcBorders>
              <w:top w:val="single" w:sz="18" w:space="0" w:color="auto"/>
              <w:right w:val="single" w:sz="6" w:space="0" w:color="auto"/>
            </w:tcBorders>
            <w:vAlign w:val="center"/>
          </w:tcPr>
          <w:p w14:paraId="5FD894C8" w14:textId="77777777" w:rsidR="0049383C" w:rsidRDefault="0049383C" w:rsidP="0049383C">
            <w:pPr>
              <w:spacing w:line="240" w:lineRule="auto"/>
              <w:jc w:val="left"/>
            </w:pPr>
            <w:r>
              <w:t>3.14</w:t>
            </w:r>
          </w:p>
        </w:tc>
      </w:tr>
      <w:tr w:rsidR="0049383C" w14:paraId="03381A85" w14:textId="77777777" w:rsidTr="0049383C">
        <w:trPr>
          <w:cantSplit/>
          <w:trHeight w:val="360"/>
          <w:jc w:val="center"/>
        </w:trPr>
        <w:tc>
          <w:tcPr>
            <w:tcW w:w="871" w:type="dxa"/>
            <w:vMerge/>
            <w:tcBorders>
              <w:left w:val="single" w:sz="6" w:space="0" w:color="auto"/>
            </w:tcBorders>
            <w:vAlign w:val="center"/>
          </w:tcPr>
          <w:p w14:paraId="69B3FA94" w14:textId="77777777" w:rsidR="0049383C" w:rsidRDefault="0049383C" w:rsidP="0049383C">
            <w:pPr>
              <w:spacing w:line="240" w:lineRule="auto"/>
              <w:jc w:val="center"/>
            </w:pPr>
          </w:p>
        </w:tc>
        <w:tc>
          <w:tcPr>
            <w:tcW w:w="1310" w:type="dxa"/>
            <w:tcBorders>
              <w:right w:val="single" w:sz="6" w:space="0" w:color="auto"/>
            </w:tcBorders>
            <w:vAlign w:val="center"/>
          </w:tcPr>
          <w:p w14:paraId="38A0F4E1" w14:textId="77777777" w:rsidR="0049383C" w:rsidRDefault="0049383C" w:rsidP="0049383C">
            <w:pPr>
              <w:spacing w:line="240" w:lineRule="auto"/>
              <w:jc w:val="center"/>
            </w:pPr>
            <w:r>
              <w:t>206.8</w:t>
            </w:r>
          </w:p>
        </w:tc>
        <w:tc>
          <w:tcPr>
            <w:tcW w:w="871" w:type="dxa"/>
            <w:tcBorders>
              <w:left w:val="single" w:sz="6" w:space="0" w:color="auto"/>
            </w:tcBorders>
            <w:vAlign w:val="center"/>
          </w:tcPr>
          <w:p w14:paraId="11DF31E9" w14:textId="77777777" w:rsidR="0049383C" w:rsidRDefault="0049383C" w:rsidP="0049383C">
            <w:pPr>
              <w:spacing w:line="240" w:lineRule="auto"/>
              <w:jc w:val="right"/>
            </w:pPr>
            <w:r>
              <w:t>60.67</w:t>
            </w:r>
          </w:p>
        </w:tc>
        <w:tc>
          <w:tcPr>
            <w:tcW w:w="360" w:type="dxa"/>
            <w:vAlign w:val="center"/>
          </w:tcPr>
          <w:p w14:paraId="3A8A66C6" w14:textId="77777777" w:rsidR="0049383C" w:rsidRDefault="0049383C" w:rsidP="0049383C">
            <w:pPr>
              <w:spacing w:line="240" w:lineRule="auto"/>
              <w:jc w:val="center"/>
            </w:pPr>
            <w:r>
              <w:t>±</w:t>
            </w:r>
          </w:p>
        </w:tc>
        <w:tc>
          <w:tcPr>
            <w:tcW w:w="871" w:type="dxa"/>
            <w:tcBorders>
              <w:right w:val="single" w:sz="6" w:space="0" w:color="auto"/>
            </w:tcBorders>
            <w:vAlign w:val="center"/>
          </w:tcPr>
          <w:p w14:paraId="6A959D6F" w14:textId="77777777" w:rsidR="0049383C" w:rsidRDefault="0049383C" w:rsidP="0049383C">
            <w:pPr>
              <w:spacing w:line="240" w:lineRule="auto"/>
              <w:jc w:val="left"/>
            </w:pPr>
            <w:r>
              <w:t>5.12</w:t>
            </w:r>
          </w:p>
        </w:tc>
        <w:tc>
          <w:tcPr>
            <w:tcW w:w="871" w:type="dxa"/>
            <w:tcBorders>
              <w:left w:val="single" w:sz="6" w:space="0" w:color="auto"/>
            </w:tcBorders>
            <w:vAlign w:val="center"/>
          </w:tcPr>
          <w:p w14:paraId="08C58D8F" w14:textId="77777777" w:rsidR="0049383C" w:rsidRDefault="0049383C" w:rsidP="0049383C">
            <w:pPr>
              <w:spacing w:line="240" w:lineRule="auto"/>
              <w:jc w:val="right"/>
            </w:pPr>
            <w:r>
              <w:t>53.21</w:t>
            </w:r>
          </w:p>
        </w:tc>
        <w:tc>
          <w:tcPr>
            <w:tcW w:w="360" w:type="dxa"/>
            <w:vAlign w:val="center"/>
          </w:tcPr>
          <w:p w14:paraId="1DD45F73" w14:textId="77777777" w:rsidR="0049383C" w:rsidRDefault="0049383C" w:rsidP="0049383C">
            <w:pPr>
              <w:spacing w:line="240" w:lineRule="auto"/>
              <w:jc w:val="center"/>
            </w:pPr>
            <w:r>
              <w:t>±</w:t>
            </w:r>
          </w:p>
        </w:tc>
        <w:tc>
          <w:tcPr>
            <w:tcW w:w="871" w:type="dxa"/>
            <w:tcBorders>
              <w:right w:val="single" w:sz="6" w:space="0" w:color="auto"/>
            </w:tcBorders>
            <w:vAlign w:val="center"/>
          </w:tcPr>
          <w:p w14:paraId="775E709A" w14:textId="77777777" w:rsidR="0049383C" w:rsidRDefault="0049383C" w:rsidP="0049383C">
            <w:pPr>
              <w:spacing w:line="240" w:lineRule="auto"/>
              <w:jc w:val="left"/>
            </w:pPr>
            <w:r>
              <w:t>2.30</w:t>
            </w:r>
          </w:p>
        </w:tc>
        <w:tc>
          <w:tcPr>
            <w:tcW w:w="872" w:type="dxa"/>
            <w:tcBorders>
              <w:left w:val="single" w:sz="6" w:space="0" w:color="auto"/>
            </w:tcBorders>
            <w:vAlign w:val="center"/>
          </w:tcPr>
          <w:p w14:paraId="7D12BC20" w14:textId="77777777" w:rsidR="0049383C" w:rsidRDefault="0049383C" w:rsidP="0049383C">
            <w:pPr>
              <w:spacing w:line="240" w:lineRule="auto"/>
              <w:jc w:val="right"/>
            </w:pPr>
            <w:r>
              <w:t>61.73</w:t>
            </w:r>
          </w:p>
        </w:tc>
        <w:tc>
          <w:tcPr>
            <w:tcW w:w="360" w:type="dxa"/>
            <w:vAlign w:val="center"/>
          </w:tcPr>
          <w:p w14:paraId="52C82550" w14:textId="77777777" w:rsidR="0049383C" w:rsidRDefault="0049383C" w:rsidP="0049383C">
            <w:pPr>
              <w:spacing w:line="240" w:lineRule="auto"/>
              <w:jc w:val="center"/>
            </w:pPr>
            <w:r>
              <w:t>±</w:t>
            </w:r>
          </w:p>
        </w:tc>
        <w:tc>
          <w:tcPr>
            <w:tcW w:w="872" w:type="dxa"/>
            <w:tcBorders>
              <w:right w:val="single" w:sz="6" w:space="0" w:color="auto"/>
            </w:tcBorders>
            <w:vAlign w:val="center"/>
          </w:tcPr>
          <w:p w14:paraId="634C5A7B" w14:textId="77777777" w:rsidR="0049383C" w:rsidRDefault="0049383C" w:rsidP="0049383C">
            <w:pPr>
              <w:spacing w:line="240" w:lineRule="auto"/>
              <w:jc w:val="left"/>
            </w:pPr>
            <w:r>
              <w:t>1.67</w:t>
            </w:r>
          </w:p>
        </w:tc>
      </w:tr>
      <w:tr w:rsidR="0049383C" w14:paraId="211A511E" w14:textId="77777777" w:rsidTr="0049383C">
        <w:trPr>
          <w:cantSplit/>
          <w:trHeight w:val="360"/>
          <w:jc w:val="center"/>
        </w:trPr>
        <w:tc>
          <w:tcPr>
            <w:tcW w:w="871" w:type="dxa"/>
            <w:vMerge/>
            <w:tcBorders>
              <w:left w:val="single" w:sz="6" w:space="0" w:color="auto"/>
            </w:tcBorders>
            <w:vAlign w:val="center"/>
          </w:tcPr>
          <w:p w14:paraId="1A5E2122" w14:textId="77777777" w:rsidR="0049383C" w:rsidRDefault="0049383C" w:rsidP="0049383C">
            <w:pPr>
              <w:spacing w:line="240" w:lineRule="auto"/>
              <w:jc w:val="center"/>
            </w:pPr>
          </w:p>
        </w:tc>
        <w:tc>
          <w:tcPr>
            <w:tcW w:w="1310" w:type="dxa"/>
            <w:tcBorders>
              <w:right w:val="single" w:sz="6" w:space="0" w:color="auto"/>
            </w:tcBorders>
            <w:vAlign w:val="center"/>
          </w:tcPr>
          <w:p w14:paraId="2829CD67" w14:textId="77777777" w:rsidR="0049383C" w:rsidRDefault="0049383C" w:rsidP="0049383C">
            <w:pPr>
              <w:spacing w:line="240" w:lineRule="auto"/>
              <w:jc w:val="center"/>
            </w:pPr>
            <w:r>
              <w:t>344.7</w:t>
            </w:r>
          </w:p>
        </w:tc>
        <w:tc>
          <w:tcPr>
            <w:tcW w:w="871" w:type="dxa"/>
            <w:tcBorders>
              <w:left w:val="single" w:sz="6" w:space="0" w:color="auto"/>
            </w:tcBorders>
            <w:vAlign w:val="center"/>
          </w:tcPr>
          <w:p w14:paraId="66B9ADCD" w14:textId="77777777" w:rsidR="0049383C" w:rsidRDefault="0049383C" w:rsidP="0049383C">
            <w:pPr>
              <w:spacing w:line="240" w:lineRule="auto"/>
              <w:jc w:val="right"/>
            </w:pPr>
            <w:r>
              <w:t>61.82</w:t>
            </w:r>
          </w:p>
        </w:tc>
        <w:tc>
          <w:tcPr>
            <w:tcW w:w="360" w:type="dxa"/>
            <w:vAlign w:val="center"/>
          </w:tcPr>
          <w:p w14:paraId="7C4D72F3" w14:textId="77777777" w:rsidR="0049383C" w:rsidRDefault="0049383C" w:rsidP="0049383C">
            <w:pPr>
              <w:spacing w:line="240" w:lineRule="auto"/>
              <w:jc w:val="center"/>
            </w:pPr>
            <w:r>
              <w:t>±</w:t>
            </w:r>
          </w:p>
        </w:tc>
        <w:tc>
          <w:tcPr>
            <w:tcW w:w="871" w:type="dxa"/>
            <w:tcBorders>
              <w:right w:val="single" w:sz="6" w:space="0" w:color="auto"/>
            </w:tcBorders>
            <w:vAlign w:val="center"/>
          </w:tcPr>
          <w:p w14:paraId="423FE08B" w14:textId="77777777" w:rsidR="0049383C" w:rsidRDefault="0049383C" w:rsidP="0049383C">
            <w:pPr>
              <w:spacing w:line="240" w:lineRule="auto"/>
              <w:jc w:val="left"/>
            </w:pPr>
            <w:r>
              <w:t>2.49</w:t>
            </w:r>
          </w:p>
        </w:tc>
        <w:tc>
          <w:tcPr>
            <w:tcW w:w="871" w:type="dxa"/>
            <w:tcBorders>
              <w:left w:val="single" w:sz="6" w:space="0" w:color="auto"/>
            </w:tcBorders>
            <w:vAlign w:val="center"/>
          </w:tcPr>
          <w:p w14:paraId="27960F89" w14:textId="77777777" w:rsidR="0049383C" w:rsidRDefault="0049383C" w:rsidP="0049383C">
            <w:pPr>
              <w:spacing w:line="240" w:lineRule="auto"/>
              <w:jc w:val="right"/>
            </w:pPr>
            <w:r>
              <w:t>58.17</w:t>
            </w:r>
          </w:p>
        </w:tc>
        <w:tc>
          <w:tcPr>
            <w:tcW w:w="360" w:type="dxa"/>
            <w:vAlign w:val="center"/>
          </w:tcPr>
          <w:p w14:paraId="42DEC8D8" w14:textId="77777777" w:rsidR="0049383C" w:rsidRDefault="0049383C" w:rsidP="0049383C">
            <w:pPr>
              <w:spacing w:line="240" w:lineRule="auto"/>
              <w:jc w:val="center"/>
            </w:pPr>
            <w:r>
              <w:t>±</w:t>
            </w:r>
          </w:p>
        </w:tc>
        <w:tc>
          <w:tcPr>
            <w:tcW w:w="871" w:type="dxa"/>
            <w:tcBorders>
              <w:right w:val="single" w:sz="6" w:space="0" w:color="auto"/>
            </w:tcBorders>
            <w:vAlign w:val="center"/>
          </w:tcPr>
          <w:p w14:paraId="77CBEAA5" w14:textId="77777777" w:rsidR="0049383C" w:rsidRDefault="0049383C" w:rsidP="0049383C">
            <w:pPr>
              <w:spacing w:line="240" w:lineRule="auto"/>
              <w:jc w:val="left"/>
            </w:pPr>
            <w:r>
              <w:t>3.25</w:t>
            </w:r>
          </w:p>
        </w:tc>
        <w:tc>
          <w:tcPr>
            <w:tcW w:w="872" w:type="dxa"/>
            <w:tcBorders>
              <w:left w:val="single" w:sz="6" w:space="0" w:color="auto"/>
            </w:tcBorders>
            <w:vAlign w:val="center"/>
          </w:tcPr>
          <w:p w14:paraId="64F5B686" w14:textId="77777777" w:rsidR="0049383C" w:rsidRDefault="0049383C" w:rsidP="0049383C">
            <w:pPr>
              <w:spacing w:line="240" w:lineRule="auto"/>
              <w:jc w:val="right"/>
            </w:pPr>
            <w:r>
              <w:t>62.00</w:t>
            </w:r>
          </w:p>
        </w:tc>
        <w:tc>
          <w:tcPr>
            <w:tcW w:w="360" w:type="dxa"/>
            <w:vAlign w:val="center"/>
          </w:tcPr>
          <w:p w14:paraId="416812D0" w14:textId="77777777" w:rsidR="0049383C" w:rsidRDefault="0049383C" w:rsidP="0049383C">
            <w:pPr>
              <w:spacing w:line="240" w:lineRule="auto"/>
              <w:jc w:val="center"/>
            </w:pPr>
            <w:r>
              <w:t>±</w:t>
            </w:r>
          </w:p>
        </w:tc>
        <w:tc>
          <w:tcPr>
            <w:tcW w:w="872" w:type="dxa"/>
            <w:tcBorders>
              <w:right w:val="single" w:sz="6" w:space="0" w:color="auto"/>
            </w:tcBorders>
            <w:vAlign w:val="center"/>
          </w:tcPr>
          <w:p w14:paraId="50A69120" w14:textId="77777777" w:rsidR="0049383C" w:rsidRDefault="0049383C" w:rsidP="0049383C">
            <w:pPr>
              <w:spacing w:line="240" w:lineRule="auto"/>
              <w:jc w:val="left"/>
            </w:pPr>
            <w:r>
              <w:t>3.02</w:t>
            </w:r>
          </w:p>
        </w:tc>
      </w:tr>
      <w:tr w:rsidR="0049383C" w14:paraId="0A89694E" w14:textId="77777777" w:rsidTr="0049383C">
        <w:trPr>
          <w:cantSplit/>
          <w:trHeight w:val="360"/>
          <w:jc w:val="center"/>
        </w:trPr>
        <w:tc>
          <w:tcPr>
            <w:tcW w:w="871" w:type="dxa"/>
            <w:vMerge/>
            <w:tcBorders>
              <w:left w:val="single" w:sz="6" w:space="0" w:color="auto"/>
              <w:bottom w:val="single" w:sz="6" w:space="0" w:color="auto"/>
            </w:tcBorders>
            <w:vAlign w:val="center"/>
          </w:tcPr>
          <w:p w14:paraId="09A6B33C" w14:textId="77777777" w:rsidR="0049383C" w:rsidRDefault="0049383C" w:rsidP="0049383C">
            <w:pPr>
              <w:spacing w:line="240" w:lineRule="auto"/>
              <w:jc w:val="center"/>
            </w:pPr>
          </w:p>
        </w:tc>
        <w:tc>
          <w:tcPr>
            <w:tcW w:w="1310" w:type="dxa"/>
            <w:tcBorders>
              <w:bottom w:val="single" w:sz="6" w:space="0" w:color="auto"/>
              <w:right w:val="single" w:sz="6" w:space="0" w:color="auto"/>
            </w:tcBorders>
            <w:vAlign w:val="center"/>
          </w:tcPr>
          <w:p w14:paraId="5B36B546" w14:textId="77777777" w:rsidR="0049383C" w:rsidRDefault="0049383C" w:rsidP="0049383C">
            <w:pPr>
              <w:spacing w:line="240" w:lineRule="auto"/>
              <w:jc w:val="center"/>
            </w:pPr>
            <w:r>
              <w:t>482.6</w:t>
            </w:r>
          </w:p>
        </w:tc>
        <w:tc>
          <w:tcPr>
            <w:tcW w:w="871" w:type="dxa"/>
            <w:tcBorders>
              <w:left w:val="single" w:sz="6" w:space="0" w:color="auto"/>
              <w:bottom w:val="single" w:sz="6" w:space="0" w:color="auto"/>
            </w:tcBorders>
            <w:vAlign w:val="center"/>
          </w:tcPr>
          <w:p w14:paraId="5CD52C46" w14:textId="77777777" w:rsidR="0049383C" w:rsidRDefault="0049383C" w:rsidP="0049383C">
            <w:pPr>
              <w:spacing w:line="240" w:lineRule="auto"/>
              <w:jc w:val="right"/>
            </w:pPr>
            <w:r>
              <w:t>66.78</w:t>
            </w:r>
          </w:p>
        </w:tc>
        <w:tc>
          <w:tcPr>
            <w:tcW w:w="360" w:type="dxa"/>
            <w:tcBorders>
              <w:bottom w:val="single" w:sz="6" w:space="0" w:color="auto"/>
            </w:tcBorders>
            <w:vAlign w:val="center"/>
          </w:tcPr>
          <w:p w14:paraId="79105E35" w14:textId="77777777" w:rsidR="0049383C" w:rsidRDefault="0049383C" w:rsidP="0049383C">
            <w:pPr>
              <w:spacing w:line="240" w:lineRule="auto"/>
              <w:jc w:val="center"/>
            </w:pPr>
            <w:r>
              <w:t>±</w:t>
            </w:r>
          </w:p>
        </w:tc>
        <w:tc>
          <w:tcPr>
            <w:tcW w:w="871" w:type="dxa"/>
            <w:tcBorders>
              <w:bottom w:val="single" w:sz="6" w:space="0" w:color="auto"/>
              <w:right w:val="single" w:sz="6" w:space="0" w:color="auto"/>
            </w:tcBorders>
            <w:vAlign w:val="center"/>
          </w:tcPr>
          <w:p w14:paraId="03FAFCDC" w14:textId="77777777" w:rsidR="0049383C" w:rsidRDefault="0049383C" w:rsidP="0049383C">
            <w:pPr>
              <w:spacing w:line="240" w:lineRule="auto"/>
              <w:jc w:val="left"/>
            </w:pPr>
            <w:r>
              <w:t>1.33</w:t>
            </w:r>
          </w:p>
        </w:tc>
        <w:tc>
          <w:tcPr>
            <w:tcW w:w="871" w:type="dxa"/>
            <w:tcBorders>
              <w:left w:val="single" w:sz="6" w:space="0" w:color="auto"/>
              <w:bottom w:val="single" w:sz="6" w:space="0" w:color="auto"/>
            </w:tcBorders>
            <w:vAlign w:val="center"/>
          </w:tcPr>
          <w:p w14:paraId="4EC34316" w14:textId="77777777" w:rsidR="0049383C" w:rsidRDefault="0049383C" w:rsidP="0049383C">
            <w:pPr>
              <w:spacing w:line="240" w:lineRule="auto"/>
              <w:jc w:val="right"/>
            </w:pPr>
            <w:r>
              <w:t>60.53</w:t>
            </w:r>
          </w:p>
        </w:tc>
        <w:tc>
          <w:tcPr>
            <w:tcW w:w="360" w:type="dxa"/>
            <w:tcBorders>
              <w:bottom w:val="single" w:sz="6" w:space="0" w:color="auto"/>
            </w:tcBorders>
            <w:vAlign w:val="center"/>
          </w:tcPr>
          <w:p w14:paraId="33F1818E" w14:textId="77777777" w:rsidR="0049383C" w:rsidRDefault="0049383C" w:rsidP="0049383C">
            <w:pPr>
              <w:spacing w:line="240" w:lineRule="auto"/>
              <w:jc w:val="center"/>
            </w:pPr>
            <w:r>
              <w:t>±</w:t>
            </w:r>
          </w:p>
        </w:tc>
        <w:tc>
          <w:tcPr>
            <w:tcW w:w="871" w:type="dxa"/>
            <w:tcBorders>
              <w:bottom w:val="single" w:sz="6" w:space="0" w:color="auto"/>
              <w:right w:val="single" w:sz="6" w:space="0" w:color="auto"/>
            </w:tcBorders>
            <w:vAlign w:val="center"/>
          </w:tcPr>
          <w:p w14:paraId="5303E0E7" w14:textId="77777777" w:rsidR="0049383C" w:rsidRDefault="0049383C" w:rsidP="0049383C">
            <w:pPr>
              <w:spacing w:line="240" w:lineRule="auto"/>
              <w:jc w:val="left"/>
            </w:pPr>
            <w:r>
              <w:t>2.57</w:t>
            </w:r>
          </w:p>
        </w:tc>
        <w:tc>
          <w:tcPr>
            <w:tcW w:w="872" w:type="dxa"/>
            <w:tcBorders>
              <w:left w:val="single" w:sz="6" w:space="0" w:color="auto"/>
              <w:bottom w:val="single" w:sz="6" w:space="0" w:color="auto"/>
            </w:tcBorders>
            <w:vAlign w:val="center"/>
          </w:tcPr>
          <w:p w14:paraId="56D7E039" w14:textId="77777777" w:rsidR="0049383C" w:rsidRDefault="0049383C" w:rsidP="0049383C">
            <w:pPr>
              <w:spacing w:line="240" w:lineRule="auto"/>
              <w:jc w:val="right"/>
            </w:pPr>
            <w:r>
              <w:t>66.06</w:t>
            </w:r>
          </w:p>
        </w:tc>
        <w:tc>
          <w:tcPr>
            <w:tcW w:w="360" w:type="dxa"/>
            <w:tcBorders>
              <w:bottom w:val="single" w:sz="6" w:space="0" w:color="auto"/>
            </w:tcBorders>
            <w:vAlign w:val="center"/>
          </w:tcPr>
          <w:p w14:paraId="32C1D089" w14:textId="77777777" w:rsidR="0049383C" w:rsidRDefault="0049383C" w:rsidP="0049383C">
            <w:pPr>
              <w:spacing w:line="240" w:lineRule="auto"/>
              <w:jc w:val="center"/>
            </w:pPr>
            <w:r>
              <w:t>±</w:t>
            </w:r>
          </w:p>
        </w:tc>
        <w:tc>
          <w:tcPr>
            <w:tcW w:w="872" w:type="dxa"/>
            <w:tcBorders>
              <w:bottom w:val="single" w:sz="6" w:space="0" w:color="auto"/>
              <w:right w:val="single" w:sz="6" w:space="0" w:color="auto"/>
            </w:tcBorders>
            <w:vAlign w:val="center"/>
          </w:tcPr>
          <w:p w14:paraId="5069EBD7" w14:textId="77777777" w:rsidR="0049383C" w:rsidRDefault="0049383C" w:rsidP="0049383C">
            <w:pPr>
              <w:spacing w:line="240" w:lineRule="auto"/>
              <w:jc w:val="left"/>
            </w:pPr>
            <w:r>
              <w:t>1.55</w:t>
            </w:r>
          </w:p>
        </w:tc>
      </w:tr>
      <w:tr w:rsidR="0049383C" w14:paraId="15016BED" w14:textId="77777777" w:rsidTr="0049383C">
        <w:trPr>
          <w:cantSplit/>
          <w:trHeight w:val="360"/>
          <w:jc w:val="center"/>
        </w:trPr>
        <w:tc>
          <w:tcPr>
            <w:tcW w:w="871" w:type="dxa"/>
            <w:vMerge w:val="restart"/>
            <w:tcBorders>
              <w:top w:val="single" w:sz="6" w:space="0" w:color="auto"/>
              <w:left w:val="single" w:sz="6" w:space="0" w:color="auto"/>
            </w:tcBorders>
            <w:textDirection w:val="btLr"/>
            <w:vAlign w:val="center"/>
          </w:tcPr>
          <w:p w14:paraId="549992C7" w14:textId="77777777" w:rsidR="0049383C" w:rsidRDefault="0049383C" w:rsidP="0049383C">
            <w:pPr>
              <w:spacing w:before="120" w:after="120" w:line="240" w:lineRule="auto"/>
              <w:ind w:left="113" w:right="113"/>
              <w:jc w:val="center"/>
            </w:pPr>
            <w:r>
              <w:t>40 % RH</w:t>
            </w:r>
          </w:p>
        </w:tc>
        <w:tc>
          <w:tcPr>
            <w:tcW w:w="1310" w:type="dxa"/>
            <w:tcBorders>
              <w:top w:val="single" w:sz="6" w:space="0" w:color="auto"/>
              <w:right w:val="single" w:sz="6" w:space="0" w:color="auto"/>
            </w:tcBorders>
            <w:vAlign w:val="center"/>
          </w:tcPr>
          <w:p w14:paraId="22A0B409" w14:textId="77777777" w:rsidR="0049383C" w:rsidRDefault="0049383C" w:rsidP="0049383C">
            <w:pPr>
              <w:spacing w:line="240" w:lineRule="auto"/>
              <w:jc w:val="center"/>
            </w:pPr>
            <w:r>
              <w:t>68.9</w:t>
            </w:r>
          </w:p>
        </w:tc>
        <w:tc>
          <w:tcPr>
            <w:tcW w:w="871" w:type="dxa"/>
            <w:tcBorders>
              <w:top w:val="single" w:sz="6" w:space="0" w:color="auto"/>
              <w:left w:val="single" w:sz="6" w:space="0" w:color="auto"/>
            </w:tcBorders>
            <w:vAlign w:val="center"/>
          </w:tcPr>
          <w:p w14:paraId="0A278BA6" w14:textId="77777777" w:rsidR="0049383C" w:rsidRDefault="0049383C" w:rsidP="0049383C">
            <w:pPr>
              <w:spacing w:line="240" w:lineRule="auto"/>
              <w:jc w:val="right"/>
            </w:pPr>
            <w:r>
              <w:t>51.45</w:t>
            </w:r>
          </w:p>
        </w:tc>
        <w:tc>
          <w:tcPr>
            <w:tcW w:w="360" w:type="dxa"/>
            <w:tcBorders>
              <w:top w:val="single" w:sz="6" w:space="0" w:color="auto"/>
            </w:tcBorders>
            <w:vAlign w:val="center"/>
          </w:tcPr>
          <w:p w14:paraId="2A2512A2" w14:textId="77777777" w:rsidR="0049383C" w:rsidRDefault="0049383C" w:rsidP="0049383C">
            <w:pPr>
              <w:spacing w:line="240" w:lineRule="auto"/>
              <w:jc w:val="center"/>
            </w:pPr>
            <w:r>
              <w:t>±</w:t>
            </w:r>
          </w:p>
        </w:tc>
        <w:tc>
          <w:tcPr>
            <w:tcW w:w="871" w:type="dxa"/>
            <w:tcBorders>
              <w:top w:val="single" w:sz="6" w:space="0" w:color="auto"/>
              <w:right w:val="single" w:sz="6" w:space="0" w:color="auto"/>
            </w:tcBorders>
            <w:vAlign w:val="center"/>
          </w:tcPr>
          <w:p w14:paraId="6B489496" w14:textId="77777777" w:rsidR="0049383C" w:rsidRDefault="0049383C" w:rsidP="0049383C">
            <w:pPr>
              <w:spacing w:line="240" w:lineRule="auto"/>
              <w:jc w:val="left"/>
            </w:pPr>
            <w:r>
              <w:t>2.93</w:t>
            </w:r>
          </w:p>
        </w:tc>
        <w:tc>
          <w:tcPr>
            <w:tcW w:w="871" w:type="dxa"/>
            <w:tcBorders>
              <w:top w:val="single" w:sz="6" w:space="0" w:color="auto"/>
              <w:left w:val="single" w:sz="6" w:space="0" w:color="auto"/>
            </w:tcBorders>
            <w:vAlign w:val="center"/>
          </w:tcPr>
          <w:p w14:paraId="5A79201F" w14:textId="77777777" w:rsidR="0049383C" w:rsidRDefault="0049383C" w:rsidP="0049383C">
            <w:pPr>
              <w:spacing w:line="240" w:lineRule="auto"/>
              <w:jc w:val="right"/>
            </w:pPr>
            <w:r>
              <w:t>48.44</w:t>
            </w:r>
          </w:p>
        </w:tc>
        <w:tc>
          <w:tcPr>
            <w:tcW w:w="360" w:type="dxa"/>
            <w:tcBorders>
              <w:top w:val="single" w:sz="6" w:space="0" w:color="auto"/>
            </w:tcBorders>
            <w:vAlign w:val="center"/>
          </w:tcPr>
          <w:p w14:paraId="73D2392C" w14:textId="77777777" w:rsidR="0049383C" w:rsidRDefault="0049383C" w:rsidP="0049383C">
            <w:pPr>
              <w:spacing w:line="240" w:lineRule="auto"/>
              <w:jc w:val="center"/>
            </w:pPr>
            <w:r>
              <w:t>±</w:t>
            </w:r>
          </w:p>
        </w:tc>
        <w:tc>
          <w:tcPr>
            <w:tcW w:w="871" w:type="dxa"/>
            <w:tcBorders>
              <w:top w:val="single" w:sz="6" w:space="0" w:color="auto"/>
              <w:right w:val="single" w:sz="6" w:space="0" w:color="auto"/>
            </w:tcBorders>
            <w:vAlign w:val="center"/>
          </w:tcPr>
          <w:p w14:paraId="62E84D1C" w14:textId="77777777" w:rsidR="0049383C" w:rsidRDefault="0049383C" w:rsidP="0049383C">
            <w:pPr>
              <w:spacing w:line="240" w:lineRule="auto"/>
              <w:jc w:val="left"/>
            </w:pPr>
            <w:r>
              <w:t>3.57</w:t>
            </w:r>
          </w:p>
        </w:tc>
        <w:tc>
          <w:tcPr>
            <w:tcW w:w="872" w:type="dxa"/>
            <w:tcBorders>
              <w:top w:val="single" w:sz="6" w:space="0" w:color="auto"/>
              <w:left w:val="single" w:sz="6" w:space="0" w:color="auto"/>
            </w:tcBorders>
            <w:vAlign w:val="center"/>
          </w:tcPr>
          <w:p w14:paraId="04E31C64" w14:textId="77777777" w:rsidR="0049383C" w:rsidRDefault="0049383C" w:rsidP="0049383C">
            <w:pPr>
              <w:spacing w:line="240" w:lineRule="auto"/>
              <w:jc w:val="right"/>
            </w:pPr>
            <w:r>
              <w:t>51.71</w:t>
            </w:r>
          </w:p>
        </w:tc>
        <w:tc>
          <w:tcPr>
            <w:tcW w:w="360" w:type="dxa"/>
            <w:tcBorders>
              <w:top w:val="single" w:sz="6" w:space="0" w:color="auto"/>
            </w:tcBorders>
            <w:vAlign w:val="center"/>
          </w:tcPr>
          <w:p w14:paraId="17C4ED6A" w14:textId="77777777" w:rsidR="0049383C" w:rsidRDefault="0049383C" w:rsidP="0049383C">
            <w:pPr>
              <w:spacing w:line="240" w:lineRule="auto"/>
              <w:jc w:val="center"/>
            </w:pPr>
            <w:r>
              <w:t>±</w:t>
            </w:r>
          </w:p>
        </w:tc>
        <w:tc>
          <w:tcPr>
            <w:tcW w:w="872" w:type="dxa"/>
            <w:tcBorders>
              <w:top w:val="single" w:sz="6" w:space="0" w:color="auto"/>
              <w:right w:val="single" w:sz="6" w:space="0" w:color="auto"/>
            </w:tcBorders>
            <w:vAlign w:val="center"/>
          </w:tcPr>
          <w:p w14:paraId="78D4C11D" w14:textId="77777777" w:rsidR="0049383C" w:rsidRDefault="0049383C" w:rsidP="0049383C">
            <w:pPr>
              <w:spacing w:line="240" w:lineRule="auto"/>
              <w:jc w:val="left"/>
            </w:pPr>
            <w:r>
              <w:t>2.34</w:t>
            </w:r>
          </w:p>
        </w:tc>
      </w:tr>
      <w:tr w:rsidR="0049383C" w14:paraId="6DB382AB" w14:textId="77777777" w:rsidTr="0049383C">
        <w:trPr>
          <w:cantSplit/>
          <w:trHeight w:val="360"/>
          <w:jc w:val="center"/>
        </w:trPr>
        <w:tc>
          <w:tcPr>
            <w:tcW w:w="871" w:type="dxa"/>
            <w:vMerge/>
            <w:tcBorders>
              <w:left w:val="single" w:sz="6" w:space="0" w:color="auto"/>
            </w:tcBorders>
            <w:vAlign w:val="center"/>
          </w:tcPr>
          <w:p w14:paraId="72961645" w14:textId="77777777" w:rsidR="0049383C" w:rsidRDefault="0049383C" w:rsidP="0049383C">
            <w:pPr>
              <w:spacing w:before="120" w:after="120" w:line="240" w:lineRule="auto"/>
              <w:jc w:val="center"/>
            </w:pPr>
          </w:p>
        </w:tc>
        <w:tc>
          <w:tcPr>
            <w:tcW w:w="1310" w:type="dxa"/>
            <w:tcBorders>
              <w:right w:val="single" w:sz="6" w:space="0" w:color="auto"/>
            </w:tcBorders>
            <w:vAlign w:val="center"/>
          </w:tcPr>
          <w:p w14:paraId="02E15798" w14:textId="77777777" w:rsidR="0049383C" w:rsidRDefault="0049383C" w:rsidP="0049383C">
            <w:pPr>
              <w:spacing w:line="240" w:lineRule="auto"/>
              <w:jc w:val="center"/>
            </w:pPr>
            <w:r>
              <w:t>206.8</w:t>
            </w:r>
          </w:p>
        </w:tc>
        <w:tc>
          <w:tcPr>
            <w:tcW w:w="871" w:type="dxa"/>
            <w:tcBorders>
              <w:left w:val="single" w:sz="6" w:space="0" w:color="auto"/>
            </w:tcBorders>
            <w:vAlign w:val="center"/>
          </w:tcPr>
          <w:p w14:paraId="19EA25E2" w14:textId="77777777" w:rsidR="0049383C" w:rsidRDefault="0049383C" w:rsidP="0049383C">
            <w:pPr>
              <w:spacing w:line="240" w:lineRule="auto"/>
              <w:jc w:val="right"/>
            </w:pPr>
            <w:r>
              <w:t>58.97</w:t>
            </w:r>
          </w:p>
        </w:tc>
        <w:tc>
          <w:tcPr>
            <w:tcW w:w="360" w:type="dxa"/>
            <w:vAlign w:val="center"/>
          </w:tcPr>
          <w:p w14:paraId="46BC0367" w14:textId="77777777" w:rsidR="0049383C" w:rsidRDefault="0049383C" w:rsidP="0049383C">
            <w:pPr>
              <w:spacing w:line="240" w:lineRule="auto"/>
              <w:jc w:val="center"/>
            </w:pPr>
            <w:r>
              <w:t>±</w:t>
            </w:r>
          </w:p>
        </w:tc>
        <w:tc>
          <w:tcPr>
            <w:tcW w:w="871" w:type="dxa"/>
            <w:tcBorders>
              <w:right w:val="single" w:sz="6" w:space="0" w:color="auto"/>
            </w:tcBorders>
            <w:vAlign w:val="center"/>
          </w:tcPr>
          <w:p w14:paraId="35DB6F05" w14:textId="77777777" w:rsidR="0049383C" w:rsidRDefault="0049383C" w:rsidP="0049383C">
            <w:pPr>
              <w:spacing w:line="240" w:lineRule="auto"/>
              <w:jc w:val="left"/>
            </w:pPr>
            <w:r>
              <w:t>2.27</w:t>
            </w:r>
          </w:p>
        </w:tc>
        <w:tc>
          <w:tcPr>
            <w:tcW w:w="871" w:type="dxa"/>
            <w:tcBorders>
              <w:left w:val="single" w:sz="6" w:space="0" w:color="auto"/>
            </w:tcBorders>
            <w:vAlign w:val="center"/>
          </w:tcPr>
          <w:p w14:paraId="3E3EDC2C" w14:textId="77777777" w:rsidR="0049383C" w:rsidRDefault="0049383C" w:rsidP="0049383C">
            <w:pPr>
              <w:spacing w:line="240" w:lineRule="auto"/>
              <w:jc w:val="right"/>
            </w:pPr>
            <w:r>
              <w:t>54.55</w:t>
            </w:r>
          </w:p>
        </w:tc>
        <w:tc>
          <w:tcPr>
            <w:tcW w:w="360" w:type="dxa"/>
            <w:vAlign w:val="center"/>
          </w:tcPr>
          <w:p w14:paraId="0C915729" w14:textId="77777777" w:rsidR="0049383C" w:rsidRDefault="0049383C" w:rsidP="0049383C">
            <w:pPr>
              <w:spacing w:line="240" w:lineRule="auto"/>
              <w:jc w:val="center"/>
            </w:pPr>
            <w:r>
              <w:t>±</w:t>
            </w:r>
          </w:p>
        </w:tc>
        <w:tc>
          <w:tcPr>
            <w:tcW w:w="871" w:type="dxa"/>
            <w:tcBorders>
              <w:right w:val="single" w:sz="6" w:space="0" w:color="auto"/>
            </w:tcBorders>
            <w:vAlign w:val="center"/>
          </w:tcPr>
          <w:p w14:paraId="3EC964D6" w14:textId="77777777" w:rsidR="0049383C" w:rsidRDefault="0049383C" w:rsidP="0049383C">
            <w:pPr>
              <w:spacing w:line="240" w:lineRule="auto"/>
              <w:jc w:val="left"/>
            </w:pPr>
            <w:r>
              <w:t>3.24</w:t>
            </w:r>
          </w:p>
        </w:tc>
        <w:tc>
          <w:tcPr>
            <w:tcW w:w="872" w:type="dxa"/>
            <w:tcBorders>
              <w:left w:val="single" w:sz="6" w:space="0" w:color="auto"/>
            </w:tcBorders>
            <w:vAlign w:val="center"/>
          </w:tcPr>
          <w:p w14:paraId="4F2E2E46" w14:textId="77777777" w:rsidR="0049383C" w:rsidRDefault="0049383C" w:rsidP="0049383C">
            <w:pPr>
              <w:spacing w:line="240" w:lineRule="auto"/>
              <w:jc w:val="right"/>
            </w:pPr>
            <w:r>
              <w:t>56.91</w:t>
            </w:r>
          </w:p>
        </w:tc>
        <w:tc>
          <w:tcPr>
            <w:tcW w:w="360" w:type="dxa"/>
            <w:vAlign w:val="center"/>
          </w:tcPr>
          <w:p w14:paraId="39B206AD" w14:textId="77777777" w:rsidR="0049383C" w:rsidRDefault="0049383C" w:rsidP="0049383C">
            <w:pPr>
              <w:spacing w:line="240" w:lineRule="auto"/>
              <w:jc w:val="center"/>
            </w:pPr>
            <w:r>
              <w:t>±</w:t>
            </w:r>
          </w:p>
        </w:tc>
        <w:tc>
          <w:tcPr>
            <w:tcW w:w="872" w:type="dxa"/>
            <w:tcBorders>
              <w:right w:val="single" w:sz="6" w:space="0" w:color="auto"/>
            </w:tcBorders>
            <w:vAlign w:val="center"/>
          </w:tcPr>
          <w:p w14:paraId="7DB6ED1E" w14:textId="77777777" w:rsidR="0049383C" w:rsidRDefault="0049383C" w:rsidP="0049383C">
            <w:pPr>
              <w:spacing w:line="240" w:lineRule="auto"/>
              <w:jc w:val="left"/>
            </w:pPr>
            <w:r>
              <w:t>2.37</w:t>
            </w:r>
          </w:p>
        </w:tc>
      </w:tr>
      <w:tr w:rsidR="0049383C" w14:paraId="5AF1EA8D" w14:textId="77777777" w:rsidTr="0049383C">
        <w:trPr>
          <w:cantSplit/>
          <w:trHeight w:val="360"/>
          <w:jc w:val="center"/>
        </w:trPr>
        <w:tc>
          <w:tcPr>
            <w:tcW w:w="871" w:type="dxa"/>
            <w:vMerge/>
            <w:tcBorders>
              <w:left w:val="single" w:sz="6" w:space="0" w:color="auto"/>
            </w:tcBorders>
            <w:vAlign w:val="center"/>
          </w:tcPr>
          <w:p w14:paraId="1AA8D42F" w14:textId="77777777" w:rsidR="0049383C" w:rsidRDefault="0049383C" w:rsidP="0049383C">
            <w:pPr>
              <w:spacing w:before="120" w:after="120" w:line="240" w:lineRule="auto"/>
              <w:jc w:val="center"/>
            </w:pPr>
          </w:p>
        </w:tc>
        <w:tc>
          <w:tcPr>
            <w:tcW w:w="1310" w:type="dxa"/>
            <w:tcBorders>
              <w:right w:val="single" w:sz="6" w:space="0" w:color="auto"/>
            </w:tcBorders>
            <w:vAlign w:val="center"/>
          </w:tcPr>
          <w:p w14:paraId="59E0BE81" w14:textId="77777777" w:rsidR="0049383C" w:rsidRDefault="0049383C" w:rsidP="0049383C">
            <w:pPr>
              <w:spacing w:line="240" w:lineRule="auto"/>
              <w:jc w:val="center"/>
            </w:pPr>
            <w:r>
              <w:t>344.7</w:t>
            </w:r>
          </w:p>
        </w:tc>
        <w:tc>
          <w:tcPr>
            <w:tcW w:w="871" w:type="dxa"/>
            <w:tcBorders>
              <w:left w:val="single" w:sz="6" w:space="0" w:color="auto"/>
            </w:tcBorders>
            <w:vAlign w:val="center"/>
          </w:tcPr>
          <w:p w14:paraId="1DF933E1" w14:textId="77777777" w:rsidR="0049383C" w:rsidRDefault="0049383C" w:rsidP="0049383C">
            <w:pPr>
              <w:spacing w:line="240" w:lineRule="auto"/>
              <w:jc w:val="right"/>
            </w:pPr>
            <w:r>
              <w:t>63.71</w:t>
            </w:r>
          </w:p>
        </w:tc>
        <w:tc>
          <w:tcPr>
            <w:tcW w:w="360" w:type="dxa"/>
            <w:vAlign w:val="center"/>
          </w:tcPr>
          <w:p w14:paraId="7C48107B" w14:textId="77777777" w:rsidR="0049383C" w:rsidRDefault="0049383C" w:rsidP="0049383C">
            <w:pPr>
              <w:spacing w:line="240" w:lineRule="auto"/>
              <w:jc w:val="center"/>
            </w:pPr>
            <w:r>
              <w:t>±</w:t>
            </w:r>
          </w:p>
        </w:tc>
        <w:tc>
          <w:tcPr>
            <w:tcW w:w="871" w:type="dxa"/>
            <w:tcBorders>
              <w:right w:val="single" w:sz="6" w:space="0" w:color="auto"/>
            </w:tcBorders>
            <w:vAlign w:val="center"/>
          </w:tcPr>
          <w:p w14:paraId="73AD4567" w14:textId="77777777" w:rsidR="0049383C" w:rsidRDefault="0049383C" w:rsidP="0049383C">
            <w:pPr>
              <w:spacing w:line="240" w:lineRule="auto"/>
              <w:jc w:val="left"/>
            </w:pPr>
            <w:r>
              <w:t>2.16</w:t>
            </w:r>
          </w:p>
        </w:tc>
        <w:tc>
          <w:tcPr>
            <w:tcW w:w="871" w:type="dxa"/>
            <w:tcBorders>
              <w:left w:val="single" w:sz="6" w:space="0" w:color="auto"/>
            </w:tcBorders>
            <w:vAlign w:val="center"/>
          </w:tcPr>
          <w:p w14:paraId="594C7109" w14:textId="77777777" w:rsidR="0049383C" w:rsidRDefault="0049383C" w:rsidP="0049383C">
            <w:pPr>
              <w:spacing w:line="240" w:lineRule="auto"/>
              <w:jc w:val="right"/>
            </w:pPr>
            <w:r>
              <w:t>58.33</w:t>
            </w:r>
          </w:p>
        </w:tc>
        <w:tc>
          <w:tcPr>
            <w:tcW w:w="360" w:type="dxa"/>
            <w:vAlign w:val="center"/>
          </w:tcPr>
          <w:p w14:paraId="64994068" w14:textId="77777777" w:rsidR="0049383C" w:rsidRDefault="0049383C" w:rsidP="0049383C">
            <w:pPr>
              <w:spacing w:line="240" w:lineRule="auto"/>
              <w:jc w:val="center"/>
            </w:pPr>
            <w:r>
              <w:t>±</w:t>
            </w:r>
          </w:p>
        </w:tc>
        <w:tc>
          <w:tcPr>
            <w:tcW w:w="871" w:type="dxa"/>
            <w:tcBorders>
              <w:right w:val="single" w:sz="6" w:space="0" w:color="auto"/>
            </w:tcBorders>
            <w:vAlign w:val="center"/>
          </w:tcPr>
          <w:p w14:paraId="6648C353" w14:textId="77777777" w:rsidR="0049383C" w:rsidRDefault="0049383C" w:rsidP="0049383C">
            <w:pPr>
              <w:spacing w:line="240" w:lineRule="auto"/>
              <w:jc w:val="left"/>
            </w:pPr>
            <w:r>
              <w:t>2.02</w:t>
            </w:r>
          </w:p>
        </w:tc>
        <w:tc>
          <w:tcPr>
            <w:tcW w:w="872" w:type="dxa"/>
            <w:tcBorders>
              <w:left w:val="single" w:sz="6" w:space="0" w:color="auto"/>
            </w:tcBorders>
            <w:vAlign w:val="center"/>
          </w:tcPr>
          <w:p w14:paraId="107A366D" w14:textId="77777777" w:rsidR="0049383C" w:rsidRDefault="0049383C" w:rsidP="0049383C">
            <w:pPr>
              <w:spacing w:line="240" w:lineRule="auto"/>
              <w:jc w:val="right"/>
            </w:pPr>
            <w:r>
              <w:t>59.48</w:t>
            </w:r>
          </w:p>
        </w:tc>
        <w:tc>
          <w:tcPr>
            <w:tcW w:w="360" w:type="dxa"/>
            <w:vAlign w:val="center"/>
          </w:tcPr>
          <w:p w14:paraId="3B869CF5" w14:textId="77777777" w:rsidR="0049383C" w:rsidRDefault="0049383C" w:rsidP="0049383C">
            <w:pPr>
              <w:spacing w:line="240" w:lineRule="auto"/>
              <w:jc w:val="center"/>
            </w:pPr>
            <w:r>
              <w:t>±</w:t>
            </w:r>
          </w:p>
        </w:tc>
        <w:tc>
          <w:tcPr>
            <w:tcW w:w="872" w:type="dxa"/>
            <w:tcBorders>
              <w:right w:val="single" w:sz="6" w:space="0" w:color="auto"/>
            </w:tcBorders>
            <w:vAlign w:val="center"/>
          </w:tcPr>
          <w:p w14:paraId="36404709" w14:textId="77777777" w:rsidR="0049383C" w:rsidRDefault="0049383C" w:rsidP="0049383C">
            <w:pPr>
              <w:spacing w:line="240" w:lineRule="auto"/>
              <w:jc w:val="left"/>
            </w:pPr>
            <w:r>
              <w:t>1.28</w:t>
            </w:r>
          </w:p>
        </w:tc>
      </w:tr>
      <w:tr w:rsidR="0049383C" w14:paraId="2120C13F" w14:textId="77777777" w:rsidTr="0049383C">
        <w:trPr>
          <w:cantSplit/>
          <w:trHeight w:val="360"/>
          <w:jc w:val="center"/>
        </w:trPr>
        <w:tc>
          <w:tcPr>
            <w:tcW w:w="871" w:type="dxa"/>
            <w:vMerge/>
            <w:tcBorders>
              <w:left w:val="single" w:sz="6" w:space="0" w:color="auto"/>
              <w:bottom w:val="single" w:sz="6" w:space="0" w:color="auto"/>
            </w:tcBorders>
            <w:vAlign w:val="center"/>
          </w:tcPr>
          <w:p w14:paraId="0DC00B9A" w14:textId="77777777" w:rsidR="0049383C" w:rsidRDefault="0049383C" w:rsidP="0049383C">
            <w:pPr>
              <w:spacing w:before="120" w:after="120" w:line="240" w:lineRule="auto"/>
              <w:jc w:val="center"/>
            </w:pPr>
          </w:p>
        </w:tc>
        <w:tc>
          <w:tcPr>
            <w:tcW w:w="1310" w:type="dxa"/>
            <w:tcBorders>
              <w:bottom w:val="single" w:sz="6" w:space="0" w:color="auto"/>
              <w:right w:val="single" w:sz="6" w:space="0" w:color="auto"/>
            </w:tcBorders>
            <w:vAlign w:val="center"/>
          </w:tcPr>
          <w:p w14:paraId="1B89C766" w14:textId="77777777" w:rsidR="0049383C" w:rsidRDefault="0049383C" w:rsidP="0049383C">
            <w:pPr>
              <w:spacing w:line="240" w:lineRule="auto"/>
              <w:jc w:val="center"/>
            </w:pPr>
            <w:r>
              <w:t>482.6</w:t>
            </w:r>
          </w:p>
        </w:tc>
        <w:tc>
          <w:tcPr>
            <w:tcW w:w="871" w:type="dxa"/>
            <w:tcBorders>
              <w:left w:val="single" w:sz="6" w:space="0" w:color="auto"/>
              <w:bottom w:val="single" w:sz="6" w:space="0" w:color="auto"/>
            </w:tcBorders>
            <w:vAlign w:val="center"/>
          </w:tcPr>
          <w:p w14:paraId="0FB34D3A" w14:textId="77777777" w:rsidR="0049383C" w:rsidRDefault="0049383C" w:rsidP="0049383C">
            <w:pPr>
              <w:spacing w:line="240" w:lineRule="auto"/>
              <w:jc w:val="right"/>
            </w:pPr>
            <w:r>
              <w:t>64.76</w:t>
            </w:r>
          </w:p>
        </w:tc>
        <w:tc>
          <w:tcPr>
            <w:tcW w:w="360" w:type="dxa"/>
            <w:tcBorders>
              <w:bottom w:val="single" w:sz="6" w:space="0" w:color="auto"/>
            </w:tcBorders>
            <w:vAlign w:val="center"/>
          </w:tcPr>
          <w:p w14:paraId="6CA6743F" w14:textId="77777777" w:rsidR="0049383C" w:rsidRDefault="0049383C" w:rsidP="0049383C">
            <w:pPr>
              <w:spacing w:line="240" w:lineRule="auto"/>
              <w:jc w:val="center"/>
            </w:pPr>
            <w:r>
              <w:t>±</w:t>
            </w:r>
          </w:p>
        </w:tc>
        <w:tc>
          <w:tcPr>
            <w:tcW w:w="871" w:type="dxa"/>
            <w:tcBorders>
              <w:bottom w:val="single" w:sz="6" w:space="0" w:color="auto"/>
              <w:right w:val="single" w:sz="6" w:space="0" w:color="auto"/>
            </w:tcBorders>
            <w:vAlign w:val="center"/>
          </w:tcPr>
          <w:p w14:paraId="48C68E58" w14:textId="77777777" w:rsidR="0049383C" w:rsidRDefault="0049383C" w:rsidP="0049383C">
            <w:pPr>
              <w:spacing w:line="240" w:lineRule="auto"/>
              <w:jc w:val="left"/>
            </w:pPr>
            <w:r>
              <w:t>3.65</w:t>
            </w:r>
          </w:p>
        </w:tc>
        <w:tc>
          <w:tcPr>
            <w:tcW w:w="871" w:type="dxa"/>
            <w:tcBorders>
              <w:left w:val="single" w:sz="6" w:space="0" w:color="auto"/>
              <w:bottom w:val="single" w:sz="6" w:space="0" w:color="auto"/>
            </w:tcBorders>
            <w:vAlign w:val="center"/>
          </w:tcPr>
          <w:p w14:paraId="044FB0BF" w14:textId="77777777" w:rsidR="0049383C" w:rsidRDefault="0049383C" w:rsidP="0049383C">
            <w:pPr>
              <w:spacing w:line="240" w:lineRule="auto"/>
              <w:jc w:val="right"/>
            </w:pPr>
            <w:r>
              <w:t>61.75</w:t>
            </w:r>
          </w:p>
        </w:tc>
        <w:tc>
          <w:tcPr>
            <w:tcW w:w="360" w:type="dxa"/>
            <w:tcBorders>
              <w:bottom w:val="single" w:sz="6" w:space="0" w:color="auto"/>
            </w:tcBorders>
            <w:vAlign w:val="center"/>
          </w:tcPr>
          <w:p w14:paraId="003C3CA6" w14:textId="77777777" w:rsidR="0049383C" w:rsidRDefault="0049383C" w:rsidP="0049383C">
            <w:pPr>
              <w:spacing w:line="240" w:lineRule="auto"/>
              <w:jc w:val="center"/>
            </w:pPr>
            <w:r>
              <w:t>±</w:t>
            </w:r>
          </w:p>
        </w:tc>
        <w:tc>
          <w:tcPr>
            <w:tcW w:w="871" w:type="dxa"/>
            <w:tcBorders>
              <w:bottom w:val="single" w:sz="6" w:space="0" w:color="auto"/>
              <w:right w:val="single" w:sz="6" w:space="0" w:color="auto"/>
            </w:tcBorders>
            <w:vAlign w:val="center"/>
          </w:tcPr>
          <w:p w14:paraId="21EF54B1" w14:textId="77777777" w:rsidR="0049383C" w:rsidRDefault="0049383C" w:rsidP="0049383C">
            <w:pPr>
              <w:spacing w:line="240" w:lineRule="auto"/>
              <w:jc w:val="left"/>
            </w:pPr>
            <w:r>
              <w:t>3.10</w:t>
            </w:r>
          </w:p>
        </w:tc>
        <w:tc>
          <w:tcPr>
            <w:tcW w:w="872" w:type="dxa"/>
            <w:tcBorders>
              <w:left w:val="single" w:sz="6" w:space="0" w:color="auto"/>
              <w:bottom w:val="single" w:sz="6" w:space="0" w:color="auto"/>
            </w:tcBorders>
            <w:vAlign w:val="center"/>
          </w:tcPr>
          <w:p w14:paraId="7590E078" w14:textId="77777777" w:rsidR="0049383C" w:rsidRDefault="0049383C" w:rsidP="0049383C">
            <w:pPr>
              <w:spacing w:line="240" w:lineRule="auto"/>
              <w:jc w:val="right"/>
            </w:pPr>
            <w:r>
              <w:t>61.95</w:t>
            </w:r>
          </w:p>
        </w:tc>
        <w:tc>
          <w:tcPr>
            <w:tcW w:w="360" w:type="dxa"/>
            <w:tcBorders>
              <w:bottom w:val="single" w:sz="6" w:space="0" w:color="auto"/>
            </w:tcBorders>
            <w:vAlign w:val="center"/>
          </w:tcPr>
          <w:p w14:paraId="52003F79" w14:textId="77777777" w:rsidR="0049383C" w:rsidRDefault="0049383C" w:rsidP="0049383C">
            <w:pPr>
              <w:spacing w:line="240" w:lineRule="auto"/>
              <w:jc w:val="center"/>
            </w:pPr>
            <w:r>
              <w:t>±</w:t>
            </w:r>
          </w:p>
        </w:tc>
        <w:tc>
          <w:tcPr>
            <w:tcW w:w="872" w:type="dxa"/>
            <w:tcBorders>
              <w:bottom w:val="single" w:sz="6" w:space="0" w:color="auto"/>
              <w:right w:val="single" w:sz="6" w:space="0" w:color="auto"/>
            </w:tcBorders>
            <w:vAlign w:val="center"/>
          </w:tcPr>
          <w:p w14:paraId="6E8FE3BD" w14:textId="77777777" w:rsidR="0049383C" w:rsidRDefault="0049383C" w:rsidP="0049383C">
            <w:pPr>
              <w:spacing w:line="240" w:lineRule="auto"/>
              <w:jc w:val="left"/>
            </w:pPr>
            <w:r>
              <w:t>3.08</w:t>
            </w:r>
          </w:p>
        </w:tc>
      </w:tr>
      <w:tr w:rsidR="0049383C" w14:paraId="7F873589" w14:textId="77777777" w:rsidTr="0049383C">
        <w:trPr>
          <w:cantSplit/>
          <w:trHeight w:val="360"/>
          <w:jc w:val="center"/>
        </w:trPr>
        <w:tc>
          <w:tcPr>
            <w:tcW w:w="871" w:type="dxa"/>
            <w:vMerge w:val="restart"/>
            <w:tcBorders>
              <w:top w:val="single" w:sz="6" w:space="0" w:color="auto"/>
              <w:left w:val="single" w:sz="6" w:space="0" w:color="auto"/>
            </w:tcBorders>
            <w:textDirection w:val="btLr"/>
            <w:vAlign w:val="center"/>
          </w:tcPr>
          <w:p w14:paraId="00A263D5" w14:textId="77777777" w:rsidR="0049383C" w:rsidRDefault="0049383C" w:rsidP="0049383C">
            <w:pPr>
              <w:spacing w:before="120" w:after="120" w:line="240" w:lineRule="auto"/>
              <w:ind w:left="113" w:right="113"/>
              <w:jc w:val="center"/>
            </w:pPr>
            <w:r>
              <w:t>70% RH</w:t>
            </w:r>
          </w:p>
        </w:tc>
        <w:tc>
          <w:tcPr>
            <w:tcW w:w="1310" w:type="dxa"/>
            <w:tcBorders>
              <w:top w:val="single" w:sz="6" w:space="0" w:color="auto"/>
              <w:right w:val="single" w:sz="6" w:space="0" w:color="auto"/>
            </w:tcBorders>
            <w:vAlign w:val="center"/>
          </w:tcPr>
          <w:p w14:paraId="70DCA2F7" w14:textId="77777777" w:rsidR="0049383C" w:rsidRDefault="0049383C" w:rsidP="0049383C">
            <w:pPr>
              <w:spacing w:line="240" w:lineRule="auto"/>
              <w:jc w:val="center"/>
            </w:pPr>
            <w:r>
              <w:t>68.9</w:t>
            </w:r>
          </w:p>
        </w:tc>
        <w:tc>
          <w:tcPr>
            <w:tcW w:w="871" w:type="dxa"/>
            <w:tcBorders>
              <w:top w:val="single" w:sz="6" w:space="0" w:color="auto"/>
              <w:left w:val="single" w:sz="6" w:space="0" w:color="auto"/>
            </w:tcBorders>
            <w:vAlign w:val="center"/>
          </w:tcPr>
          <w:p w14:paraId="5B64CD99" w14:textId="77777777" w:rsidR="0049383C" w:rsidRDefault="0049383C" w:rsidP="0049383C">
            <w:pPr>
              <w:spacing w:line="240" w:lineRule="auto"/>
              <w:jc w:val="right"/>
            </w:pPr>
            <w:r>
              <w:t>55.43</w:t>
            </w:r>
          </w:p>
        </w:tc>
        <w:tc>
          <w:tcPr>
            <w:tcW w:w="360" w:type="dxa"/>
            <w:tcBorders>
              <w:top w:val="single" w:sz="6" w:space="0" w:color="auto"/>
            </w:tcBorders>
            <w:vAlign w:val="center"/>
          </w:tcPr>
          <w:p w14:paraId="4530534E" w14:textId="77777777" w:rsidR="0049383C" w:rsidRDefault="0049383C" w:rsidP="0049383C">
            <w:pPr>
              <w:spacing w:line="240" w:lineRule="auto"/>
              <w:jc w:val="center"/>
            </w:pPr>
            <w:r>
              <w:t>±</w:t>
            </w:r>
          </w:p>
        </w:tc>
        <w:tc>
          <w:tcPr>
            <w:tcW w:w="871" w:type="dxa"/>
            <w:tcBorders>
              <w:top w:val="single" w:sz="6" w:space="0" w:color="auto"/>
              <w:right w:val="single" w:sz="6" w:space="0" w:color="auto"/>
            </w:tcBorders>
            <w:vAlign w:val="center"/>
          </w:tcPr>
          <w:p w14:paraId="69F8A050" w14:textId="77777777" w:rsidR="0049383C" w:rsidRDefault="0049383C" w:rsidP="0049383C">
            <w:pPr>
              <w:spacing w:line="240" w:lineRule="auto"/>
              <w:jc w:val="left"/>
            </w:pPr>
            <w:r>
              <w:t>4.52</w:t>
            </w:r>
          </w:p>
        </w:tc>
        <w:tc>
          <w:tcPr>
            <w:tcW w:w="871" w:type="dxa"/>
            <w:tcBorders>
              <w:top w:val="single" w:sz="6" w:space="0" w:color="auto"/>
              <w:left w:val="single" w:sz="6" w:space="0" w:color="auto"/>
            </w:tcBorders>
            <w:vAlign w:val="center"/>
          </w:tcPr>
          <w:p w14:paraId="022B1A1F" w14:textId="77777777" w:rsidR="0049383C" w:rsidRDefault="0049383C" w:rsidP="0049383C">
            <w:pPr>
              <w:spacing w:line="240" w:lineRule="auto"/>
              <w:jc w:val="right"/>
            </w:pPr>
            <w:r>
              <w:t>48.21</w:t>
            </w:r>
          </w:p>
        </w:tc>
        <w:tc>
          <w:tcPr>
            <w:tcW w:w="360" w:type="dxa"/>
            <w:tcBorders>
              <w:top w:val="single" w:sz="6" w:space="0" w:color="auto"/>
            </w:tcBorders>
            <w:vAlign w:val="center"/>
          </w:tcPr>
          <w:p w14:paraId="4A95D0CE" w14:textId="77777777" w:rsidR="0049383C" w:rsidRDefault="0049383C" w:rsidP="0049383C">
            <w:pPr>
              <w:spacing w:line="240" w:lineRule="auto"/>
              <w:jc w:val="center"/>
            </w:pPr>
            <w:r>
              <w:t>±</w:t>
            </w:r>
          </w:p>
        </w:tc>
        <w:tc>
          <w:tcPr>
            <w:tcW w:w="871" w:type="dxa"/>
            <w:tcBorders>
              <w:top w:val="single" w:sz="6" w:space="0" w:color="auto"/>
              <w:right w:val="single" w:sz="6" w:space="0" w:color="auto"/>
            </w:tcBorders>
            <w:vAlign w:val="center"/>
          </w:tcPr>
          <w:p w14:paraId="70785BDB" w14:textId="77777777" w:rsidR="0049383C" w:rsidRDefault="0049383C" w:rsidP="0049383C">
            <w:pPr>
              <w:spacing w:line="240" w:lineRule="auto"/>
              <w:jc w:val="left"/>
            </w:pPr>
            <w:r>
              <w:t>2.84</w:t>
            </w:r>
          </w:p>
        </w:tc>
        <w:tc>
          <w:tcPr>
            <w:tcW w:w="872" w:type="dxa"/>
            <w:tcBorders>
              <w:top w:val="single" w:sz="6" w:space="0" w:color="auto"/>
              <w:left w:val="single" w:sz="6" w:space="0" w:color="auto"/>
            </w:tcBorders>
            <w:vAlign w:val="center"/>
          </w:tcPr>
          <w:p w14:paraId="5468DC6A" w14:textId="77777777" w:rsidR="0049383C" w:rsidRDefault="0049383C" w:rsidP="0049383C">
            <w:pPr>
              <w:spacing w:line="240" w:lineRule="auto"/>
              <w:jc w:val="right"/>
            </w:pPr>
            <w:r>
              <w:t>53.61</w:t>
            </w:r>
          </w:p>
        </w:tc>
        <w:tc>
          <w:tcPr>
            <w:tcW w:w="360" w:type="dxa"/>
            <w:tcBorders>
              <w:top w:val="single" w:sz="6" w:space="0" w:color="auto"/>
            </w:tcBorders>
            <w:vAlign w:val="center"/>
          </w:tcPr>
          <w:p w14:paraId="55DCB216" w14:textId="77777777" w:rsidR="0049383C" w:rsidRDefault="0049383C" w:rsidP="0049383C">
            <w:pPr>
              <w:spacing w:line="240" w:lineRule="auto"/>
              <w:jc w:val="center"/>
            </w:pPr>
            <w:r>
              <w:t>±</w:t>
            </w:r>
          </w:p>
        </w:tc>
        <w:tc>
          <w:tcPr>
            <w:tcW w:w="872" w:type="dxa"/>
            <w:tcBorders>
              <w:top w:val="single" w:sz="6" w:space="0" w:color="auto"/>
              <w:right w:val="single" w:sz="6" w:space="0" w:color="auto"/>
            </w:tcBorders>
            <w:vAlign w:val="center"/>
          </w:tcPr>
          <w:p w14:paraId="0EA8DF32" w14:textId="77777777" w:rsidR="0049383C" w:rsidRDefault="0049383C" w:rsidP="0049383C">
            <w:pPr>
              <w:spacing w:line="240" w:lineRule="auto"/>
              <w:jc w:val="left"/>
            </w:pPr>
            <w:r>
              <w:t>3.53</w:t>
            </w:r>
          </w:p>
        </w:tc>
      </w:tr>
      <w:tr w:rsidR="0049383C" w14:paraId="1D64E69B" w14:textId="77777777" w:rsidTr="0049383C">
        <w:trPr>
          <w:cantSplit/>
          <w:trHeight w:val="360"/>
          <w:jc w:val="center"/>
        </w:trPr>
        <w:tc>
          <w:tcPr>
            <w:tcW w:w="871" w:type="dxa"/>
            <w:vMerge/>
            <w:tcBorders>
              <w:left w:val="single" w:sz="6" w:space="0" w:color="auto"/>
            </w:tcBorders>
            <w:vAlign w:val="center"/>
          </w:tcPr>
          <w:p w14:paraId="011DC7B4" w14:textId="77777777" w:rsidR="0049383C" w:rsidRDefault="0049383C" w:rsidP="0049383C">
            <w:pPr>
              <w:spacing w:before="120" w:after="120" w:line="240" w:lineRule="auto"/>
              <w:jc w:val="center"/>
            </w:pPr>
          </w:p>
        </w:tc>
        <w:tc>
          <w:tcPr>
            <w:tcW w:w="1310" w:type="dxa"/>
            <w:tcBorders>
              <w:right w:val="single" w:sz="6" w:space="0" w:color="auto"/>
            </w:tcBorders>
            <w:vAlign w:val="center"/>
          </w:tcPr>
          <w:p w14:paraId="6E82EC7A" w14:textId="77777777" w:rsidR="0049383C" w:rsidRDefault="0049383C" w:rsidP="0049383C">
            <w:pPr>
              <w:spacing w:line="240" w:lineRule="auto"/>
              <w:jc w:val="center"/>
            </w:pPr>
            <w:r>
              <w:t>206.8</w:t>
            </w:r>
          </w:p>
        </w:tc>
        <w:tc>
          <w:tcPr>
            <w:tcW w:w="871" w:type="dxa"/>
            <w:tcBorders>
              <w:left w:val="single" w:sz="6" w:space="0" w:color="auto"/>
            </w:tcBorders>
            <w:vAlign w:val="center"/>
          </w:tcPr>
          <w:p w14:paraId="2FB6E4FB" w14:textId="77777777" w:rsidR="0049383C" w:rsidRDefault="0049383C" w:rsidP="0049383C">
            <w:pPr>
              <w:spacing w:line="240" w:lineRule="auto"/>
              <w:jc w:val="right"/>
            </w:pPr>
            <w:r>
              <w:t>62.00</w:t>
            </w:r>
          </w:p>
        </w:tc>
        <w:tc>
          <w:tcPr>
            <w:tcW w:w="360" w:type="dxa"/>
            <w:vAlign w:val="center"/>
          </w:tcPr>
          <w:p w14:paraId="167B3C57" w14:textId="77777777" w:rsidR="0049383C" w:rsidRDefault="0049383C" w:rsidP="0049383C">
            <w:pPr>
              <w:spacing w:line="240" w:lineRule="auto"/>
              <w:jc w:val="center"/>
            </w:pPr>
            <w:r>
              <w:t>±</w:t>
            </w:r>
          </w:p>
        </w:tc>
        <w:tc>
          <w:tcPr>
            <w:tcW w:w="871" w:type="dxa"/>
            <w:tcBorders>
              <w:right w:val="single" w:sz="6" w:space="0" w:color="auto"/>
            </w:tcBorders>
            <w:vAlign w:val="center"/>
          </w:tcPr>
          <w:p w14:paraId="10C69034" w14:textId="77777777" w:rsidR="0049383C" w:rsidRDefault="0049383C" w:rsidP="0049383C">
            <w:pPr>
              <w:spacing w:line="240" w:lineRule="auto"/>
              <w:jc w:val="left"/>
            </w:pPr>
            <w:r>
              <w:t>3.07</w:t>
            </w:r>
          </w:p>
        </w:tc>
        <w:tc>
          <w:tcPr>
            <w:tcW w:w="871" w:type="dxa"/>
            <w:tcBorders>
              <w:left w:val="single" w:sz="6" w:space="0" w:color="auto"/>
            </w:tcBorders>
            <w:vAlign w:val="center"/>
          </w:tcPr>
          <w:p w14:paraId="2C96D004" w14:textId="77777777" w:rsidR="0049383C" w:rsidRDefault="0049383C" w:rsidP="0049383C">
            <w:pPr>
              <w:spacing w:line="240" w:lineRule="auto"/>
              <w:jc w:val="right"/>
            </w:pPr>
            <w:r>
              <w:t>53.74</w:t>
            </w:r>
          </w:p>
        </w:tc>
        <w:tc>
          <w:tcPr>
            <w:tcW w:w="360" w:type="dxa"/>
            <w:vAlign w:val="center"/>
          </w:tcPr>
          <w:p w14:paraId="30B6FAFA" w14:textId="77777777" w:rsidR="0049383C" w:rsidRDefault="0049383C" w:rsidP="0049383C">
            <w:pPr>
              <w:spacing w:line="240" w:lineRule="auto"/>
              <w:jc w:val="center"/>
            </w:pPr>
            <w:r>
              <w:t>±</w:t>
            </w:r>
          </w:p>
        </w:tc>
        <w:tc>
          <w:tcPr>
            <w:tcW w:w="871" w:type="dxa"/>
            <w:tcBorders>
              <w:right w:val="single" w:sz="6" w:space="0" w:color="auto"/>
            </w:tcBorders>
            <w:vAlign w:val="center"/>
          </w:tcPr>
          <w:p w14:paraId="76C71445" w14:textId="77777777" w:rsidR="0049383C" w:rsidRDefault="0049383C" w:rsidP="0049383C">
            <w:pPr>
              <w:spacing w:line="240" w:lineRule="auto"/>
              <w:jc w:val="left"/>
            </w:pPr>
            <w:r>
              <w:t>2.17</w:t>
            </w:r>
          </w:p>
        </w:tc>
        <w:tc>
          <w:tcPr>
            <w:tcW w:w="872" w:type="dxa"/>
            <w:tcBorders>
              <w:left w:val="single" w:sz="6" w:space="0" w:color="auto"/>
            </w:tcBorders>
            <w:vAlign w:val="center"/>
          </w:tcPr>
          <w:p w14:paraId="4E6197E5" w14:textId="77777777" w:rsidR="0049383C" w:rsidRDefault="0049383C" w:rsidP="0049383C">
            <w:pPr>
              <w:spacing w:line="240" w:lineRule="auto"/>
              <w:jc w:val="right"/>
            </w:pPr>
            <w:r>
              <w:t>61.61</w:t>
            </w:r>
          </w:p>
        </w:tc>
        <w:tc>
          <w:tcPr>
            <w:tcW w:w="360" w:type="dxa"/>
            <w:vAlign w:val="center"/>
          </w:tcPr>
          <w:p w14:paraId="110D1DB6" w14:textId="77777777" w:rsidR="0049383C" w:rsidRDefault="0049383C" w:rsidP="0049383C">
            <w:pPr>
              <w:spacing w:line="240" w:lineRule="auto"/>
              <w:jc w:val="center"/>
            </w:pPr>
            <w:r>
              <w:t>±</w:t>
            </w:r>
          </w:p>
        </w:tc>
        <w:tc>
          <w:tcPr>
            <w:tcW w:w="872" w:type="dxa"/>
            <w:tcBorders>
              <w:right w:val="single" w:sz="6" w:space="0" w:color="auto"/>
            </w:tcBorders>
            <w:vAlign w:val="center"/>
          </w:tcPr>
          <w:p w14:paraId="3F3989B6" w14:textId="77777777" w:rsidR="0049383C" w:rsidRDefault="0049383C" w:rsidP="0049383C">
            <w:pPr>
              <w:spacing w:line="240" w:lineRule="auto"/>
              <w:jc w:val="left"/>
            </w:pPr>
            <w:r>
              <w:t>5.99</w:t>
            </w:r>
          </w:p>
        </w:tc>
      </w:tr>
      <w:tr w:rsidR="0049383C" w14:paraId="26A45201" w14:textId="77777777" w:rsidTr="0049383C">
        <w:trPr>
          <w:cantSplit/>
          <w:trHeight w:val="360"/>
          <w:jc w:val="center"/>
        </w:trPr>
        <w:tc>
          <w:tcPr>
            <w:tcW w:w="871" w:type="dxa"/>
            <w:vMerge/>
            <w:tcBorders>
              <w:left w:val="single" w:sz="6" w:space="0" w:color="auto"/>
            </w:tcBorders>
            <w:vAlign w:val="center"/>
          </w:tcPr>
          <w:p w14:paraId="42EF99D5" w14:textId="77777777" w:rsidR="0049383C" w:rsidRDefault="0049383C" w:rsidP="0049383C">
            <w:pPr>
              <w:spacing w:before="120" w:after="120" w:line="240" w:lineRule="auto"/>
              <w:jc w:val="center"/>
            </w:pPr>
          </w:p>
        </w:tc>
        <w:tc>
          <w:tcPr>
            <w:tcW w:w="1310" w:type="dxa"/>
            <w:tcBorders>
              <w:right w:val="single" w:sz="6" w:space="0" w:color="auto"/>
            </w:tcBorders>
            <w:vAlign w:val="center"/>
          </w:tcPr>
          <w:p w14:paraId="7CED4BD4" w14:textId="77777777" w:rsidR="0049383C" w:rsidRDefault="0049383C" w:rsidP="0049383C">
            <w:pPr>
              <w:spacing w:line="240" w:lineRule="auto"/>
              <w:jc w:val="center"/>
            </w:pPr>
            <w:r>
              <w:t>344.7</w:t>
            </w:r>
          </w:p>
        </w:tc>
        <w:tc>
          <w:tcPr>
            <w:tcW w:w="871" w:type="dxa"/>
            <w:tcBorders>
              <w:left w:val="single" w:sz="6" w:space="0" w:color="auto"/>
            </w:tcBorders>
            <w:vAlign w:val="center"/>
          </w:tcPr>
          <w:p w14:paraId="368300D9" w14:textId="77777777" w:rsidR="0049383C" w:rsidRDefault="0049383C" w:rsidP="0049383C">
            <w:pPr>
              <w:spacing w:line="240" w:lineRule="auto"/>
              <w:jc w:val="right"/>
            </w:pPr>
            <w:r>
              <w:t>64.93</w:t>
            </w:r>
          </w:p>
        </w:tc>
        <w:tc>
          <w:tcPr>
            <w:tcW w:w="360" w:type="dxa"/>
            <w:vAlign w:val="center"/>
          </w:tcPr>
          <w:p w14:paraId="5AC44FFC" w14:textId="77777777" w:rsidR="0049383C" w:rsidRDefault="0049383C" w:rsidP="0049383C">
            <w:pPr>
              <w:spacing w:line="240" w:lineRule="auto"/>
              <w:jc w:val="center"/>
            </w:pPr>
            <w:r>
              <w:t>±</w:t>
            </w:r>
          </w:p>
        </w:tc>
        <w:tc>
          <w:tcPr>
            <w:tcW w:w="871" w:type="dxa"/>
            <w:tcBorders>
              <w:right w:val="single" w:sz="6" w:space="0" w:color="auto"/>
            </w:tcBorders>
            <w:vAlign w:val="center"/>
          </w:tcPr>
          <w:p w14:paraId="383D5781" w14:textId="77777777" w:rsidR="0049383C" w:rsidRDefault="0049383C" w:rsidP="0049383C">
            <w:pPr>
              <w:spacing w:line="240" w:lineRule="auto"/>
              <w:jc w:val="left"/>
            </w:pPr>
            <w:r>
              <w:t>1.33</w:t>
            </w:r>
          </w:p>
        </w:tc>
        <w:tc>
          <w:tcPr>
            <w:tcW w:w="871" w:type="dxa"/>
            <w:tcBorders>
              <w:left w:val="single" w:sz="6" w:space="0" w:color="auto"/>
            </w:tcBorders>
            <w:vAlign w:val="center"/>
          </w:tcPr>
          <w:p w14:paraId="2452CB5A" w14:textId="77777777" w:rsidR="0049383C" w:rsidRDefault="0049383C" w:rsidP="0049383C">
            <w:pPr>
              <w:spacing w:line="240" w:lineRule="auto"/>
              <w:jc w:val="right"/>
            </w:pPr>
            <w:r>
              <w:t>58.29</w:t>
            </w:r>
          </w:p>
        </w:tc>
        <w:tc>
          <w:tcPr>
            <w:tcW w:w="360" w:type="dxa"/>
            <w:vAlign w:val="center"/>
          </w:tcPr>
          <w:p w14:paraId="17500D38" w14:textId="77777777" w:rsidR="0049383C" w:rsidRDefault="0049383C" w:rsidP="0049383C">
            <w:pPr>
              <w:spacing w:line="240" w:lineRule="auto"/>
              <w:jc w:val="center"/>
            </w:pPr>
            <w:r>
              <w:t>±</w:t>
            </w:r>
          </w:p>
        </w:tc>
        <w:tc>
          <w:tcPr>
            <w:tcW w:w="871" w:type="dxa"/>
            <w:tcBorders>
              <w:right w:val="single" w:sz="6" w:space="0" w:color="auto"/>
            </w:tcBorders>
            <w:vAlign w:val="center"/>
          </w:tcPr>
          <w:p w14:paraId="7517E8CB" w14:textId="77777777" w:rsidR="0049383C" w:rsidRDefault="0049383C" w:rsidP="0049383C">
            <w:pPr>
              <w:spacing w:line="240" w:lineRule="auto"/>
              <w:jc w:val="left"/>
            </w:pPr>
            <w:r>
              <w:t>1.77</w:t>
            </w:r>
          </w:p>
        </w:tc>
        <w:tc>
          <w:tcPr>
            <w:tcW w:w="872" w:type="dxa"/>
            <w:tcBorders>
              <w:left w:val="single" w:sz="6" w:space="0" w:color="auto"/>
            </w:tcBorders>
            <w:vAlign w:val="center"/>
          </w:tcPr>
          <w:p w14:paraId="314AB094" w14:textId="77777777" w:rsidR="0049383C" w:rsidRDefault="0049383C" w:rsidP="0049383C">
            <w:pPr>
              <w:spacing w:line="240" w:lineRule="auto"/>
              <w:jc w:val="right"/>
            </w:pPr>
            <w:r>
              <w:t>62.67</w:t>
            </w:r>
          </w:p>
        </w:tc>
        <w:tc>
          <w:tcPr>
            <w:tcW w:w="360" w:type="dxa"/>
            <w:vAlign w:val="center"/>
          </w:tcPr>
          <w:p w14:paraId="1964E8EC" w14:textId="77777777" w:rsidR="0049383C" w:rsidRDefault="0049383C" w:rsidP="0049383C">
            <w:pPr>
              <w:spacing w:line="240" w:lineRule="auto"/>
              <w:jc w:val="center"/>
            </w:pPr>
            <w:r>
              <w:t>±</w:t>
            </w:r>
          </w:p>
        </w:tc>
        <w:tc>
          <w:tcPr>
            <w:tcW w:w="872" w:type="dxa"/>
            <w:tcBorders>
              <w:right w:val="single" w:sz="6" w:space="0" w:color="auto"/>
            </w:tcBorders>
            <w:vAlign w:val="center"/>
          </w:tcPr>
          <w:p w14:paraId="4F486054" w14:textId="77777777" w:rsidR="0049383C" w:rsidRDefault="0049383C" w:rsidP="0049383C">
            <w:pPr>
              <w:spacing w:line="240" w:lineRule="auto"/>
              <w:jc w:val="left"/>
            </w:pPr>
            <w:r>
              <w:t>5.03</w:t>
            </w:r>
          </w:p>
        </w:tc>
      </w:tr>
      <w:tr w:rsidR="0049383C" w14:paraId="077160BF" w14:textId="77777777" w:rsidTr="0049383C">
        <w:trPr>
          <w:cantSplit/>
          <w:trHeight w:val="360"/>
          <w:jc w:val="center"/>
        </w:trPr>
        <w:tc>
          <w:tcPr>
            <w:tcW w:w="871" w:type="dxa"/>
            <w:vMerge/>
            <w:tcBorders>
              <w:left w:val="single" w:sz="6" w:space="0" w:color="auto"/>
              <w:bottom w:val="single" w:sz="6" w:space="0" w:color="auto"/>
            </w:tcBorders>
            <w:vAlign w:val="center"/>
          </w:tcPr>
          <w:p w14:paraId="08EAC1E4" w14:textId="77777777" w:rsidR="0049383C" w:rsidRDefault="0049383C" w:rsidP="0049383C">
            <w:pPr>
              <w:spacing w:before="120" w:after="120" w:line="240" w:lineRule="auto"/>
              <w:jc w:val="center"/>
            </w:pPr>
          </w:p>
        </w:tc>
        <w:tc>
          <w:tcPr>
            <w:tcW w:w="1310" w:type="dxa"/>
            <w:tcBorders>
              <w:bottom w:val="single" w:sz="6" w:space="0" w:color="auto"/>
              <w:right w:val="single" w:sz="6" w:space="0" w:color="auto"/>
            </w:tcBorders>
            <w:vAlign w:val="center"/>
          </w:tcPr>
          <w:p w14:paraId="311CECEB" w14:textId="77777777" w:rsidR="0049383C" w:rsidRDefault="0049383C" w:rsidP="0049383C">
            <w:pPr>
              <w:spacing w:line="240" w:lineRule="auto"/>
              <w:jc w:val="center"/>
            </w:pPr>
            <w:r>
              <w:t>482.6</w:t>
            </w:r>
          </w:p>
        </w:tc>
        <w:tc>
          <w:tcPr>
            <w:tcW w:w="871" w:type="dxa"/>
            <w:tcBorders>
              <w:left w:val="single" w:sz="6" w:space="0" w:color="auto"/>
              <w:bottom w:val="single" w:sz="6" w:space="0" w:color="auto"/>
            </w:tcBorders>
            <w:vAlign w:val="center"/>
          </w:tcPr>
          <w:p w14:paraId="3DB9C9D7" w14:textId="77777777" w:rsidR="0049383C" w:rsidRDefault="0049383C" w:rsidP="0049383C">
            <w:pPr>
              <w:spacing w:line="240" w:lineRule="auto"/>
              <w:jc w:val="right"/>
            </w:pPr>
            <w:r>
              <w:t>66.62</w:t>
            </w:r>
          </w:p>
        </w:tc>
        <w:tc>
          <w:tcPr>
            <w:tcW w:w="360" w:type="dxa"/>
            <w:tcBorders>
              <w:bottom w:val="single" w:sz="6" w:space="0" w:color="auto"/>
            </w:tcBorders>
            <w:vAlign w:val="center"/>
          </w:tcPr>
          <w:p w14:paraId="1B81081C" w14:textId="77777777" w:rsidR="0049383C" w:rsidRDefault="0049383C" w:rsidP="0049383C">
            <w:pPr>
              <w:spacing w:line="240" w:lineRule="auto"/>
              <w:jc w:val="center"/>
            </w:pPr>
            <w:r>
              <w:t>±</w:t>
            </w:r>
          </w:p>
        </w:tc>
        <w:tc>
          <w:tcPr>
            <w:tcW w:w="871" w:type="dxa"/>
            <w:tcBorders>
              <w:bottom w:val="single" w:sz="6" w:space="0" w:color="auto"/>
              <w:right w:val="single" w:sz="6" w:space="0" w:color="auto"/>
            </w:tcBorders>
            <w:vAlign w:val="center"/>
          </w:tcPr>
          <w:p w14:paraId="4020ED31" w14:textId="77777777" w:rsidR="0049383C" w:rsidRDefault="0049383C" w:rsidP="0049383C">
            <w:pPr>
              <w:spacing w:line="240" w:lineRule="auto"/>
              <w:jc w:val="left"/>
            </w:pPr>
            <w:r>
              <w:t>2.79</w:t>
            </w:r>
          </w:p>
        </w:tc>
        <w:tc>
          <w:tcPr>
            <w:tcW w:w="871" w:type="dxa"/>
            <w:tcBorders>
              <w:left w:val="single" w:sz="6" w:space="0" w:color="auto"/>
              <w:bottom w:val="single" w:sz="6" w:space="0" w:color="auto"/>
            </w:tcBorders>
            <w:vAlign w:val="center"/>
          </w:tcPr>
          <w:p w14:paraId="4A385488" w14:textId="77777777" w:rsidR="0049383C" w:rsidRDefault="0049383C" w:rsidP="0049383C">
            <w:pPr>
              <w:spacing w:line="240" w:lineRule="auto"/>
              <w:jc w:val="right"/>
            </w:pPr>
            <w:r>
              <w:t>62.58</w:t>
            </w:r>
          </w:p>
        </w:tc>
        <w:tc>
          <w:tcPr>
            <w:tcW w:w="360" w:type="dxa"/>
            <w:tcBorders>
              <w:bottom w:val="single" w:sz="6" w:space="0" w:color="auto"/>
            </w:tcBorders>
            <w:vAlign w:val="center"/>
          </w:tcPr>
          <w:p w14:paraId="6E0FB62D" w14:textId="77777777" w:rsidR="0049383C" w:rsidRDefault="0049383C" w:rsidP="0049383C">
            <w:pPr>
              <w:spacing w:line="240" w:lineRule="auto"/>
              <w:jc w:val="center"/>
            </w:pPr>
            <w:r>
              <w:t>±</w:t>
            </w:r>
          </w:p>
        </w:tc>
        <w:tc>
          <w:tcPr>
            <w:tcW w:w="871" w:type="dxa"/>
            <w:tcBorders>
              <w:bottom w:val="single" w:sz="6" w:space="0" w:color="auto"/>
              <w:right w:val="single" w:sz="6" w:space="0" w:color="auto"/>
            </w:tcBorders>
            <w:vAlign w:val="center"/>
          </w:tcPr>
          <w:p w14:paraId="6BCCD534" w14:textId="77777777" w:rsidR="0049383C" w:rsidRDefault="0049383C" w:rsidP="0049383C">
            <w:pPr>
              <w:spacing w:line="240" w:lineRule="auto"/>
              <w:jc w:val="left"/>
            </w:pPr>
            <w:r>
              <w:t>3.97</w:t>
            </w:r>
          </w:p>
        </w:tc>
        <w:tc>
          <w:tcPr>
            <w:tcW w:w="872" w:type="dxa"/>
            <w:tcBorders>
              <w:left w:val="single" w:sz="6" w:space="0" w:color="auto"/>
              <w:bottom w:val="single" w:sz="6" w:space="0" w:color="auto"/>
            </w:tcBorders>
            <w:vAlign w:val="center"/>
          </w:tcPr>
          <w:p w14:paraId="2C1C2BA5" w14:textId="77777777" w:rsidR="0049383C" w:rsidRDefault="0049383C" w:rsidP="0049383C">
            <w:pPr>
              <w:spacing w:line="240" w:lineRule="auto"/>
              <w:jc w:val="right"/>
            </w:pPr>
            <w:r>
              <w:t>61.90</w:t>
            </w:r>
          </w:p>
        </w:tc>
        <w:tc>
          <w:tcPr>
            <w:tcW w:w="360" w:type="dxa"/>
            <w:tcBorders>
              <w:bottom w:val="single" w:sz="6" w:space="0" w:color="auto"/>
            </w:tcBorders>
            <w:vAlign w:val="center"/>
          </w:tcPr>
          <w:p w14:paraId="4FC3273E" w14:textId="77777777" w:rsidR="0049383C" w:rsidRDefault="0049383C" w:rsidP="0049383C">
            <w:pPr>
              <w:spacing w:line="240" w:lineRule="auto"/>
              <w:jc w:val="center"/>
            </w:pPr>
            <w:r>
              <w:t>±</w:t>
            </w:r>
          </w:p>
        </w:tc>
        <w:tc>
          <w:tcPr>
            <w:tcW w:w="872" w:type="dxa"/>
            <w:tcBorders>
              <w:bottom w:val="single" w:sz="6" w:space="0" w:color="auto"/>
              <w:right w:val="single" w:sz="6" w:space="0" w:color="auto"/>
            </w:tcBorders>
            <w:vAlign w:val="center"/>
          </w:tcPr>
          <w:p w14:paraId="0CC5483F" w14:textId="77777777" w:rsidR="0049383C" w:rsidRDefault="0049383C" w:rsidP="0049383C">
            <w:pPr>
              <w:spacing w:line="240" w:lineRule="auto"/>
              <w:jc w:val="left"/>
            </w:pPr>
            <w:r>
              <w:t>0.38</w:t>
            </w:r>
          </w:p>
        </w:tc>
      </w:tr>
      <w:tr w:rsidR="0049383C" w14:paraId="3A152507" w14:textId="77777777" w:rsidTr="0049383C">
        <w:trPr>
          <w:cantSplit/>
          <w:trHeight w:val="360"/>
          <w:jc w:val="center"/>
        </w:trPr>
        <w:tc>
          <w:tcPr>
            <w:tcW w:w="871" w:type="dxa"/>
            <w:vMerge w:val="restart"/>
            <w:tcBorders>
              <w:top w:val="single" w:sz="6" w:space="0" w:color="auto"/>
              <w:left w:val="single" w:sz="6" w:space="0" w:color="auto"/>
            </w:tcBorders>
            <w:textDirection w:val="btLr"/>
            <w:vAlign w:val="center"/>
          </w:tcPr>
          <w:p w14:paraId="23993A48" w14:textId="77777777" w:rsidR="0049383C" w:rsidRDefault="0049383C" w:rsidP="0049383C">
            <w:pPr>
              <w:spacing w:before="120" w:after="120" w:line="240" w:lineRule="auto"/>
              <w:ind w:left="113" w:right="113"/>
              <w:jc w:val="center"/>
            </w:pPr>
            <w:r>
              <w:t>99% RH</w:t>
            </w:r>
          </w:p>
        </w:tc>
        <w:tc>
          <w:tcPr>
            <w:tcW w:w="1310" w:type="dxa"/>
            <w:tcBorders>
              <w:top w:val="single" w:sz="6" w:space="0" w:color="auto"/>
              <w:right w:val="single" w:sz="6" w:space="0" w:color="auto"/>
            </w:tcBorders>
            <w:vAlign w:val="center"/>
          </w:tcPr>
          <w:p w14:paraId="485DAD27" w14:textId="77777777" w:rsidR="0049383C" w:rsidRDefault="0049383C" w:rsidP="0049383C">
            <w:pPr>
              <w:spacing w:line="240" w:lineRule="auto"/>
              <w:jc w:val="center"/>
            </w:pPr>
            <w:r>
              <w:t>68.9</w:t>
            </w:r>
          </w:p>
        </w:tc>
        <w:tc>
          <w:tcPr>
            <w:tcW w:w="871" w:type="dxa"/>
            <w:tcBorders>
              <w:top w:val="single" w:sz="6" w:space="0" w:color="auto"/>
              <w:left w:val="single" w:sz="6" w:space="0" w:color="auto"/>
            </w:tcBorders>
            <w:vAlign w:val="center"/>
          </w:tcPr>
          <w:p w14:paraId="4CC89892" w14:textId="77777777" w:rsidR="0049383C" w:rsidRDefault="0049383C" w:rsidP="0049383C">
            <w:pPr>
              <w:spacing w:line="240" w:lineRule="auto"/>
              <w:jc w:val="right"/>
            </w:pPr>
            <w:r>
              <w:t>52.63</w:t>
            </w:r>
          </w:p>
        </w:tc>
        <w:tc>
          <w:tcPr>
            <w:tcW w:w="360" w:type="dxa"/>
            <w:tcBorders>
              <w:top w:val="single" w:sz="6" w:space="0" w:color="auto"/>
            </w:tcBorders>
            <w:vAlign w:val="center"/>
          </w:tcPr>
          <w:p w14:paraId="4691E5FE" w14:textId="77777777" w:rsidR="0049383C" w:rsidRDefault="0049383C" w:rsidP="0049383C">
            <w:pPr>
              <w:spacing w:line="240" w:lineRule="auto"/>
              <w:jc w:val="center"/>
            </w:pPr>
            <w:r>
              <w:t>±</w:t>
            </w:r>
          </w:p>
        </w:tc>
        <w:tc>
          <w:tcPr>
            <w:tcW w:w="871" w:type="dxa"/>
            <w:tcBorders>
              <w:top w:val="single" w:sz="6" w:space="0" w:color="auto"/>
              <w:right w:val="single" w:sz="6" w:space="0" w:color="auto"/>
            </w:tcBorders>
            <w:vAlign w:val="center"/>
          </w:tcPr>
          <w:p w14:paraId="663109A7" w14:textId="77777777" w:rsidR="0049383C" w:rsidRDefault="0049383C" w:rsidP="0049383C">
            <w:pPr>
              <w:spacing w:line="240" w:lineRule="auto"/>
              <w:jc w:val="left"/>
            </w:pPr>
            <w:r>
              <w:t>4.37</w:t>
            </w:r>
          </w:p>
        </w:tc>
        <w:tc>
          <w:tcPr>
            <w:tcW w:w="871" w:type="dxa"/>
            <w:tcBorders>
              <w:top w:val="single" w:sz="6" w:space="0" w:color="auto"/>
              <w:left w:val="single" w:sz="6" w:space="0" w:color="auto"/>
            </w:tcBorders>
            <w:vAlign w:val="center"/>
          </w:tcPr>
          <w:p w14:paraId="024C3758" w14:textId="77777777" w:rsidR="0049383C" w:rsidRDefault="0049383C" w:rsidP="0049383C">
            <w:pPr>
              <w:spacing w:line="240" w:lineRule="auto"/>
              <w:jc w:val="right"/>
            </w:pPr>
            <w:r>
              <w:t>49.21</w:t>
            </w:r>
          </w:p>
        </w:tc>
        <w:tc>
          <w:tcPr>
            <w:tcW w:w="360" w:type="dxa"/>
            <w:tcBorders>
              <w:top w:val="single" w:sz="6" w:space="0" w:color="auto"/>
            </w:tcBorders>
            <w:vAlign w:val="center"/>
          </w:tcPr>
          <w:p w14:paraId="40F3DF1E" w14:textId="77777777" w:rsidR="0049383C" w:rsidRDefault="0049383C" w:rsidP="0049383C">
            <w:pPr>
              <w:spacing w:line="240" w:lineRule="auto"/>
              <w:jc w:val="center"/>
            </w:pPr>
            <w:r>
              <w:t>±</w:t>
            </w:r>
          </w:p>
        </w:tc>
        <w:tc>
          <w:tcPr>
            <w:tcW w:w="871" w:type="dxa"/>
            <w:tcBorders>
              <w:top w:val="single" w:sz="6" w:space="0" w:color="auto"/>
              <w:right w:val="single" w:sz="6" w:space="0" w:color="auto"/>
            </w:tcBorders>
            <w:vAlign w:val="center"/>
          </w:tcPr>
          <w:p w14:paraId="66C36BEC" w14:textId="77777777" w:rsidR="0049383C" w:rsidRDefault="0049383C" w:rsidP="0049383C">
            <w:pPr>
              <w:spacing w:line="240" w:lineRule="auto"/>
              <w:jc w:val="left"/>
            </w:pPr>
            <w:r>
              <w:t>4.06</w:t>
            </w:r>
          </w:p>
        </w:tc>
        <w:tc>
          <w:tcPr>
            <w:tcW w:w="872" w:type="dxa"/>
            <w:tcBorders>
              <w:top w:val="single" w:sz="6" w:space="0" w:color="auto"/>
              <w:left w:val="single" w:sz="6" w:space="0" w:color="auto"/>
            </w:tcBorders>
            <w:vAlign w:val="center"/>
          </w:tcPr>
          <w:p w14:paraId="72102E66" w14:textId="77777777" w:rsidR="0049383C" w:rsidRDefault="0049383C" w:rsidP="0049383C">
            <w:pPr>
              <w:spacing w:line="240" w:lineRule="auto"/>
              <w:jc w:val="right"/>
            </w:pPr>
            <w:r>
              <w:t>52.67</w:t>
            </w:r>
          </w:p>
        </w:tc>
        <w:tc>
          <w:tcPr>
            <w:tcW w:w="360" w:type="dxa"/>
            <w:tcBorders>
              <w:top w:val="single" w:sz="6" w:space="0" w:color="auto"/>
            </w:tcBorders>
            <w:vAlign w:val="center"/>
          </w:tcPr>
          <w:p w14:paraId="71D0EDF2" w14:textId="77777777" w:rsidR="0049383C" w:rsidRDefault="0049383C" w:rsidP="0049383C">
            <w:pPr>
              <w:spacing w:line="240" w:lineRule="auto"/>
              <w:jc w:val="center"/>
            </w:pPr>
            <w:r>
              <w:t>±</w:t>
            </w:r>
          </w:p>
        </w:tc>
        <w:tc>
          <w:tcPr>
            <w:tcW w:w="872" w:type="dxa"/>
            <w:tcBorders>
              <w:top w:val="single" w:sz="6" w:space="0" w:color="auto"/>
              <w:right w:val="single" w:sz="6" w:space="0" w:color="auto"/>
            </w:tcBorders>
            <w:vAlign w:val="center"/>
          </w:tcPr>
          <w:p w14:paraId="77455685" w14:textId="77777777" w:rsidR="0049383C" w:rsidRDefault="0049383C" w:rsidP="0049383C">
            <w:pPr>
              <w:spacing w:line="240" w:lineRule="auto"/>
              <w:jc w:val="left"/>
            </w:pPr>
            <w:r>
              <w:t>1.78</w:t>
            </w:r>
          </w:p>
        </w:tc>
      </w:tr>
      <w:tr w:rsidR="0049383C" w14:paraId="27B3236A" w14:textId="77777777" w:rsidTr="0049383C">
        <w:trPr>
          <w:cantSplit/>
          <w:trHeight w:val="360"/>
          <w:jc w:val="center"/>
        </w:trPr>
        <w:tc>
          <w:tcPr>
            <w:tcW w:w="871" w:type="dxa"/>
            <w:vMerge/>
            <w:tcBorders>
              <w:left w:val="single" w:sz="6" w:space="0" w:color="auto"/>
            </w:tcBorders>
            <w:vAlign w:val="center"/>
          </w:tcPr>
          <w:p w14:paraId="583A48FF" w14:textId="77777777" w:rsidR="0049383C" w:rsidRDefault="0049383C" w:rsidP="0049383C">
            <w:pPr>
              <w:spacing w:before="120" w:after="120" w:line="240" w:lineRule="auto"/>
              <w:jc w:val="center"/>
            </w:pPr>
          </w:p>
        </w:tc>
        <w:tc>
          <w:tcPr>
            <w:tcW w:w="1310" w:type="dxa"/>
            <w:tcBorders>
              <w:right w:val="single" w:sz="6" w:space="0" w:color="auto"/>
            </w:tcBorders>
            <w:vAlign w:val="center"/>
          </w:tcPr>
          <w:p w14:paraId="4F0F351A" w14:textId="77777777" w:rsidR="0049383C" w:rsidRDefault="0049383C" w:rsidP="0049383C">
            <w:pPr>
              <w:spacing w:line="240" w:lineRule="auto"/>
              <w:jc w:val="center"/>
            </w:pPr>
            <w:r>
              <w:t>206.8</w:t>
            </w:r>
          </w:p>
        </w:tc>
        <w:tc>
          <w:tcPr>
            <w:tcW w:w="871" w:type="dxa"/>
            <w:tcBorders>
              <w:left w:val="single" w:sz="6" w:space="0" w:color="auto"/>
            </w:tcBorders>
            <w:vAlign w:val="center"/>
          </w:tcPr>
          <w:p w14:paraId="157517D1" w14:textId="77777777" w:rsidR="0049383C" w:rsidRDefault="0049383C" w:rsidP="0049383C">
            <w:pPr>
              <w:spacing w:line="240" w:lineRule="auto"/>
              <w:jc w:val="right"/>
            </w:pPr>
            <w:r>
              <w:t>64.94</w:t>
            </w:r>
          </w:p>
        </w:tc>
        <w:tc>
          <w:tcPr>
            <w:tcW w:w="360" w:type="dxa"/>
            <w:vAlign w:val="center"/>
          </w:tcPr>
          <w:p w14:paraId="481F5995" w14:textId="77777777" w:rsidR="0049383C" w:rsidRDefault="0049383C" w:rsidP="0049383C">
            <w:pPr>
              <w:spacing w:line="240" w:lineRule="auto"/>
              <w:jc w:val="center"/>
            </w:pPr>
            <w:r>
              <w:t>±</w:t>
            </w:r>
          </w:p>
        </w:tc>
        <w:tc>
          <w:tcPr>
            <w:tcW w:w="871" w:type="dxa"/>
            <w:tcBorders>
              <w:right w:val="single" w:sz="6" w:space="0" w:color="auto"/>
            </w:tcBorders>
            <w:vAlign w:val="center"/>
          </w:tcPr>
          <w:p w14:paraId="75BC8CDB" w14:textId="77777777" w:rsidR="0049383C" w:rsidRDefault="0049383C" w:rsidP="0049383C">
            <w:pPr>
              <w:spacing w:line="240" w:lineRule="auto"/>
              <w:jc w:val="left"/>
            </w:pPr>
            <w:r>
              <w:t>2.56</w:t>
            </w:r>
          </w:p>
        </w:tc>
        <w:tc>
          <w:tcPr>
            <w:tcW w:w="871" w:type="dxa"/>
            <w:tcBorders>
              <w:left w:val="single" w:sz="6" w:space="0" w:color="auto"/>
            </w:tcBorders>
            <w:vAlign w:val="center"/>
          </w:tcPr>
          <w:p w14:paraId="5D74A4B1" w14:textId="77777777" w:rsidR="0049383C" w:rsidRDefault="0049383C" w:rsidP="0049383C">
            <w:pPr>
              <w:spacing w:line="240" w:lineRule="auto"/>
              <w:jc w:val="right"/>
            </w:pPr>
            <w:r>
              <w:t>53.91</w:t>
            </w:r>
          </w:p>
        </w:tc>
        <w:tc>
          <w:tcPr>
            <w:tcW w:w="360" w:type="dxa"/>
            <w:vAlign w:val="center"/>
          </w:tcPr>
          <w:p w14:paraId="5EDF134F" w14:textId="77777777" w:rsidR="0049383C" w:rsidRDefault="0049383C" w:rsidP="0049383C">
            <w:pPr>
              <w:spacing w:line="240" w:lineRule="auto"/>
              <w:jc w:val="center"/>
            </w:pPr>
            <w:r>
              <w:t>±</w:t>
            </w:r>
          </w:p>
        </w:tc>
        <w:tc>
          <w:tcPr>
            <w:tcW w:w="871" w:type="dxa"/>
            <w:tcBorders>
              <w:right w:val="single" w:sz="6" w:space="0" w:color="auto"/>
            </w:tcBorders>
            <w:vAlign w:val="center"/>
          </w:tcPr>
          <w:p w14:paraId="2EF4A4F4" w14:textId="77777777" w:rsidR="0049383C" w:rsidRDefault="0049383C" w:rsidP="0049383C">
            <w:pPr>
              <w:spacing w:line="240" w:lineRule="auto"/>
              <w:jc w:val="left"/>
            </w:pPr>
            <w:r>
              <w:t>2.80</w:t>
            </w:r>
          </w:p>
        </w:tc>
        <w:tc>
          <w:tcPr>
            <w:tcW w:w="872" w:type="dxa"/>
            <w:tcBorders>
              <w:left w:val="single" w:sz="6" w:space="0" w:color="auto"/>
            </w:tcBorders>
            <w:vAlign w:val="center"/>
          </w:tcPr>
          <w:p w14:paraId="7A68E3A7" w14:textId="77777777" w:rsidR="0049383C" w:rsidRDefault="0049383C" w:rsidP="0049383C">
            <w:pPr>
              <w:spacing w:line="240" w:lineRule="auto"/>
              <w:jc w:val="right"/>
            </w:pPr>
            <w:r>
              <w:t>60.46</w:t>
            </w:r>
          </w:p>
        </w:tc>
        <w:tc>
          <w:tcPr>
            <w:tcW w:w="360" w:type="dxa"/>
            <w:vAlign w:val="center"/>
          </w:tcPr>
          <w:p w14:paraId="24F274A8" w14:textId="77777777" w:rsidR="0049383C" w:rsidRDefault="0049383C" w:rsidP="0049383C">
            <w:pPr>
              <w:spacing w:line="240" w:lineRule="auto"/>
              <w:jc w:val="center"/>
            </w:pPr>
            <w:r>
              <w:t>±</w:t>
            </w:r>
          </w:p>
        </w:tc>
        <w:tc>
          <w:tcPr>
            <w:tcW w:w="872" w:type="dxa"/>
            <w:tcBorders>
              <w:right w:val="single" w:sz="6" w:space="0" w:color="auto"/>
            </w:tcBorders>
            <w:vAlign w:val="center"/>
          </w:tcPr>
          <w:p w14:paraId="04721598" w14:textId="77777777" w:rsidR="0049383C" w:rsidRDefault="0049383C" w:rsidP="0049383C">
            <w:pPr>
              <w:spacing w:line="240" w:lineRule="auto"/>
              <w:jc w:val="left"/>
            </w:pPr>
            <w:r>
              <w:t>1.65</w:t>
            </w:r>
          </w:p>
        </w:tc>
      </w:tr>
      <w:tr w:rsidR="0049383C" w14:paraId="25F862DA" w14:textId="77777777" w:rsidTr="0049383C">
        <w:trPr>
          <w:cantSplit/>
          <w:trHeight w:val="360"/>
          <w:jc w:val="center"/>
        </w:trPr>
        <w:tc>
          <w:tcPr>
            <w:tcW w:w="871" w:type="dxa"/>
            <w:vMerge/>
            <w:tcBorders>
              <w:left w:val="single" w:sz="6" w:space="0" w:color="auto"/>
            </w:tcBorders>
            <w:vAlign w:val="center"/>
          </w:tcPr>
          <w:p w14:paraId="1E626005" w14:textId="77777777" w:rsidR="0049383C" w:rsidRDefault="0049383C" w:rsidP="0049383C">
            <w:pPr>
              <w:spacing w:before="120" w:after="120" w:line="240" w:lineRule="auto"/>
              <w:jc w:val="center"/>
            </w:pPr>
          </w:p>
        </w:tc>
        <w:tc>
          <w:tcPr>
            <w:tcW w:w="1310" w:type="dxa"/>
            <w:tcBorders>
              <w:right w:val="single" w:sz="6" w:space="0" w:color="auto"/>
            </w:tcBorders>
            <w:vAlign w:val="center"/>
          </w:tcPr>
          <w:p w14:paraId="3F0A505F" w14:textId="77777777" w:rsidR="0049383C" w:rsidRDefault="0049383C" w:rsidP="0049383C">
            <w:pPr>
              <w:spacing w:line="240" w:lineRule="auto"/>
              <w:jc w:val="center"/>
            </w:pPr>
            <w:r>
              <w:t>344.7</w:t>
            </w:r>
          </w:p>
        </w:tc>
        <w:tc>
          <w:tcPr>
            <w:tcW w:w="871" w:type="dxa"/>
            <w:tcBorders>
              <w:left w:val="single" w:sz="6" w:space="0" w:color="auto"/>
            </w:tcBorders>
            <w:vAlign w:val="center"/>
          </w:tcPr>
          <w:p w14:paraId="09BA1AF7" w14:textId="77777777" w:rsidR="0049383C" w:rsidRDefault="0049383C" w:rsidP="0049383C">
            <w:pPr>
              <w:spacing w:line="240" w:lineRule="auto"/>
              <w:jc w:val="right"/>
            </w:pPr>
            <w:r>
              <w:t>65.57</w:t>
            </w:r>
          </w:p>
        </w:tc>
        <w:tc>
          <w:tcPr>
            <w:tcW w:w="360" w:type="dxa"/>
            <w:vAlign w:val="center"/>
          </w:tcPr>
          <w:p w14:paraId="43A93006" w14:textId="77777777" w:rsidR="0049383C" w:rsidRDefault="0049383C" w:rsidP="0049383C">
            <w:pPr>
              <w:spacing w:line="240" w:lineRule="auto"/>
              <w:jc w:val="center"/>
            </w:pPr>
            <w:r>
              <w:t>±</w:t>
            </w:r>
          </w:p>
        </w:tc>
        <w:tc>
          <w:tcPr>
            <w:tcW w:w="871" w:type="dxa"/>
            <w:tcBorders>
              <w:right w:val="single" w:sz="6" w:space="0" w:color="auto"/>
            </w:tcBorders>
            <w:vAlign w:val="center"/>
          </w:tcPr>
          <w:p w14:paraId="4CA43C28" w14:textId="77777777" w:rsidR="0049383C" w:rsidRDefault="0049383C" w:rsidP="0049383C">
            <w:pPr>
              <w:spacing w:line="240" w:lineRule="auto"/>
              <w:jc w:val="left"/>
            </w:pPr>
            <w:r>
              <w:t>2.56</w:t>
            </w:r>
          </w:p>
        </w:tc>
        <w:tc>
          <w:tcPr>
            <w:tcW w:w="871" w:type="dxa"/>
            <w:tcBorders>
              <w:left w:val="single" w:sz="6" w:space="0" w:color="auto"/>
            </w:tcBorders>
            <w:vAlign w:val="center"/>
          </w:tcPr>
          <w:p w14:paraId="53A4AC89" w14:textId="77777777" w:rsidR="0049383C" w:rsidRDefault="0049383C" w:rsidP="0049383C">
            <w:pPr>
              <w:spacing w:line="240" w:lineRule="auto"/>
              <w:jc w:val="right"/>
            </w:pPr>
            <w:r>
              <w:t>58.17</w:t>
            </w:r>
          </w:p>
        </w:tc>
        <w:tc>
          <w:tcPr>
            <w:tcW w:w="360" w:type="dxa"/>
            <w:vAlign w:val="center"/>
          </w:tcPr>
          <w:p w14:paraId="6F7BF416" w14:textId="77777777" w:rsidR="0049383C" w:rsidRDefault="0049383C" w:rsidP="0049383C">
            <w:pPr>
              <w:spacing w:line="240" w:lineRule="auto"/>
              <w:jc w:val="center"/>
            </w:pPr>
            <w:r>
              <w:t>±</w:t>
            </w:r>
          </w:p>
        </w:tc>
        <w:tc>
          <w:tcPr>
            <w:tcW w:w="871" w:type="dxa"/>
            <w:tcBorders>
              <w:right w:val="single" w:sz="6" w:space="0" w:color="auto"/>
            </w:tcBorders>
            <w:vAlign w:val="center"/>
          </w:tcPr>
          <w:p w14:paraId="014FD48D" w14:textId="77777777" w:rsidR="0049383C" w:rsidRDefault="0049383C" w:rsidP="0049383C">
            <w:pPr>
              <w:spacing w:line="240" w:lineRule="auto"/>
              <w:jc w:val="left"/>
            </w:pPr>
            <w:r>
              <w:t>2.00</w:t>
            </w:r>
          </w:p>
        </w:tc>
        <w:tc>
          <w:tcPr>
            <w:tcW w:w="872" w:type="dxa"/>
            <w:tcBorders>
              <w:left w:val="single" w:sz="6" w:space="0" w:color="auto"/>
            </w:tcBorders>
            <w:vAlign w:val="center"/>
          </w:tcPr>
          <w:p w14:paraId="6E99CFB4" w14:textId="77777777" w:rsidR="0049383C" w:rsidRDefault="0049383C" w:rsidP="0049383C">
            <w:pPr>
              <w:spacing w:line="240" w:lineRule="auto"/>
              <w:jc w:val="right"/>
            </w:pPr>
            <w:r>
              <w:t>59.14</w:t>
            </w:r>
          </w:p>
        </w:tc>
        <w:tc>
          <w:tcPr>
            <w:tcW w:w="360" w:type="dxa"/>
            <w:vAlign w:val="center"/>
          </w:tcPr>
          <w:p w14:paraId="1DC22C39" w14:textId="77777777" w:rsidR="0049383C" w:rsidRDefault="0049383C" w:rsidP="0049383C">
            <w:pPr>
              <w:spacing w:line="240" w:lineRule="auto"/>
              <w:jc w:val="center"/>
            </w:pPr>
            <w:r>
              <w:t>±</w:t>
            </w:r>
          </w:p>
        </w:tc>
        <w:tc>
          <w:tcPr>
            <w:tcW w:w="872" w:type="dxa"/>
            <w:tcBorders>
              <w:right w:val="single" w:sz="6" w:space="0" w:color="auto"/>
            </w:tcBorders>
            <w:vAlign w:val="center"/>
          </w:tcPr>
          <w:p w14:paraId="3D274114" w14:textId="77777777" w:rsidR="0049383C" w:rsidRDefault="0049383C" w:rsidP="0049383C">
            <w:pPr>
              <w:spacing w:line="240" w:lineRule="auto"/>
              <w:jc w:val="left"/>
            </w:pPr>
            <w:r>
              <w:t>2.29</w:t>
            </w:r>
          </w:p>
        </w:tc>
      </w:tr>
      <w:tr w:rsidR="0049383C" w14:paraId="030D4F15" w14:textId="77777777" w:rsidTr="0049383C">
        <w:trPr>
          <w:cantSplit/>
          <w:trHeight w:val="360"/>
          <w:jc w:val="center"/>
        </w:trPr>
        <w:tc>
          <w:tcPr>
            <w:tcW w:w="871" w:type="dxa"/>
            <w:vMerge/>
            <w:tcBorders>
              <w:left w:val="single" w:sz="6" w:space="0" w:color="auto"/>
              <w:bottom w:val="single" w:sz="18" w:space="0" w:color="auto"/>
            </w:tcBorders>
            <w:vAlign w:val="center"/>
          </w:tcPr>
          <w:p w14:paraId="44F4FCB8" w14:textId="77777777" w:rsidR="0049383C" w:rsidRDefault="0049383C" w:rsidP="0049383C">
            <w:pPr>
              <w:spacing w:before="120" w:after="120" w:line="240" w:lineRule="auto"/>
              <w:jc w:val="center"/>
            </w:pPr>
          </w:p>
        </w:tc>
        <w:tc>
          <w:tcPr>
            <w:tcW w:w="1310" w:type="dxa"/>
            <w:tcBorders>
              <w:bottom w:val="single" w:sz="18" w:space="0" w:color="auto"/>
              <w:right w:val="single" w:sz="6" w:space="0" w:color="auto"/>
            </w:tcBorders>
            <w:vAlign w:val="center"/>
          </w:tcPr>
          <w:p w14:paraId="058FE92D" w14:textId="77777777" w:rsidR="0049383C" w:rsidRDefault="0049383C" w:rsidP="0049383C">
            <w:pPr>
              <w:spacing w:line="240" w:lineRule="auto"/>
              <w:jc w:val="center"/>
            </w:pPr>
            <w:r>
              <w:t>482.6</w:t>
            </w:r>
          </w:p>
        </w:tc>
        <w:tc>
          <w:tcPr>
            <w:tcW w:w="871" w:type="dxa"/>
            <w:tcBorders>
              <w:left w:val="single" w:sz="6" w:space="0" w:color="auto"/>
              <w:bottom w:val="single" w:sz="18" w:space="0" w:color="auto"/>
            </w:tcBorders>
            <w:vAlign w:val="center"/>
          </w:tcPr>
          <w:p w14:paraId="7CF11E03" w14:textId="77777777" w:rsidR="0049383C" w:rsidRDefault="0049383C" w:rsidP="0049383C">
            <w:pPr>
              <w:spacing w:line="240" w:lineRule="auto"/>
              <w:jc w:val="right"/>
            </w:pPr>
            <w:r>
              <w:t>64.12</w:t>
            </w:r>
          </w:p>
        </w:tc>
        <w:tc>
          <w:tcPr>
            <w:tcW w:w="360" w:type="dxa"/>
            <w:tcBorders>
              <w:bottom w:val="single" w:sz="18" w:space="0" w:color="auto"/>
            </w:tcBorders>
            <w:vAlign w:val="center"/>
          </w:tcPr>
          <w:p w14:paraId="491961E9" w14:textId="77777777" w:rsidR="0049383C" w:rsidRDefault="0049383C" w:rsidP="0049383C">
            <w:pPr>
              <w:spacing w:line="240" w:lineRule="auto"/>
              <w:jc w:val="center"/>
            </w:pPr>
            <w:r>
              <w:t>±</w:t>
            </w:r>
          </w:p>
        </w:tc>
        <w:tc>
          <w:tcPr>
            <w:tcW w:w="871" w:type="dxa"/>
            <w:tcBorders>
              <w:bottom w:val="single" w:sz="18" w:space="0" w:color="auto"/>
              <w:right w:val="single" w:sz="6" w:space="0" w:color="auto"/>
            </w:tcBorders>
            <w:vAlign w:val="center"/>
          </w:tcPr>
          <w:p w14:paraId="6DCDF531" w14:textId="77777777" w:rsidR="0049383C" w:rsidRDefault="0049383C" w:rsidP="0049383C">
            <w:pPr>
              <w:spacing w:line="240" w:lineRule="auto"/>
              <w:jc w:val="left"/>
            </w:pPr>
            <w:r>
              <w:t>0.98</w:t>
            </w:r>
          </w:p>
        </w:tc>
        <w:tc>
          <w:tcPr>
            <w:tcW w:w="871" w:type="dxa"/>
            <w:tcBorders>
              <w:left w:val="single" w:sz="6" w:space="0" w:color="auto"/>
              <w:bottom w:val="single" w:sz="18" w:space="0" w:color="auto"/>
            </w:tcBorders>
            <w:vAlign w:val="center"/>
          </w:tcPr>
          <w:p w14:paraId="114458EE" w14:textId="77777777" w:rsidR="0049383C" w:rsidRDefault="0049383C" w:rsidP="0049383C">
            <w:pPr>
              <w:spacing w:line="240" w:lineRule="auto"/>
              <w:jc w:val="right"/>
            </w:pPr>
            <w:r>
              <w:t>59.28</w:t>
            </w:r>
          </w:p>
        </w:tc>
        <w:tc>
          <w:tcPr>
            <w:tcW w:w="360" w:type="dxa"/>
            <w:tcBorders>
              <w:bottom w:val="single" w:sz="18" w:space="0" w:color="auto"/>
            </w:tcBorders>
            <w:vAlign w:val="center"/>
          </w:tcPr>
          <w:p w14:paraId="06146D51" w14:textId="77777777" w:rsidR="0049383C" w:rsidRDefault="0049383C" w:rsidP="0049383C">
            <w:pPr>
              <w:spacing w:line="240" w:lineRule="auto"/>
              <w:jc w:val="center"/>
            </w:pPr>
            <w:r>
              <w:t>±</w:t>
            </w:r>
          </w:p>
        </w:tc>
        <w:tc>
          <w:tcPr>
            <w:tcW w:w="871" w:type="dxa"/>
            <w:tcBorders>
              <w:bottom w:val="single" w:sz="18" w:space="0" w:color="auto"/>
              <w:right w:val="single" w:sz="6" w:space="0" w:color="auto"/>
            </w:tcBorders>
            <w:vAlign w:val="center"/>
          </w:tcPr>
          <w:p w14:paraId="58B28182" w14:textId="77777777" w:rsidR="0049383C" w:rsidRDefault="0049383C" w:rsidP="0049383C">
            <w:pPr>
              <w:spacing w:line="240" w:lineRule="auto"/>
              <w:jc w:val="left"/>
            </w:pPr>
            <w:r>
              <w:t>0.46</w:t>
            </w:r>
          </w:p>
        </w:tc>
        <w:tc>
          <w:tcPr>
            <w:tcW w:w="872" w:type="dxa"/>
            <w:tcBorders>
              <w:left w:val="single" w:sz="6" w:space="0" w:color="auto"/>
              <w:bottom w:val="single" w:sz="18" w:space="0" w:color="auto"/>
            </w:tcBorders>
            <w:vAlign w:val="center"/>
          </w:tcPr>
          <w:p w14:paraId="531F4433" w14:textId="77777777" w:rsidR="0049383C" w:rsidRDefault="0049383C" w:rsidP="0049383C">
            <w:pPr>
              <w:spacing w:line="240" w:lineRule="auto"/>
              <w:jc w:val="right"/>
            </w:pPr>
            <w:r>
              <w:t>61.16</w:t>
            </w:r>
          </w:p>
        </w:tc>
        <w:tc>
          <w:tcPr>
            <w:tcW w:w="360" w:type="dxa"/>
            <w:tcBorders>
              <w:bottom w:val="single" w:sz="18" w:space="0" w:color="auto"/>
            </w:tcBorders>
            <w:vAlign w:val="center"/>
          </w:tcPr>
          <w:p w14:paraId="7188288C" w14:textId="77777777" w:rsidR="0049383C" w:rsidRDefault="0049383C" w:rsidP="0049383C">
            <w:pPr>
              <w:spacing w:line="240" w:lineRule="auto"/>
              <w:jc w:val="center"/>
            </w:pPr>
            <w:r>
              <w:t>±</w:t>
            </w:r>
          </w:p>
        </w:tc>
        <w:tc>
          <w:tcPr>
            <w:tcW w:w="872" w:type="dxa"/>
            <w:tcBorders>
              <w:bottom w:val="single" w:sz="18" w:space="0" w:color="auto"/>
              <w:right w:val="single" w:sz="6" w:space="0" w:color="auto"/>
            </w:tcBorders>
            <w:vAlign w:val="center"/>
          </w:tcPr>
          <w:p w14:paraId="0F8882C4" w14:textId="77777777" w:rsidR="0049383C" w:rsidRDefault="0049383C" w:rsidP="0049383C">
            <w:pPr>
              <w:spacing w:line="240" w:lineRule="auto"/>
              <w:jc w:val="left"/>
            </w:pPr>
            <w:r>
              <w:t>1.95</w:t>
            </w:r>
          </w:p>
        </w:tc>
      </w:tr>
    </w:tbl>
    <w:p w14:paraId="309F7CBF" w14:textId="77777777" w:rsidR="0049383C" w:rsidRDefault="0049383C" w:rsidP="0049383C"/>
    <w:p w14:paraId="0C574EF0" w14:textId="0C7BF368" w:rsidR="0049383C" w:rsidRDefault="0049383C">
      <w:pPr>
        <w:spacing w:line="240" w:lineRule="auto"/>
        <w:jc w:val="left"/>
      </w:pPr>
      <w:r>
        <w:br w:type="page"/>
      </w:r>
    </w:p>
    <w:p w14:paraId="3B2DFD9E" w14:textId="77777777" w:rsidR="00787ADF" w:rsidRDefault="00787ADF" w:rsidP="009309E3">
      <w:pPr>
        <w:jc w:val="left"/>
      </w:pPr>
    </w:p>
    <w:p w14:paraId="6E6763F2" w14:textId="3C3F9529" w:rsidR="00787ADF" w:rsidRPr="000A562B" w:rsidRDefault="00787ADF" w:rsidP="00787ADF">
      <w:pPr>
        <w:pStyle w:val="Caption"/>
        <w:keepNext/>
        <w:spacing w:line="240" w:lineRule="auto"/>
        <w:jc w:val="center"/>
        <w:rPr>
          <w:sz w:val="24"/>
        </w:rPr>
      </w:pPr>
      <w:bookmarkStart w:id="332" w:name="_Toc346310862"/>
      <w:r w:rsidRPr="000A562B">
        <w:rPr>
          <w:sz w:val="24"/>
        </w:rPr>
        <w:t xml:space="preserve">Table </w:t>
      </w:r>
      <w:r>
        <w:rPr>
          <w:sz w:val="24"/>
        </w:rPr>
        <w:t>A</w:t>
      </w:r>
      <w:r w:rsidR="00707D23">
        <w:rPr>
          <w:sz w:val="24"/>
        </w:rPr>
        <w:t>.</w:t>
      </w:r>
      <w:r w:rsidR="00707D23">
        <w:rPr>
          <w:sz w:val="24"/>
        </w:rPr>
        <w:fldChar w:fldCharType="begin"/>
      </w:r>
      <w:r w:rsidR="00707D23">
        <w:rPr>
          <w:sz w:val="24"/>
        </w:rPr>
        <w:instrText xml:space="preserve"> SEQ Table \* ARABIC \s 1 </w:instrText>
      </w:r>
      <w:r w:rsidR="00707D23">
        <w:rPr>
          <w:sz w:val="24"/>
        </w:rPr>
        <w:fldChar w:fldCharType="separate"/>
      </w:r>
      <w:r w:rsidR="008A1992">
        <w:rPr>
          <w:noProof/>
          <w:sz w:val="24"/>
        </w:rPr>
        <w:t>2</w:t>
      </w:r>
      <w:r w:rsidR="00707D23">
        <w:rPr>
          <w:sz w:val="24"/>
        </w:rPr>
        <w:fldChar w:fldCharType="end"/>
      </w:r>
      <w:r w:rsidRPr="000A562B">
        <w:rPr>
          <w:sz w:val="24"/>
        </w:rPr>
        <w:t xml:space="preserve"> Average void content </w:t>
      </w:r>
      <w:r w:rsidRPr="00C16655">
        <w:rPr>
          <w:sz w:val="24"/>
        </w:rPr>
        <w:t>and 9</w:t>
      </w:r>
      <w:r>
        <w:rPr>
          <w:sz w:val="24"/>
        </w:rPr>
        <w:t>5</w:t>
      </w:r>
      <w:r w:rsidRPr="00C16655">
        <w:rPr>
          <w:sz w:val="24"/>
        </w:rPr>
        <w:t>% confidence interval for three composite prepreg materials</w:t>
      </w:r>
      <w:bookmarkEnd w:id="332"/>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
        <w:gridCol w:w="1310"/>
        <w:gridCol w:w="871"/>
        <w:gridCol w:w="360"/>
        <w:gridCol w:w="871"/>
        <w:gridCol w:w="871"/>
        <w:gridCol w:w="360"/>
        <w:gridCol w:w="871"/>
        <w:gridCol w:w="872"/>
        <w:gridCol w:w="360"/>
        <w:gridCol w:w="872"/>
      </w:tblGrid>
      <w:tr w:rsidR="00787ADF" w14:paraId="1EC6239D" w14:textId="77777777" w:rsidTr="00787ADF">
        <w:trPr>
          <w:cantSplit/>
          <w:trHeight w:val="1584"/>
          <w:jc w:val="center"/>
        </w:trPr>
        <w:tc>
          <w:tcPr>
            <w:tcW w:w="2181" w:type="dxa"/>
            <w:gridSpan w:val="2"/>
            <w:tcBorders>
              <w:bottom w:val="single" w:sz="18" w:space="0" w:color="auto"/>
            </w:tcBorders>
            <w:vAlign w:val="bottom"/>
          </w:tcPr>
          <w:p w14:paraId="0F723B0B" w14:textId="77777777" w:rsidR="00787ADF" w:rsidRPr="00386413" w:rsidRDefault="00787ADF" w:rsidP="00787ADF">
            <w:pPr>
              <w:spacing w:line="240" w:lineRule="auto"/>
              <w:jc w:val="center"/>
              <w:rPr>
                <w:b/>
              </w:rPr>
            </w:pPr>
            <w:r w:rsidRPr="00386413">
              <w:rPr>
                <w:b/>
              </w:rPr>
              <w:t xml:space="preserve">Prepreg Conditioning </w:t>
            </w:r>
          </w:p>
          <w:p w14:paraId="2C4FDFDA" w14:textId="77777777" w:rsidR="00787ADF" w:rsidRDefault="00787ADF" w:rsidP="00787ADF">
            <w:pPr>
              <w:spacing w:line="240" w:lineRule="auto"/>
              <w:jc w:val="center"/>
            </w:pPr>
            <w:r w:rsidRPr="00386413">
              <w:rPr>
                <w:b/>
              </w:rPr>
              <w:t>(% RH) &amp; Fabrication Pressure (kPa)</w:t>
            </w:r>
          </w:p>
        </w:tc>
        <w:tc>
          <w:tcPr>
            <w:tcW w:w="2102" w:type="dxa"/>
            <w:gridSpan w:val="3"/>
            <w:tcBorders>
              <w:bottom w:val="single" w:sz="18" w:space="0" w:color="auto"/>
            </w:tcBorders>
            <w:vAlign w:val="bottom"/>
          </w:tcPr>
          <w:p w14:paraId="0F4B7348" w14:textId="77777777" w:rsidR="00787ADF" w:rsidRPr="00386413" w:rsidRDefault="00787ADF" w:rsidP="00787ADF">
            <w:pPr>
              <w:spacing w:line="240" w:lineRule="auto"/>
              <w:jc w:val="center"/>
              <w:rPr>
                <w:b/>
              </w:rPr>
            </w:pPr>
            <w:r w:rsidRPr="00386413">
              <w:rPr>
                <w:b/>
              </w:rPr>
              <w:t>Quartz / BMI</w:t>
            </w:r>
          </w:p>
        </w:tc>
        <w:tc>
          <w:tcPr>
            <w:tcW w:w="2102" w:type="dxa"/>
            <w:gridSpan w:val="3"/>
            <w:tcBorders>
              <w:bottom w:val="single" w:sz="18" w:space="0" w:color="auto"/>
            </w:tcBorders>
            <w:vAlign w:val="bottom"/>
          </w:tcPr>
          <w:p w14:paraId="5C9256C3" w14:textId="77777777" w:rsidR="00787ADF" w:rsidRPr="00386413" w:rsidRDefault="00787ADF" w:rsidP="00787ADF">
            <w:pPr>
              <w:spacing w:line="240" w:lineRule="auto"/>
              <w:jc w:val="center"/>
              <w:rPr>
                <w:b/>
              </w:rPr>
            </w:pPr>
            <w:r w:rsidRPr="00386413">
              <w:rPr>
                <w:b/>
              </w:rPr>
              <w:t>Quartz / Epoxy</w:t>
            </w:r>
          </w:p>
        </w:tc>
        <w:tc>
          <w:tcPr>
            <w:tcW w:w="2104" w:type="dxa"/>
            <w:gridSpan w:val="3"/>
            <w:tcBorders>
              <w:bottom w:val="single" w:sz="18" w:space="0" w:color="auto"/>
            </w:tcBorders>
            <w:vAlign w:val="bottom"/>
          </w:tcPr>
          <w:p w14:paraId="75176D39" w14:textId="77777777" w:rsidR="00787ADF" w:rsidRPr="00386413" w:rsidRDefault="00787ADF" w:rsidP="00787ADF">
            <w:pPr>
              <w:spacing w:line="240" w:lineRule="auto"/>
              <w:jc w:val="center"/>
              <w:rPr>
                <w:b/>
              </w:rPr>
            </w:pPr>
            <w:r w:rsidRPr="00386413">
              <w:rPr>
                <w:b/>
              </w:rPr>
              <w:t>Carbon / Epoxy</w:t>
            </w:r>
          </w:p>
        </w:tc>
      </w:tr>
      <w:tr w:rsidR="00787ADF" w14:paraId="72CA6E82" w14:textId="77777777" w:rsidTr="00787ADF">
        <w:trPr>
          <w:cantSplit/>
          <w:trHeight w:val="360"/>
          <w:jc w:val="center"/>
        </w:trPr>
        <w:tc>
          <w:tcPr>
            <w:tcW w:w="871" w:type="dxa"/>
            <w:vMerge w:val="restart"/>
            <w:tcBorders>
              <w:top w:val="single" w:sz="18" w:space="0" w:color="auto"/>
              <w:left w:val="single" w:sz="6" w:space="0" w:color="auto"/>
            </w:tcBorders>
            <w:textDirection w:val="btLr"/>
            <w:vAlign w:val="center"/>
          </w:tcPr>
          <w:p w14:paraId="3250F3E9" w14:textId="77777777" w:rsidR="00787ADF" w:rsidRDefault="00787ADF" w:rsidP="00787ADF">
            <w:pPr>
              <w:spacing w:line="240" w:lineRule="auto"/>
              <w:ind w:left="113" w:right="113"/>
              <w:jc w:val="center"/>
            </w:pPr>
            <w:r>
              <w:t>2% RH</w:t>
            </w:r>
          </w:p>
        </w:tc>
        <w:tc>
          <w:tcPr>
            <w:tcW w:w="1310" w:type="dxa"/>
            <w:tcBorders>
              <w:top w:val="single" w:sz="18" w:space="0" w:color="auto"/>
              <w:right w:val="single" w:sz="6" w:space="0" w:color="auto"/>
            </w:tcBorders>
            <w:vAlign w:val="center"/>
          </w:tcPr>
          <w:p w14:paraId="66A9FC1F" w14:textId="77777777" w:rsidR="00787ADF" w:rsidRDefault="00787ADF" w:rsidP="00787ADF">
            <w:pPr>
              <w:spacing w:line="240" w:lineRule="auto"/>
              <w:jc w:val="center"/>
            </w:pPr>
            <w:r>
              <w:t>68.9</w:t>
            </w:r>
          </w:p>
        </w:tc>
        <w:tc>
          <w:tcPr>
            <w:tcW w:w="871" w:type="dxa"/>
            <w:tcBorders>
              <w:top w:val="single" w:sz="18" w:space="0" w:color="auto"/>
              <w:left w:val="single" w:sz="6" w:space="0" w:color="auto"/>
            </w:tcBorders>
            <w:vAlign w:val="center"/>
          </w:tcPr>
          <w:p w14:paraId="223A203C" w14:textId="77777777" w:rsidR="00787ADF" w:rsidRDefault="00787ADF" w:rsidP="00787ADF">
            <w:pPr>
              <w:spacing w:line="240" w:lineRule="auto"/>
              <w:jc w:val="right"/>
            </w:pPr>
            <w:r>
              <w:t>12.41</w:t>
            </w:r>
          </w:p>
        </w:tc>
        <w:tc>
          <w:tcPr>
            <w:tcW w:w="360" w:type="dxa"/>
            <w:tcBorders>
              <w:top w:val="single" w:sz="18" w:space="0" w:color="auto"/>
            </w:tcBorders>
            <w:vAlign w:val="center"/>
          </w:tcPr>
          <w:p w14:paraId="2AF351A6" w14:textId="77777777" w:rsidR="00787ADF" w:rsidRDefault="00787ADF" w:rsidP="00787ADF">
            <w:pPr>
              <w:spacing w:line="240" w:lineRule="auto"/>
              <w:jc w:val="center"/>
            </w:pPr>
            <w:r>
              <w:t>±</w:t>
            </w:r>
          </w:p>
        </w:tc>
        <w:tc>
          <w:tcPr>
            <w:tcW w:w="871" w:type="dxa"/>
            <w:tcBorders>
              <w:top w:val="single" w:sz="18" w:space="0" w:color="auto"/>
              <w:right w:val="single" w:sz="6" w:space="0" w:color="auto"/>
            </w:tcBorders>
            <w:vAlign w:val="center"/>
          </w:tcPr>
          <w:p w14:paraId="53901B74" w14:textId="77777777" w:rsidR="00787ADF" w:rsidRDefault="00787ADF" w:rsidP="00787ADF">
            <w:pPr>
              <w:spacing w:line="240" w:lineRule="auto"/>
              <w:jc w:val="left"/>
            </w:pPr>
            <w:r>
              <w:t>1.29</w:t>
            </w:r>
          </w:p>
        </w:tc>
        <w:tc>
          <w:tcPr>
            <w:tcW w:w="871" w:type="dxa"/>
            <w:tcBorders>
              <w:top w:val="single" w:sz="18" w:space="0" w:color="auto"/>
              <w:left w:val="single" w:sz="6" w:space="0" w:color="auto"/>
            </w:tcBorders>
            <w:vAlign w:val="center"/>
          </w:tcPr>
          <w:p w14:paraId="5A7A1C49" w14:textId="77777777" w:rsidR="00787ADF" w:rsidRDefault="00787ADF" w:rsidP="00787ADF">
            <w:pPr>
              <w:spacing w:line="240" w:lineRule="auto"/>
              <w:jc w:val="right"/>
            </w:pPr>
            <w:r>
              <w:t>3.52</w:t>
            </w:r>
          </w:p>
        </w:tc>
        <w:tc>
          <w:tcPr>
            <w:tcW w:w="360" w:type="dxa"/>
            <w:tcBorders>
              <w:top w:val="single" w:sz="18" w:space="0" w:color="auto"/>
            </w:tcBorders>
            <w:vAlign w:val="center"/>
          </w:tcPr>
          <w:p w14:paraId="199C12FC" w14:textId="77777777" w:rsidR="00787ADF" w:rsidRDefault="00787ADF" w:rsidP="00787ADF">
            <w:pPr>
              <w:spacing w:line="240" w:lineRule="auto"/>
              <w:jc w:val="center"/>
            </w:pPr>
            <w:r>
              <w:t>±</w:t>
            </w:r>
          </w:p>
        </w:tc>
        <w:tc>
          <w:tcPr>
            <w:tcW w:w="871" w:type="dxa"/>
            <w:tcBorders>
              <w:top w:val="single" w:sz="18" w:space="0" w:color="auto"/>
              <w:right w:val="single" w:sz="6" w:space="0" w:color="auto"/>
            </w:tcBorders>
            <w:vAlign w:val="center"/>
          </w:tcPr>
          <w:p w14:paraId="139107B2" w14:textId="77777777" w:rsidR="00787ADF" w:rsidRDefault="00787ADF" w:rsidP="00787ADF">
            <w:pPr>
              <w:spacing w:line="240" w:lineRule="auto"/>
              <w:jc w:val="left"/>
            </w:pPr>
            <w:r>
              <w:t>1.01</w:t>
            </w:r>
          </w:p>
        </w:tc>
        <w:tc>
          <w:tcPr>
            <w:tcW w:w="872" w:type="dxa"/>
            <w:tcBorders>
              <w:top w:val="single" w:sz="18" w:space="0" w:color="auto"/>
              <w:left w:val="single" w:sz="6" w:space="0" w:color="auto"/>
            </w:tcBorders>
            <w:vAlign w:val="center"/>
          </w:tcPr>
          <w:p w14:paraId="3DE0E958" w14:textId="77777777" w:rsidR="00787ADF" w:rsidRDefault="00787ADF" w:rsidP="00787ADF">
            <w:pPr>
              <w:spacing w:line="240" w:lineRule="auto"/>
              <w:jc w:val="right"/>
            </w:pPr>
            <w:r>
              <w:t>3.21</w:t>
            </w:r>
          </w:p>
        </w:tc>
        <w:tc>
          <w:tcPr>
            <w:tcW w:w="360" w:type="dxa"/>
            <w:tcBorders>
              <w:top w:val="single" w:sz="18" w:space="0" w:color="auto"/>
            </w:tcBorders>
            <w:vAlign w:val="center"/>
          </w:tcPr>
          <w:p w14:paraId="786498DA" w14:textId="77777777" w:rsidR="00787ADF" w:rsidRDefault="00787ADF" w:rsidP="00787ADF">
            <w:pPr>
              <w:spacing w:line="240" w:lineRule="auto"/>
              <w:jc w:val="center"/>
            </w:pPr>
            <w:r>
              <w:t>±</w:t>
            </w:r>
          </w:p>
        </w:tc>
        <w:tc>
          <w:tcPr>
            <w:tcW w:w="872" w:type="dxa"/>
            <w:tcBorders>
              <w:top w:val="single" w:sz="18" w:space="0" w:color="auto"/>
              <w:right w:val="single" w:sz="6" w:space="0" w:color="auto"/>
            </w:tcBorders>
            <w:vAlign w:val="center"/>
          </w:tcPr>
          <w:p w14:paraId="4648D2C3" w14:textId="77777777" w:rsidR="00787ADF" w:rsidRDefault="00787ADF" w:rsidP="00787ADF">
            <w:pPr>
              <w:spacing w:line="240" w:lineRule="auto"/>
              <w:jc w:val="left"/>
            </w:pPr>
            <w:r>
              <w:t>1.25</w:t>
            </w:r>
          </w:p>
        </w:tc>
      </w:tr>
      <w:tr w:rsidR="00787ADF" w14:paraId="489569B3" w14:textId="77777777" w:rsidTr="00787ADF">
        <w:trPr>
          <w:cantSplit/>
          <w:trHeight w:val="360"/>
          <w:jc w:val="center"/>
        </w:trPr>
        <w:tc>
          <w:tcPr>
            <w:tcW w:w="871" w:type="dxa"/>
            <w:vMerge/>
            <w:tcBorders>
              <w:left w:val="single" w:sz="6" w:space="0" w:color="auto"/>
            </w:tcBorders>
            <w:vAlign w:val="center"/>
          </w:tcPr>
          <w:p w14:paraId="5AFE721A" w14:textId="77777777" w:rsidR="00787ADF" w:rsidRDefault="00787ADF" w:rsidP="00787ADF">
            <w:pPr>
              <w:spacing w:line="240" w:lineRule="auto"/>
              <w:jc w:val="center"/>
            </w:pPr>
          </w:p>
        </w:tc>
        <w:tc>
          <w:tcPr>
            <w:tcW w:w="1310" w:type="dxa"/>
            <w:tcBorders>
              <w:right w:val="single" w:sz="6" w:space="0" w:color="auto"/>
            </w:tcBorders>
            <w:vAlign w:val="center"/>
          </w:tcPr>
          <w:p w14:paraId="6E6C3977" w14:textId="77777777" w:rsidR="00787ADF" w:rsidRDefault="00787ADF" w:rsidP="00787ADF">
            <w:pPr>
              <w:spacing w:line="240" w:lineRule="auto"/>
              <w:jc w:val="center"/>
            </w:pPr>
            <w:r>
              <w:t>206.8</w:t>
            </w:r>
          </w:p>
        </w:tc>
        <w:tc>
          <w:tcPr>
            <w:tcW w:w="871" w:type="dxa"/>
            <w:tcBorders>
              <w:left w:val="single" w:sz="6" w:space="0" w:color="auto"/>
            </w:tcBorders>
            <w:vAlign w:val="center"/>
          </w:tcPr>
          <w:p w14:paraId="48E58B42" w14:textId="77777777" w:rsidR="00787ADF" w:rsidRDefault="00787ADF" w:rsidP="00787ADF">
            <w:pPr>
              <w:spacing w:line="240" w:lineRule="auto"/>
              <w:jc w:val="right"/>
            </w:pPr>
            <w:r>
              <w:t>9.23</w:t>
            </w:r>
          </w:p>
        </w:tc>
        <w:tc>
          <w:tcPr>
            <w:tcW w:w="360" w:type="dxa"/>
            <w:vAlign w:val="center"/>
          </w:tcPr>
          <w:p w14:paraId="291C34BA" w14:textId="77777777" w:rsidR="00787ADF" w:rsidRDefault="00787ADF" w:rsidP="00787ADF">
            <w:pPr>
              <w:spacing w:line="240" w:lineRule="auto"/>
              <w:jc w:val="center"/>
            </w:pPr>
            <w:r>
              <w:t>±</w:t>
            </w:r>
          </w:p>
        </w:tc>
        <w:tc>
          <w:tcPr>
            <w:tcW w:w="871" w:type="dxa"/>
            <w:tcBorders>
              <w:right w:val="single" w:sz="6" w:space="0" w:color="auto"/>
            </w:tcBorders>
            <w:vAlign w:val="center"/>
          </w:tcPr>
          <w:p w14:paraId="3A1F7D91" w14:textId="77777777" w:rsidR="00787ADF" w:rsidRDefault="00787ADF" w:rsidP="00787ADF">
            <w:pPr>
              <w:spacing w:line="240" w:lineRule="auto"/>
              <w:jc w:val="left"/>
            </w:pPr>
            <w:r>
              <w:t>1.88</w:t>
            </w:r>
          </w:p>
        </w:tc>
        <w:tc>
          <w:tcPr>
            <w:tcW w:w="871" w:type="dxa"/>
            <w:tcBorders>
              <w:left w:val="single" w:sz="6" w:space="0" w:color="auto"/>
            </w:tcBorders>
            <w:vAlign w:val="center"/>
          </w:tcPr>
          <w:p w14:paraId="6520EDC7" w14:textId="77777777" w:rsidR="00787ADF" w:rsidRDefault="00787ADF" w:rsidP="00787ADF">
            <w:pPr>
              <w:spacing w:line="240" w:lineRule="auto"/>
              <w:jc w:val="right"/>
            </w:pPr>
            <w:r>
              <w:t>2.33</w:t>
            </w:r>
          </w:p>
        </w:tc>
        <w:tc>
          <w:tcPr>
            <w:tcW w:w="360" w:type="dxa"/>
            <w:vAlign w:val="center"/>
          </w:tcPr>
          <w:p w14:paraId="3B4EDDC9" w14:textId="77777777" w:rsidR="00787ADF" w:rsidRDefault="00787ADF" w:rsidP="00787ADF">
            <w:pPr>
              <w:spacing w:line="240" w:lineRule="auto"/>
              <w:jc w:val="center"/>
            </w:pPr>
            <w:r>
              <w:t>±</w:t>
            </w:r>
          </w:p>
        </w:tc>
        <w:tc>
          <w:tcPr>
            <w:tcW w:w="871" w:type="dxa"/>
            <w:tcBorders>
              <w:right w:val="single" w:sz="6" w:space="0" w:color="auto"/>
            </w:tcBorders>
            <w:vAlign w:val="center"/>
          </w:tcPr>
          <w:p w14:paraId="5B9F3079" w14:textId="77777777" w:rsidR="00787ADF" w:rsidRDefault="00787ADF" w:rsidP="00787ADF">
            <w:pPr>
              <w:spacing w:line="240" w:lineRule="auto"/>
              <w:jc w:val="left"/>
            </w:pPr>
            <w:r>
              <w:t>0.53</w:t>
            </w:r>
          </w:p>
        </w:tc>
        <w:tc>
          <w:tcPr>
            <w:tcW w:w="872" w:type="dxa"/>
            <w:tcBorders>
              <w:left w:val="single" w:sz="6" w:space="0" w:color="auto"/>
            </w:tcBorders>
            <w:vAlign w:val="center"/>
          </w:tcPr>
          <w:p w14:paraId="0513849A" w14:textId="77777777" w:rsidR="00787ADF" w:rsidRDefault="00787ADF" w:rsidP="00787ADF">
            <w:pPr>
              <w:spacing w:line="240" w:lineRule="auto"/>
              <w:jc w:val="right"/>
            </w:pPr>
            <w:r>
              <w:t>1.67</w:t>
            </w:r>
          </w:p>
        </w:tc>
        <w:tc>
          <w:tcPr>
            <w:tcW w:w="360" w:type="dxa"/>
            <w:vAlign w:val="center"/>
          </w:tcPr>
          <w:p w14:paraId="58D2B7F9" w14:textId="77777777" w:rsidR="00787ADF" w:rsidRDefault="00787ADF" w:rsidP="00787ADF">
            <w:pPr>
              <w:spacing w:line="240" w:lineRule="auto"/>
              <w:jc w:val="center"/>
            </w:pPr>
            <w:r>
              <w:t>±</w:t>
            </w:r>
          </w:p>
        </w:tc>
        <w:tc>
          <w:tcPr>
            <w:tcW w:w="872" w:type="dxa"/>
            <w:tcBorders>
              <w:right w:val="single" w:sz="6" w:space="0" w:color="auto"/>
            </w:tcBorders>
            <w:vAlign w:val="center"/>
          </w:tcPr>
          <w:p w14:paraId="26E8B5DB" w14:textId="77777777" w:rsidR="00787ADF" w:rsidRDefault="00787ADF" w:rsidP="00787ADF">
            <w:pPr>
              <w:spacing w:line="240" w:lineRule="auto"/>
              <w:jc w:val="left"/>
            </w:pPr>
            <w:r>
              <w:t>0.23</w:t>
            </w:r>
          </w:p>
        </w:tc>
      </w:tr>
      <w:tr w:rsidR="00787ADF" w14:paraId="6FAE6AD5" w14:textId="77777777" w:rsidTr="00787ADF">
        <w:trPr>
          <w:cantSplit/>
          <w:trHeight w:val="360"/>
          <w:jc w:val="center"/>
        </w:trPr>
        <w:tc>
          <w:tcPr>
            <w:tcW w:w="871" w:type="dxa"/>
            <w:vMerge/>
            <w:tcBorders>
              <w:left w:val="single" w:sz="6" w:space="0" w:color="auto"/>
            </w:tcBorders>
            <w:vAlign w:val="center"/>
          </w:tcPr>
          <w:p w14:paraId="2704DB62" w14:textId="77777777" w:rsidR="00787ADF" w:rsidRDefault="00787ADF" w:rsidP="00787ADF">
            <w:pPr>
              <w:spacing w:line="240" w:lineRule="auto"/>
              <w:jc w:val="center"/>
            </w:pPr>
          </w:p>
        </w:tc>
        <w:tc>
          <w:tcPr>
            <w:tcW w:w="1310" w:type="dxa"/>
            <w:tcBorders>
              <w:right w:val="single" w:sz="6" w:space="0" w:color="auto"/>
            </w:tcBorders>
            <w:vAlign w:val="center"/>
          </w:tcPr>
          <w:p w14:paraId="006112E6" w14:textId="77777777" w:rsidR="00787ADF" w:rsidRDefault="00787ADF" w:rsidP="00787ADF">
            <w:pPr>
              <w:spacing w:line="240" w:lineRule="auto"/>
              <w:jc w:val="center"/>
            </w:pPr>
            <w:r>
              <w:t>344.7</w:t>
            </w:r>
          </w:p>
        </w:tc>
        <w:tc>
          <w:tcPr>
            <w:tcW w:w="871" w:type="dxa"/>
            <w:tcBorders>
              <w:left w:val="single" w:sz="6" w:space="0" w:color="auto"/>
            </w:tcBorders>
            <w:vAlign w:val="center"/>
          </w:tcPr>
          <w:p w14:paraId="271EC24B" w14:textId="77777777" w:rsidR="00787ADF" w:rsidRDefault="00787ADF" w:rsidP="00787ADF">
            <w:pPr>
              <w:spacing w:line="240" w:lineRule="auto"/>
              <w:jc w:val="right"/>
            </w:pPr>
            <w:r>
              <w:t>8.23</w:t>
            </w:r>
          </w:p>
        </w:tc>
        <w:tc>
          <w:tcPr>
            <w:tcW w:w="360" w:type="dxa"/>
            <w:vAlign w:val="center"/>
          </w:tcPr>
          <w:p w14:paraId="62108EB0" w14:textId="77777777" w:rsidR="00787ADF" w:rsidRDefault="00787ADF" w:rsidP="00787ADF">
            <w:pPr>
              <w:spacing w:line="240" w:lineRule="auto"/>
              <w:jc w:val="center"/>
            </w:pPr>
            <w:r>
              <w:t>±</w:t>
            </w:r>
          </w:p>
        </w:tc>
        <w:tc>
          <w:tcPr>
            <w:tcW w:w="871" w:type="dxa"/>
            <w:tcBorders>
              <w:right w:val="single" w:sz="6" w:space="0" w:color="auto"/>
            </w:tcBorders>
            <w:vAlign w:val="center"/>
          </w:tcPr>
          <w:p w14:paraId="303EDD31" w14:textId="77777777" w:rsidR="00787ADF" w:rsidRDefault="00787ADF" w:rsidP="00787ADF">
            <w:pPr>
              <w:spacing w:line="240" w:lineRule="auto"/>
              <w:jc w:val="left"/>
            </w:pPr>
            <w:r>
              <w:t>1.15</w:t>
            </w:r>
          </w:p>
        </w:tc>
        <w:tc>
          <w:tcPr>
            <w:tcW w:w="871" w:type="dxa"/>
            <w:tcBorders>
              <w:left w:val="single" w:sz="6" w:space="0" w:color="auto"/>
            </w:tcBorders>
            <w:vAlign w:val="center"/>
          </w:tcPr>
          <w:p w14:paraId="76B85FD0" w14:textId="77777777" w:rsidR="00787ADF" w:rsidRDefault="00787ADF" w:rsidP="00787ADF">
            <w:pPr>
              <w:spacing w:line="240" w:lineRule="auto"/>
              <w:jc w:val="right"/>
            </w:pPr>
            <w:r>
              <w:t>2.15</w:t>
            </w:r>
          </w:p>
        </w:tc>
        <w:tc>
          <w:tcPr>
            <w:tcW w:w="360" w:type="dxa"/>
            <w:vAlign w:val="center"/>
          </w:tcPr>
          <w:p w14:paraId="1A40A58D" w14:textId="77777777" w:rsidR="00787ADF" w:rsidRDefault="00787ADF" w:rsidP="00787ADF">
            <w:pPr>
              <w:spacing w:line="240" w:lineRule="auto"/>
              <w:jc w:val="center"/>
            </w:pPr>
            <w:r>
              <w:t>±</w:t>
            </w:r>
          </w:p>
        </w:tc>
        <w:tc>
          <w:tcPr>
            <w:tcW w:w="871" w:type="dxa"/>
            <w:tcBorders>
              <w:right w:val="single" w:sz="6" w:space="0" w:color="auto"/>
            </w:tcBorders>
            <w:vAlign w:val="center"/>
          </w:tcPr>
          <w:p w14:paraId="3D1BD6C8" w14:textId="77777777" w:rsidR="00787ADF" w:rsidRDefault="00787ADF" w:rsidP="00787ADF">
            <w:pPr>
              <w:spacing w:line="240" w:lineRule="auto"/>
              <w:jc w:val="left"/>
            </w:pPr>
            <w:r>
              <w:t>0.54</w:t>
            </w:r>
          </w:p>
        </w:tc>
        <w:tc>
          <w:tcPr>
            <w:tcW w:w="872" w:type="dxa"/>
            <w:tcBorders>
              <w:left w:val="single" w:sz="6" w:space="0" w:color="auto"/>
            </w:tcBorders>
            <w:vAlign w:val="center"/>
          </w:tcPr>
          <w:p w14:paraId="700B9836" w14:textId="77777777" w:rsidR="00787ADF" w:rsidRDefault="00787ADF" w:rsidP="00787ADF">
            <w:pPr>
              <w:spacing w:line="240" w:lineRule="auto"/>
              <w:jc w:val="right"/>
            </w:pPr>
            <w:r>
              <w:t>1.28</w:t>
            </w:r>
          </w:p>
        </w:tc>
        <w:tc>
          <w:tcPr>
            <w:tcW w:w="360" w:type="dxa"/>
            <w:vAlign w:val="center"/>
          </w:tcPr>
          <w:p w14:paraId="07DB3C7E" w14:textId="77777777" w:rsidR="00787ADF" w:rsidRDefault="00787ADF" w:rsidP="00787ADF">
            <w:pPr>
              <w:spacing w:line="240" w:lineRule="auto"/>
              <w:jc w:val="center"/>
            </w:pPr>
            <w:r>
              <w:t>±</w:t>
            </w:r>
          </w:p>
        </w:tc>
        <w:tc>
          <w:tcPr>
            <w:tcW w:w="872" w:type="dxa"/>
            <w:tcBorders>
              <w:right w:val="single" w:sz="6" w:space="0" w:color="auto"/>
            </w:tcBorders>
            <w:vAlign w:val="center"/>
          </w:tcPr>
          <w:p w14:paraId="00AC5E68" w14:textId="77777777" w:rsidR="00787ADF" w:rsidRDefault="00787ADF" w:rsidP="00787ADF">
            <w:pPr>
              <w:spacing w:line="240" w:lineRule="auto"/>
              <w:jc w:val="left"/>
            </w:pPr>
            <w:r>
              <w:t>0.47</w:t>
            </w:r>
          </w:p>
        </w:tc>
      </w:tr>
      <w:tr w:rsidR="00787ADF" w14:paraId="1FCF3C92" w14:textId="77777777" w:rsidTr="00787ADF">
        <w:trPr>
          <w:cantSplit/>
          <w:trHeight w:val="360"/>
          <w:jc w:val="center"/>
        </w:trPr>
        <w:tc>
          <w:tcPr>
            <w:tcW w:w="871" w:type="dxa"/>
            <w:vMerge/>
            <w:tcBorders>
              <w:left w:val="single" w:sz="6" w:space="0" w:color="auto"/>
              <w:bottom w:val="single" w:sz="6" w:space="0" w:color="auto"/>
            </w:tcBorders>
            <w:vAlign w:val="center"/>
          </w:tcPr>
          <w:p w14:paraId="11457048" w14:textId="77777777" w:rsidR="00787ADF" w:rsidRDefault="00787ADF" w:rsidP="00787ADF">
            <w:pPr>
              <w:spacing w:line="240" w:lineRule="auto"/>
              <w:jc w:val="center"/>
            </w:pPr>
          </w:p>
        </w:tc>
        <w:tc>
          <w:tcPr>
            <w:tcW w:w="1310" w:type="dxa"/>
            <w:tcBorders>
              <w:bottom w:val="single" w:sz="6" w:space="0" w:color="auto"/>
              <w:right w:val="single" w:sz="6" w:space="0" w:color="auto"/>
            </w:tcBorders>
            <w:vAlign w:val="center"/>
          </w:tcPr>
          <w:p w14:paraId="2FF145C3" w14:textId="77777777" w:rsidR="00787ADF" w:rsidRDefault="00787ADF" w:rsidP="00787ADF">
            <w:pPr>
              <w:spacing w:line="240" w:lineRule="auto"/>
              <w:jc w:val="center"/>
            </w:pPr>
            <w:r>
              <w:t>482.6</w:t>
            </w:r>
          </w:p>
        </w:tc>
        <w:tc>
          <w:tcPr>
            <w:tcW w:w="871" w:type="dxa"/>
            <w:tcBorders>
              <w:left w:val="single" w:sz="6" w:space="0" w:color="auto"/>
              <w:bottom w:val="single" w:sz="6" w:space="0" w:color="auto"/>
            </w:tcBorders>
            <w:vAlign w:val="center"/>
          </w:tcPr>
          <w:p w14:paraId="560E07E1" w14:textId="77777777" w:rsidR="00787ADF" w:rsidRDefault="00787ADF" w:rsidP="00787ADF">
            <w:pPr>
              <w:spacing w:line="240" w:lineRule="auto"/>
              <w:jc w:val="right"/>
            </w:pPr>
            <w:r>
              <w:t>8.22</w:t>
            </w:r>
          </w:p>
        </w:tc>
        <w:tc>
          <w:tcPr>
            <w:tcW w:w="360" w:type="dxa"/>
            <w:tcBorders>
              <w:bottom w:val="single" w:sz="6" w:space="0" w:color="auto"/>
            </w:tcBorders>
            <w:vAlign w:val="center"/>
          </w:tcPr>
          <w:p w14:paraId="73512BDC" w14:textId="77777777" w:rsidR="00787ADF" w:rsidRDefault="00787ADF" w:rsidP="00787ADF">
            <w:pPr>
              <w:spacing w:line="240" w:lineRule="auto"/>
              <w:jc w:val="center"/>
            </w:pPr>
            <w:r>
              <w:t>±</w:t>
            </w:r>
          </w:p>
        </w:tc>
        <w:tc>
          <w:tcPr>
            <w:tcW w:w="871" w:type="dxa"/>
            <w:tcBorders>
              <w:bottom w:val="single" w:sz="6" w:space="0" w:color="auto"/>
              <w:right w:val="single" w:sz="6" w:space="0" w:color="auto"/>
            </w:tcBorders>
            <w:vAlign w:val="center"/>
          </w:tcPr>
          <w:p w14:paraId="0C0C910F" w14:textId="77777777" w:rsidR="00787ADF" w:rsidRDefault="00787ADF" w:rsidP="00787ADF">
            <w:pPr>
              <w:spacing w:line="240" w:lineRule="auto"/>
              <w:jc w:val="left"/>
            </w:pPr>
            <w:r>
              <w:t>1.48</w:t>
            </w:r>
          </w:p>
        </w:tc>
        <w:tc>
          <w:tcPr>
            <w:tcW w:w="871" w:type="dxa"/>
            <w:tcBorders>
              <w:left w:val="single" w:sz="6" w:space="0" w:color="auto"/>
              <w:bottom w:val="single" w:sz="6" w:space="0" w:color="auto"/>
            </w:tcBorders>
            <w:vAlign w:val="center"/>
          </w:tcPr>
          <w:p w14:paraId="5925A2EC" w14:textId="77777777" w:rsidR="00787ADF" w:rsidRDefault="00787ADF" w:rsidP="00787ADF">
            <w:pPr>
              <w:spacing w:line="240" w:lineRule="auto"/>
              <w:jc w:val="right"/>
            </w:pPr>
            <w:r>
              <w:t>1.73</w:t>
            </w:r>
          </w:p>
        </w:tc>
        <w:tc>
          <w:tcPr>
            <w:tcW w:w="360" w:type="dxa"/>
            <w:tcBorders>
              <w:bottom w:val="single" w:sz="6" w:space="0" w:color="auto"/>
            </w:tcBorders>
            <w:vAlign w:val="center"/>
          </w:tcPr>
          <w:p w14:paraId="13E81399" w14:textId="77777777" w:rsidR="00787ADF" w:rsidRDefault="00787ADF" w:rsidP="00787ADF">
            <w:pPr>
              <w:spacing w:line="240" w:lineRule="auto"/>
              <w:jc w:val="center"/>
            </w:pPr>
            <w:r>
              <w:t>±</w:t>
            </w:r>
          </w:p>
        </w:tc>
        <w:tc>
          <w:tcPr>
            <w:tcW w:w="871" w:type="dxa"/>
            <w:tcBorders>
              <w:bottom w:val="single" w:sz="6" w:space="0" w:color="auto"/>
              <w:right w:val="single" w:sz="6" w:space="0" w:color="auto"/>
            </w:tcBorders>
            <w:vAlign w:val="center"/>
          </w:tcPr>
          <w:p w14:paraId="4944A295" w14:textId="77777777" w:rsidR="00787ADF" w:rsidRDefault="00787ADF" w:rsidP="00787ADF">
            <w:pPr>
              <w:spacing w:line="240" w:lineRule="auto"/>
              <w:jc w:val="left"/>
            </w:pPr>
            <w:r>
              <w:t>0.52</w:t>
            </w:r>
          </w:p>
        </w:tc>
        <w:tc>
          <w:tcPr>
            <w:tcW w:w="872" w:type="dxa"/>
            <w:tcBorders>
              <w:left w:val="single" w:sz="6" w:space="0" w:color="auto"/>
              <w:bottom w:val="single" w:sz="6" w:space="0" w:color="auto"/>
            </w:tcBorders>
            <w:vAlign w:val="center"/>
          </w:tcPr>
          <w:p w14:paraId="691E0B56" w14:textId="77777777" w:rsidR="00787ADF" w:rsidRDefault="00787ADF" w:rsidP="00787ADF">
            <w:pPr>
              <w:spacing w:line="240" w:lineRule="auto"/>
              <w:jc w:val="right"/>
            </w:pPr>
            <w:r>
              <w:t>1.26</w:t>
            </w:r>
          </w:p>
        </w:tc>
        <w:tc>
          <w:tcPr>
            <w:tcW w:w="360" w:type="dxa"/>
            <w:tcBorders>
              <w:bottom w:val="single" w:sz="6" w:space="0" w:color="auto"/>
            </w:tcBorders>
            <w:vAlign w:val="center"/>
          </w:tcPr>
          <w:p w14:paraId="40A5E0F2" w14:textId="77777777" w:rsidR="00787ADF" w:rsidRDefault="00787ADF" w:rsidP="00787ADF">
            <w:pPr>
              <w:spacing w:line="240" w:lineRule="auto"/>
              <w:jc w:val="center"/>
            </w:pPr>
            <w:r>
              <w:t>±</w:t>
            </w:r>
          </w:p>
        </w:tc>
        <w:tc>
          <w:tcPr>
            <w:tcW w:w="872" w:type="dxa"/>
            <w:tcBorders>
              <w:bottom w:val="single" w:sz="6" w:space="0" w:color="auto"/>
              <w:right w:val="single" w:sz="6" w:space="0" w:color="auto"/>
            </w:tcBorders>
            <w:vAlign w:val="center"/>
          </w:tcPr>
          <w:p w14:paraId="36B383AC" w14:textId="77777777" w:rsidR="00787ADF" w:rsidRDefault="00787ADF" w:rsidP="00787ADF">
            <w:pPr>
              <w:spacing w:line="240" w:lineRule="auto"/>
              <w:jc w:val="left"/>
            </w:pPr>
            <w:r>
              <w:t>0.48</w:t>
            </w:r>
          </w:p>
        </w:tc>
      </w:tr>
      <w:tr w:rsidR="00787ADF" w14:paraId="3573CDA8" w14:textId="77777777" w:rsidTr="00787ADF">
        <w:trPr>
          <w:cantSplit/>
          <w:trHeight w:val="360"/>
          <w:jc w:val="center"/>
        </w:trPr>
        <w:tc>
          <w:tcPr>
            <w:tcW w:w="871" w:type="dxa"/>
            <w:vMerge w:val="restart"/>
            <w:tcBorders>
              <w:top w:val="single" w:sz="6" w:space="0" w:color="auto"/>
              <w:left w:val="single" w:sz="6" w:space="0" w:color="auto"/>
            </w:tcBorders>
            <w:textDirection w:val="btLr"/>
            <w:vAlign w:val="center"/>
          </w:tcPr>
          <w:p w14:paraId="6C5373C5" w14:textId="77777777" w:rsidR="00787ADF" w:rsidRDefault="00787ADF" w:rsidP="00787ADF">
            <w:pPr>
              <w:spacing w:before="120" w:after="120" w:line="240" w:lineRule="auto"/>
              <w:ind w:left="113" w:right="113"/>
              <w:jc w:val="center"/>
            </w:pPr>
            <w:r>
              <w:t>40 % RH</w:t>
            </w:r>
          </w:p>
        </w:tc>
        <w:tc>
          <w:tcPr>
            <w:tcW w:w="1310" w:type="dxa"/>
            <w:tcBorders>
              <w:top w:val="single" w:sz="6" w:space="0" w:color="auto"/>
              <w:right w:val="single" w:sz="6" w:space="0" w:color="auto"/>
            </w:tcBorders>
            <w:vAlign w:val="center"/>
          </w:tcPr>
          <w:p w14:paraId="588D3863" w14:textId="77777777" w:rsidR="00787ADF" w:rsidRDefault="00787ADF" w:rsidP="00787ADF">
            <w:pPr>
              <w:spacing w:line="240" w:lineRule="auto"/>
              <w:jc w:val="center"/>
            </w:pPr>
            <w:r>
              <w:t>68.9</w:t>
            </w:r>
          </w:p>
        </w:tc>
        <w:tc>
          <w:tcPr>
            <w:tcW w:w="871" w:type="dxa"/>
            <w:tcBorders>
              <w:top w:val="single" w:sz="6" w:space="0" w:color="auto"/>
              <w:left w:val="single" w:sz="6" w:space="0" w:color="auto"/>
            </w:tcBorders>
            <w:vAlign w:val="center"/>
          </w:tcPr>
          <w:p w14:paraId="3CB9167E" w14:textId="77777777" w:rsidR="00787ADF" w:rsidRDefault="00787ADF" w:rsidP="00787ADF">
            <w:pPr>
              <w:spacing w:line="240" w:lineRule="auto"/>
              <w:jc w:val="right"/>
            </w:pPr>
            <w:r>
              <w:t>12.83</w:t>
            </w:r>
          </w:p>
        </w:tc>
        <w:tc>
          <w:tcPr>
            <w:tcW w:w="360" w:type="dxa"/>
            <w:tcBorders>
              <w:top w:val="single" w:sz="6" w:space="0" w:color="auto"/>
            </w:tcBorders>
            <w:vAlign w:val="center"/>
          </w:tcPr>
          <w:p w14:paraId="23A0A229" w14:textId="77777777" w:rsidR="00787ADF" w:rsidRDefault="00787ADF" w:rsidP="00787ADF">
            <w:pPr>
              <w:spacing w:line="240" w:lineRule="auto"/>
              <w:jc w:val="center"/>
            </w:pPr>
            <w:r>
              <w:t>±</w:t>
            </w:r>
          </w:p>
        </w:tc>
        <w:tc>
          <w:tcPr>
            <w:tcW w:w="871" w:type="dxa"/>
            <w:tcBorders>
              <w:top w:val="single" w:sz="6" w:space="0" w:color="auto"/>
              <w:right w:val="single" w:sz="6" w:space="0" w:color="auto"/>
            </w:tcBorders>
            <w:vAlign w:val="center"/>
          </w:tcPr>
          <w:p w14:paraId="6479D62F" w14:textId="77777777" w:rsidR="00787ADF" w:rsidRDefault="00787ADF" w:rsidP="00787ADF">
            <w:pPr>
              <w:spacing w:line="240" w:lineRule="auto"/>
              <w:jc w:val="left"/>
            </w:pPr>
            <w:r>
              <w:t>1.21</w:t>
            </w:r>
          </w:p>
        </w:tc>
        <w:tc>
          <w:tcPr>
            <w:tcW w:w="871" w:type="dxa"/>
            <w:tcBorders>
              <w:top w:val="single" w:sz="6" w:space="0" w:color="auto"/>
              <w:left w:val="single" w:sz="6" w:space="0" w:color="auto"/>
            </w:tcBorders>
            <w:vAlign w:val="center"/>
          </w:tcPr>
          <w:p w14:paraId="311ABA5E" w14:textId="77777777" w:rsidR="00787ADF" w:rsidRDefault="00787ADF" w:rsidP="00787ADF">
            <w:pPr>
              <w:spacing w:line="240" w:lineRule="auto"/>
              <w:jc w:val="right"/>
            </w:pPr>
            <w:r>
              <w:t>7.00</w:t>
            </w:r>
          </w:p>
        </w:tc>
        <w:tc>
          <w:tcPr>
            <w:tcW w:w="360" w:type="dxa"/>
            <w:tcBorders>
              <w:top w:val="single" w:sz="6" w:space="0" w:color="auto"/>
            </w:tcBorders>
            <w:vAlign w:val="center"/>
          </w:tcPr>
          <w:p w14:paraId="696C7433" w14:textId="77777777" w:rsidR="00787ADF" w:rsidRDefault="00787ADF" w:rsidP="00787ADF">
            <w:pPr>
              <w:spacing w:line="240" w:lineRule="auto"/>
              <w:jc w:val="center"/>
            </w:pPr>
            <w:r>
              <w:t>±</w:t>
            </w:r>
          </w:p>
        </w:tc>
        <w:tc>
          <w:tcPr>
            <w:tcW w:w="871" w:type="dxa"/>
            <w:tcBorders>
              <w:top w:val="single" w:sz="6" w:space="0" w:color="auto"/>
              <w:right w:val="single" w:sz="6" w:space="0" w:color="auto"/>
            </w:tcBorders>
            <w:vAlign w:val="center"/>
          </w:tcPr>
          <w:p w14:paraId="00B2B062" w14:textId="77777777" w:rsidR="00787ADF" w:rsidRDefault="00787ADF" w:rsidP="00787ADF">
            <w:pPr>
              <w:spacing w:line="240" w:lineRule="auto"/>
              <w:jc w:val="left"/>
            </w:pPr>
            <w:r>
              <w:t>2.00</w:t>
            </w:r>
          </w:p>
        </w:tc>
        <w:tc>
          <w:tcPr>
            <w:tcW w:w="872" w:type="dxa"/>
            <w:tcBorders>
              <w:top w:val="single" w:sz="6" w:space="0" w:color="auto"/>
              <w:left w:val="single" w:sz="6" w:space="0" w:color="auto"/>
            </w:tcBorders>
            <w:vAlign w:val="center"/>
          </w:tcPr>
          <w:p w14:paraId="622549A2" w14:textId="77777777" w:rsidR="00787ADF" w:rsidRDefault="00787ADF" w:rsidP="00787ADF">
            <w:pPr>
              <w:spacing w:line="240" w:lineRule="auto"/>
              <w:jc w:val="right"/>
            </w:pPr>
            <w:r>
              <w:t>3.96</w:t>
            </w:r>
          </w:p>
        </w:tc>
        <w:tc>
          <w:tcPr>
            <w:tcW w:w="360" w:type="dxa"/>
            <w:tcBorders>
              <w:top w:val="single" w:sz="6" w:space="0" w:color="auto"/>
            </w:tcBorders>
            <w:vAlign w:val="center"/>
          </w:tcPr>
          <w:p w14:paraId="4B86C83C" w14:textId="77777777" w:rsidR="00787ADF" w:rsidRDefault="00787ADF" w:rsidP="00787ADF">
            <w:pPr>
              <w:spacing w:line="240" w:lineRule="auto"/>
              <w:jc w:val="center"/>
            </w:pPr>
            <w:r>
              <w:t>±</w:t>
            </w:r>
          </w:p>
        </w:tc>
        <w:tc>
          <w:tcPr>
            <w:tcW w:w="872" w:type="dxa"/>
            <w:tcBorders>
              <w:top w:val="single" w:sz="6" w:space="0" w:color="auto"/>
              <w:right w:val="single" w:sz="6" w:space="0" w:color="auto"/>
            </w:tcBorders>
            <w:vAlign w:val="center"/>
          </w:tcPr>
          <w:p w14:paraId="0CBC78D2" w14:textId="77777777" w:rsidR="00787ADF" w:rsidRDefault="00787ADF" w:rsidP="00787ADF">
            <w:pPr>
              <w:spacing w:line="240" w:lineRule="auto"/>
              <w:jc w:val="left"/>
            </w:pPr>
            <w:r>
              <w:t>0.32</w:t>
            </w:r>
          </w:p>
        </w:tc>
      </w:tr>
      <w:tr w:rsidR="00787ADF" w14:paraId="1BF67699" w14:textId="77777777" w:rsidTr="00787ADF">
        <w:trPr>
          <w:cantSplit/>
          <w:trHeight w:val="360"/>
          <w:jc w:val="center"/>
        </w:trPr>
        <w:tc>
          <w:tcPr>
            <w:tcW w:w="871" w:type="dxa"/>
            <w:vMerge/>
            <w:tcBorders>
              <w:left w:val="single" w:sz="6" w:space="0" w:color="auto"/>
            </w:tcBorders>
            <w:vAlign w:val="center"/>
          </w:tcPr>
          <w:p w14:paraId="36A576CE" w14:textId="77777777" w:rsidR="00787ADF" w:rsidRDefault="00787ADF" w:rsidP="00787ADF">
            <w:pPr>
              <w:spacing w:before="120" w:after="120" w:line="240" w:lineRule="auto"/>
              <w:jc w:val="center"/>
            </w:pPr>
          </w:p>
        </w:tc>
        <w:tc>
          <w:tcPr>
            <w:tcW w:w="1310" w:type="dxa"/>
            <w:tcBorders>
              <w:right w:val="single" w:sz="6" w:space="0" w:color="auto"/>
            </w:tcBorders>
            <w:vAlign w:val="center"/>
          </w:tcPr>
          <w:p w14:paraId="04CB8F56" w14:textId="77777777" w:rsidR="00787ADF" w:rsidRDefault="00787ADF" w:rsidP="00787ADF">
            <w:pPr>
              <w:spacing w:line="240" w:lineRule="auto"/>
              <w:jc w:val="center"/>
            </w:pPr>
            <w:r>
              <w:t>206.8</w:t>
            </w:r>
          </w:p>
        </w:tc>
        <w:tc>
          <w:tcPr>
            <w:tcW w:w="871" w:type="dxa"/>
            <w:tcBorders>
              <w:left w:val="single" w:sz="6" w:space="0" w:color="auto"/>
            </w:tcBorders>
            <w:vAlign w:val="center"/>
          </w:tcPr>
          <w:p w14:paraId="10468932" w14:textId="77777777" w:rsidR="00787ADF" w:rsidRDefault="00787ADF" w:rsidP="00787ADF">
            <w:pPr>
              <w:spacing w:line="240" w:lineRule="auto"/>
              <w:jc w:val="right"/>
            </w:pPr>
            <w:r>
              <w:t>9.40</w:t>
            </w:r>
          </w:p>
        </w:tc>
        <w:tc>
          <w:tcPr>
            <w:tcW w:w="360" w:type="dxa"/>
            <w:vAlign w:val="center"/>
          </w:tcPr>
          <w:p w14:paraId="7D0A0A6B" w14:textId="77777777" w:rsidR="00787ADF" w:rsidRDefault="00787ADF" w:rsidP="00787ADF">
            <w:pPr>
              <w:spacing w:line="240" w:lineRule="auto"/>
              <w:jc w:val="center"/>
            </w:pPr>
            <w:r>
              <w:t>±</w:t>
            </w:r>
          </w:p>
        </w:tc>
        <w:tc>
          <w:tcPr>
            <w:tcW w:w="871" w:type="dxa"/>
            <w:tcBorders>
              <w:right w:val="single" w:sz="6" w:space="0" w:color="auto"/>
            </w:tcBorders>
            <w:vAlign w:val="center"/>
          </w:tcPr>
          <w:p w14:paraId="053EA11D" w14:textId="77777777" w:rsidR="00787ADF" w:rsidRDefault="00787ADF" w:rsidP="00787ADF">
            <w:pPr>
              <w:spacing w:line="240" w:lineRule="auto"/>
              <w:jc w:val="left"/>
            </w:pPr>
            <w:r>
              <w:t>0.52</w:t>
            </w:r>
          </w:p>
        </w:tc>
        <w:tc>
          <w:tcPr>
            <w:tcW w:w="871" w:type="dxa"/>
            <w:tcBorders>
              <w:left w:val="single" w:sz="6" w:space="0" w:color="auto"/>
            </w:tcBorders>
            <w:vAlign w:val="center"/>
          </w:tcPr>
          <w:p w14:paraId="4EB77AEC" w14:textId="77777777" w:rsidR="00787ADF" w:rsidRDefault="00787ADF" w:rsidP="00787ADF">
            <w:pPr>
              <w:spacing w:line="240" w:lineRule="auto"/>
              <w:jc w:val="right"/>
            </w:pPr>
            <w:r>
              <w:t>4.60</w:t>
            </w:r>
          </w:p>
        </w:tc>
        <w:tc>
          <w:tcPr>
            <w:tcW w:w="360" w:type="dxa"/>
            <w:vAlign w:val="center"/>
          </w:tcPr>
          <w:p w14:paraId="6FF3A213" w14:textId="77777777" w:rsidR="00787ADF" w:rsidRDefault="00787ADF" w:rsidP="00787ADF">
            <w:pPr>
              <w:spacing w:line="240" w:lineRule="auto"/>
              <w:jc w:val="center"/>
            </w:pPr>
            <w:r>
              <w:t>±</w:t>
            </w:r>
          </w:p>
        </w:tc>
        <w:tc>
          <w:tcPr>
            <w:tcW w:w="871" w:type="dxa"/>
            <w:tcBorders>
              <w:right w:val="single" w:sz="6" w:space="0" w:color="auto"/>
            </w:tcBorders>
            <w:vAlign w:val="center"/>
          </w:tcPr>
          <w:p w14:paraId="709D93C8" w14:textId="77777777" w:rsidR="00787ADF" w:rsidRDefault="00787ADF" w:rsidP="00787ADF">
            <w:pPr>
              <w:spacing w:line="240" w:lineRule="auto"/>
              <w:jc w:val="left"/>
            </w:pPr>
            <w:r>
              <w:t>0.58</w:t>
            </w:r>
          </w:p>
        </w:tc>
        <w:tc>
          <w:tcPr>
            <w:tcW w:w="872" w:type="dxa"/>
            <w:tcBorders>
              <w:left w:val="single" w:sz="6" w:space="0" w:color="auto"/>
            </w:tcBorders>
            <w:vAlign w:val="center"/>
          </w:tcPr>
          <w:p w14:paraId="683B5A9D" w14:textId="77777777" w:rsidR="00787ADF" w:rsidRDefault="00787ADF" w:rsidP="00787ADF">
            <w:pPr>
              <w:spacing w:line="240" w:lineRule="auto"/>
              <w:jc w:val="right"/>
            </w:pPr>
            <w:r>
              <w:t>1.89</w:t>
            </w:r>
          </w:p>
        </w:tc>
        <w:tc>
          <w:tcPr>
            <w:tcW w:w="360" w:type="dxa"/>
            <w:vAlign w:val="center"/>
          </w:tcPr>
          <w:p w14:paraId="481015B9" w14:textId="77777777" w:rsidR="00787ADF" w:rsidRDefault="00787ADF" w:rsidP="00787ADF">
            <w:pPr>
              <w:spacing w:line="240" w:lineRule="auto"/>
              <w:jc w:val="center"/>
            </w:pPr>
            <w:r>
              <w:t>±</w:t>
            </w:r>
          </w:p>
        </w:tc>
        <w:tc>
          <w:tcPr>
            <w:tcW w:w="872" w:type="dxa"/>
            <w:tcBorders>
              <w:right w:val="single" w:sz="6" w:space="0" w:color="auto"/>
            </w:tcBorders>
            <w:vAlign w:val="center"/>
          </w:tcPr>
          <w:p w14:paraId="2C1E2822" w14:textId="77777777" w:rsidR="00787ADF" w:rsidRDefault="00787ADF" w:rsidP="00787ADF">
            <w:pPr>
              <w:spacing w:line="240" w:lineRule="auto"/>
              <w:jc w:val="left"/>
            </w:pPr>
            <w:r>
              <w:t>0.60</w:t>
            </w:r>
          </w:p>
        </w:tc>
      </w:tr>
      <w:tr w:rsidR="00787ADF" w14:paraId="79B33B9F" w14:textId="77777777" w:rsidTr="00787ADF">
        <w:trPr>
          <w:cantSplit/>
          <w:trHeight w:val="360"/>
          <w:jc w:val="center"/>
        </w:trPr>
        <w:tc>
          <w:tcPr>
            <w:tcW w:w="871" w:type="dxa"/>
            <w:vMerge/>
            <w:tcBorders>
              <w:left w:val="single" w:sz="6" w:space="0" w:color="auto"/>
            </w:tcBorders>
            <w:vAlign w:val="center"/>
          </w:tcPr>
          <w:p w14:paraId="593081AE" w14:textId="77777777" w:rsidR="00787ADF" w:rsidRDefault="00787ADF" w:rsidP="00787ADF">
            <w:pPr>
              <w:spacing w:before="120" w:after="120" w:line="240" w:lineRule="auto"/>
              <w:jc w:val="center"/>
            </w:pPr>
          </w:p>
        </w:tc>
        <w:tc>
          <w:tcPr>
            <w:tcW w:w="1310" w:type="dxa"/>
            <w:tcBorders>
              <w:right w:val="single" w:sz="6" w:space="0" w:color="auto"/>
            </w:tcBorders>
            <w:vAlign w:val="center"/>
          </w:tcPr>
          <w:p w14:paraId="34EBCF98" w14:textId="77777777" w:rsidR="00787ADF" w:rsidRDefault="00787ADF" w:rsidP="00787ADF">
            <w:pPr>
              <w:spacing w:line="240" w:lineRule="auto"/>
              <w:jc w:val="center"/>
            </w:pPr>
            <w:r>
              <w:t>344.7</w:t>
            </w:r>
          </w:p>
        </w:tc>
        <w:tc>
          <w:tcPr>
            <w:tcW w:w="871" w:type="dxa"/>
            <w:tcBorders>
              <w:left w:val="single" w:sz="6" w:space="0" w:color="auto"/>
            </w:tcBorders>
            <w:vAlign w:val="center"/>
          </w:tcPr>
          <w:p w14:paraId="5587DCD3" w14:textId="77777777" w:rsidR="00787ADF" w:rsidRDefault="00787ADF" w:rsidP="00787ADF">
            <w:pPr>
              <w:spacing w:line="240" w:lineRule="auto"/>
              <w:jc w:val="right"/>
            </w:pPr>
            <w:r>
              <w:t>8.99</w:t>
            </w:r>
          </w:p>
        </w:tc>
        <w:tc>
          <w:tcPr>
            <w:tcW w:w="360" w:type="dxa"/>
            <w:vAlign w:val="center"/>
          </w:tcPr>
          <w:p w14:paraId="582F65FD" w14:textId="77777777" w:rsidR="00787ADF" w:rsidRDefault="00787ADF" w:rsidP="00787ADF">
            <w:pPr>
              <w:spacing w:line="240" w:lineRule="auto"/>
              <w:jc w:val="center"/>
            </w:pPr>
            <w:r>
              <w:t>±</w:t>
            </w:r>
          </w:p>
        </w:tc>
        <w:tc>
          <w:tcPr>
            <w:tcW w:w="871" w:type="dxa"/>
            <w:tcBorders>
              <w:right w:val="single" w:sz="6" w:space="0" w:color="auto"/>
            </w:tcBorders>
            <w:vAlign w:val="center"/>
          </w:tcPr>
          <w:p w14:paraId="2D6884DC" w14:textId="77777777" w:rsidR="00787ADF" w:rsidRDefault="00787ADF" w:rsidP="00787ADF">
            <w:pPr>
              <w:spacing w:line="240" w:lineRule="auto"/>
              <w:jc w:val="left"/>
            </w:pPr>
            <w:r>
              <w:t>1.05</w:t>
            </w:r>
          </w:p>
        </w:tc>
        <w:tc>
          <w:tcPr>
            <w:tcW w:w="871" w:type="dxa"/>
            <w:tcBorders>
              <w:left w:val="single" w:sz="6" w:space="0" w:color="auto"/>
            </w:tcBorders>
            <w:vAlign w:val="center"/>
          </w:tcPr>
          <w:p w14:paraId="1DBDBF9F" w14:textId="77777777" w:rsidR="00787ADF" w:rsidRDefault="00787ADF" w:rsidP="00787ADF">
            <w:pPr>
              <w:spacing w:line="240" w:lineRule="auto"/>
              <w:jc w:val="right"/>
            </w:pPr>
            <w:r>
              <w:t>3.87</w:t>
            </w:r>
          </w:p>
        </w:tc>
        <w:tc>
          <w:tcPr>
            <w:tcW w:w="360" w:type="dxa"/>
            <w:vAlign w:val="center"/>
          </w:tcPr>
          <w:p w14:paraId="136CE61F" w14:textId="77777777" w:rsidR="00787ADF" w:rsidRDefault="00787ADF" w:rsidP="00787ADF">
            <w:pPr>
              <w:spacing w:line="240" w:lineRule="auto"/>
              <w:jc w:val="center"/>
            </w:pPr>
            <w:r>
              <w:t>±</w:t>
            </w:r>
          </w:p>
        </w:tc>
        <w:tc>
          <w:tcPr>
            <w:tcW w:w="871" w:type="dxa"/>
            <w:tcBorders>
              <w:right w:val="single" w:sz="6" w:space="0" w:color="auto"/>
            </w:tcBorders>
            <w:vAlign w:val="center"/>
          </w:tcPr>
          <w:p w14:paraId="53C4DEF2" w14:textId="77777777" w:rsidR="00787ADF" w:rsidRDefault="00787ADF" w:rsidP="00787ADF">
            <w:pPr>
              <w:spacing w:line="240" w:lineRule="auto"/>
              <w:jc w:val="left"/>
            </w:pPr>
            <w:r>
              <w:t>0.86</w:t>
            </w:r>
          </w:p>
        </w:tc>
        <w:tc>
          <w:tcPr>
            <w:tcW w:w="872" w:type="dxa"/>
            <w:tcBorders>
              <w:left w:val="single" w:sz="6" w:space="0" w:color="auto"/>
            </w:tcBorders>
            <w:vAlign w:val="center"/>
          </w:tcPr>
          <w:p w14:paraId="42A9BFC8" w14:textId="77777777" w:rsidR="00787ADF" w:rsidRDefault="00787ADF" w:rsidP="00787ADF">
            <w:pPr>
              <w:spacing w:line="240" w:lineRule="auto"/>
              <w:jc w:val="right"/>
            </w:pPr>
            <w:r>
              <w:t>2.04</w:t>
            </w:r>
          </w:p>
        </w:tc>
        <w:tc>
          <w:tcPr>
            <w:tcW w:w="360" w:type="dxa"/>
            <w:vAlign w:val="center"/>
          </w:tcPr>
          <w:p w14:paraId="052F3BA5" w14:textId="77777777" w:rsidR="00787ADF" w:rsidRDefault="00787ADF" w:rsidP="00787ADF">
            <w:pPr>
              <w:spacing w:line="240" w:lineRule="auto"/>
              <w:jc w:val="center"/>
            </w:pPr>
            <w:r>
              <w:t>±</w:t>
            </w:r>
          </w:p>
        </w:tc>
        <w:tc>
          <w:tcPr>
            <w:tcW w:w="872" w:type="dxa"/>
            <w:tcBorders>
              <w:right w:val="single" w:sz="6" w:space="0" w:color="auto"/>
            </w:tcBorders>
            <w:vAlign w:val="center"/>
          </w:tcPr>
          <w:p w14:paraId="000FD035" w14:textId="77777777" w:rsidR="00787ADF" w:rsidRDefault="00787ADF" w:rsidP="00787ADF">
            <w:pPr>
              <w:spacing w:line="240" w:lineRule="auto"/>
              <w:jc w:val="left"/>
            </w:pPr>
            <w:r>
              <w:t>0.18</w:t>
            </w:r>
          </w:p>
        </w:tc>
      </w:tr>
      <w:tr w:rsidR="00787ADF" w14:paraId="35CF491E" w14:textId="77777777" w:rsidTr="00787ADF">
        <w:trPr>
          <w:cantSplit/>
          <w:trHeight w:val="360"/>
          <w:jc w:val="center"/>
        </w:trPr>
        <w:tc>
          <w:tcPr>
            <w:tcW w:w="871" w:type="dxa"/>
            <w:vMerge/>
            <w:tcBorders>
              <w:left w:val="single" w:sz="6" w:space="0" w:color="auto"/>
              <w:bottom w:val="single" w:sz="6" w:space="0" w:color="auto"/>
            </w:tcBorders>
            <w:vAlign w:val="center"/>
          </w:tcPr>
          <w:p w14:paraId="6C032FB5" w14:textId="77777777" w:rsidR="00787ADF" w:rsidRDefault="00787ADF" w:rsidP="00787ADF">
            <w:pPr>
              <w:spacing w:before="120" w:after="120" w:line="240" w:lineRule="auto"/>
              <w:jc w:val="center"/>
            </w:pPr>
          </w:p>
        </w:tc>
        <w:tc>
          <w:tcPr>
            <w:tcW w:w="1310" w:type="dxa"/>
            <w:tcBorders>
              <w:bottom w:val="single" w:sz="6" w:space="0" w:color="auto"/>
              <w:right w:val="single" w:sz="6" w:space="0" w:color="auto"/>
            </w:tcBorders>
            <w:vAlign w:val="center"/>
          </w:tcPr>
          <w:p w14:paraId="514A1E6D" w14:textId="77777777" w:rsidR="00787ADF" w:rsidRDefault="00787ADF" w:rsidP="00787ADF">
            <w:pPr>
              <w:spacing w:line="240" w:lineRule="auto"/>
              <w:jc w:val="center"/>
            </w:pPr>
            <w:r>
              <w:t>482.6</w:t>
            </w:r>
          </w:p>
        </w:tc>
        <w:tc>
          <w:tcPr>
            <w:tcW w:w="871" w:type="dxa"/>
            <w:tcBorders>
              <w:left w:val="single" w:sz="6" w:space="0" w:color="auto"/>
              <w:bottom w:val="single" w:sz="6" w:space="0" w:color="auto"/>
            </w:tcBorders>
            <w:vAlign w:val="center"/>
          </w:tcPr>
          <w:p w14:paraId="237E1630" w14:textId="77777777" w:rsidR="00787ADF" w:rsidRDefault="00787ADF" w:rsidP="00787ADF">
            <w:pPr>
              <w:spacing w:line="240" w:lineRule="auto"/>
              <w:jc w:val="right"/>
            </w:pPr>
            <w:r>
              <w:t>8.21</w:t>
            </w:r>
          </w:p>
        </w:tc>
        <w:tc>
          <w:tcPr>
            <w:tcW w:w="360" w:type="dxa"/>
            <w:tcBorders>
              <w:bottom w:val="single" w:sz="6" w:space="0" w:color="auto"/>
            </w:tcBorders>
            <w:vAlign w:val="center"/>
          </w:tcPr>
          <w:p w14:paraId="3725FA11" w14:textId="77777777" w:rsidR="00787ADF" w:rsidRDefault="00787ADF" w:rsidP="00787ADF">
            <w:pPr>
              <w:spacing w:line="240" w:lineRule="auto"/>
              <w:jc w:val="center"/>
            </w:pPr>
            <w:r>
              <w:t>±</w:t>
            </w:r>
          </w:p>
        </w:tc>
        <w:tc>
          <w:tcPr>
            <w:tcW w:w="871" w:type="dxa"/>
            <w:tcBorders>
              <w:bottom w:val="single" w:sz="6" w:space="0" w:color="auto"/>
              <w:right w:val="single" w:sz="6" w:space="0" w:color="auto"/>
            </w:tcBorders>
            <w:vAlign w:val="center"/>
          </w:tcPr>
          <w:p w14:paraId="46F734B8" w14:textId="77777777" w:rsidR="00787ADF" w:rsidRDefault="00787ADF" w:rsidP="00787ADF">
            <w:pPr>
              <w:spacing w:line="240" w:lineRule="auto"/>
              <w:jc w:val="left"/>
            </w:pPr>
            <w:r>
              <w:t>1.30</w:t>
            </w:r>
          </w:p>
        </w:tc>
        <w:tc>
          <w:tcPr>
            <w:tcW w:w="871" w:type="dxa"/>
            <w:tcBorders>
              <w:left w:val="single" w:sz="6" w:space="0" w:color="auto"/>
              <w:bottom w:val="single" w:sz="6" w:space="0" w:color="auto"/>
            </w:tcBorders>
            <w:vAlign w:val="center"/>
          </w:tcPr>
          <w:p w14:paraId="14AE48D1" w14:textId="77777777" w:rsidR="00787ADF" w:rsidRDefault="00787ADF" w:rsidP="00787ADF">
            <w:pPr>
              <w:spacing w:line="240" w:lineRule="auto"/>
              <w:jc w:val="right"/>
            </w:pPr>
            <w:r>
              <w:t>3.65</w:t>
            </w:r>
          </w:p>
        </w:tc>
        <w:tc>
          <w:tcPr>
            <w:tcW w:w="360" w:type="dxa"/>
            <w:tcBorders>
              <w:bottom w:val="single" w:sz="6" w:space="0" w:color="auto"/>
            </w:tcBorders>
            <w:vAlign w:val="center"/>
          </w:tcPr>
          <w:p w14:paraId="7D2C48D2" w14:textId="77777777" w:rsidR="00787ADF" w:rsidRDefault="00787ADF" w:rsidP="00787ADF">
            <w:pPr>
              <w:spacing w:line="240" w:lineRule="auto"/>
              <w:jc w:val="center"/>
            </w:pPr>
            <w:r>
              <w:t>±</w:t>
            </w:r>
          </w:p>
        </w:tc>
        <w:tc>
          <w:tcPr>
            <w:tcW w:w="871" w:type="dxa"/>
            <w:tcBorders>
              <w:bottom w:val="single" w:sz="6" w:space="0" w:color="auto"/>
              <w:right w:val="single" w:sz="6" w:space="0" w:color="auto"/>
            </w:tcBorders>
            <w:vAlign w:val="center"/>
          </w:tcPr>
          <w:p w14:paraId="26F2AAC2" w14:textId="77777777" w:rsidR="00787ADF" w:rsidRDefault="00787ADF" w:rsidP="00787ADF">
            <w:pPr>
              <w:spacing w:line="240" w:lineRule="auto"/>
              <w:jc w:val="left"/>
            </w:pPr>
            <w:r>
              <w:t>1.83</w:t>
            </w:r>
          </w:p>
        </w:tc>
        <w:tc>
          <w:tcPr>
            <w:tcW w:w="872" w:type="dxa"/>
            <w:tcBorders>
              <w:left w:val="single" w:sz="6" w:space="0" w:color="auto"/>
              <w:bottom w:val="single" w:sz="6" w:space="0" w:color="auto"/>
            </w:tcBorders>
            <w:vAlign w:val="center"/>
          </w:tcPr>
          <w:p w14:paraId="468DA1BA" w14:textId="77777777" w:rsidR="00787ADF" w:rsidRDefault="00787ADF" w:rsidP="00787ADF">
            <w:pPr>
              <w:spacing w:line="240" w:lineRule="auto"/>
              <w:jc w:val="right"/>
            </w:pPr>
            <w:r>
              <w:t>1.65</w:t>
            </w:r>
          </w:p>
        </w:tc>
        <w:tc>
          <w:tcPr>
            <w:tcW w:w="360" w:type="dxa"/>
            <w:tcBorders>
              <w:bottom w:val="single" w:sz="6" w:space="0" w:color="auto"/>
            </w:tcBorders>
            <w:vAlign w:val="center"/>
          </w:tcPr>
          <w:p w14:paraId="428240D3" w14:textId="77777777" w:rsidR="00787ADF" w:rsidRDefault="00787ADF" w:rsidP="00787ADF">
            <w:pPr>
              <w:spacing w:line="240" w:lineRule="auto"/>
              <w:jc w:val="center"/>
            </w:pPr>
            <w:r>
              <w:t>±</w:t>
            </w:r>
          </w:p>
        </w:tc>
        <w:tc>
          <w:tcPr>
            <w:tcW w:w="872" w:type="dxa"/>
            <w:tcBorders>
              <w:bottom w:val="single" w:sz="6" w:space="0" w:color="auto"/>
              <w:right w:val="single" w:sz="6" w:space="0" w:color="auto"/>
            </w:tcBorders>
            <w:vAlign w:val="center"/>
          </w:tcPr>
          <w:p w14:paraId="19FDB9D8" w14:textId="77777777" w:rsidR="00787ADF" w:rsidRDefault="00787ADF" w:rsidP="00787ADF">
            <w:pPr>
              <w:spacing w:line="240" w:lineRule="auto"/>
              <w:jc w:val="left"/>
            </w:pPr>
            <w:r>
              <w:t>0.58</w:t>
            </w:r>
          </w:p>
        </w:tc>
      </w:tr>
      <w:tr w:rsidR="00787ADF" w14:paraId="0462A4CD" w14:textId="77777777" w:rsidTr="00787ADF">
        <w:trPr>
          <w:cantSplit/>
          <w:trHeight w:val="360"/>
          <w:jc w:val="center"/>
        </w:trPr>
        <w:tc>
          <w:tcPr>
            <w:tcW w:w="871" w:type="dxa"/>
            <w:vMerge w:val="restart"/>
            <w:tcBorders>
              <w:top w:val="single" w:sz="6" w:space="0" w:color="auto"/>
              <w:left w:val="single" w:sz="6" w:space="0" w:color="auto"/>
            </w:tcBorders>
            <w:textDirection w:val="btLr"/>
            <w:vAlign w:val="center"/>
          </w:tcPr>
          <w:p w14:paraId="6C34DFD5" w14:textId="77777777" w:rsidR="00787ADF" w:rsidRDefault="00787ADF" w:rsidP="00787ADF">
            <w:pPr>
              <w:spacing w:before="120" w:after="120" w:line="240" w:lineRule="auto"/>
              <w:ind w:left="113" w:right="113"/>
              <w:jc w:val="center"/>
            </w:pPr>
            <w:r>
              <w:t>70% RH</w:t>
            </w:r>
          </w:p>
        </w:tc>
        <w:tc>
          <w:tcPr>
            <w:tcW w:w="1310" w:type="dxa"/>
            <w:tcBorders>
              <w:top w:val="single" w:sz="6" w:space="0" w:color="auto"/>
              <w:right w:val="single" w:sz="6" w:space="0" w:color="auto"/>
            </w:tcBorders>
            <w:vAlign w:val="center"/>
          </w:tcPr>
          <w:p w14:paraId="437BE9B6" w14:textId="77777777" w:rsidR="00787ADF" w:rsidRDefault="00787ADF" w:rsidP="00787ADF">
            <w:pPr>
              <w:spacing w:line="240" w:lineRule="auto"/>
              <w:jc w:val="center"/>
            </w:pPr>
            <w:r>
              <w:t>68.9</w:t>
            </w:r>
          </w:p>
        </w:tc>
        <w:tc>
          <w:tcPr>
            <w:tcW w:w="871" w:type="dxa"/>
            <w:tcBorders>
              <w:top w:val="single" w:sz="6" w:space="0" w:color="auto"/>
              <w:left w:val="single" w:sz="6" w:space="0" w:color="auto"/>
            </w:tcBorders>
            <w:vAlign w:val="center"/>
          </w:tcPr>
          <w:p w14:paraId="03C1C45C" w14:textId="77777777" w:rsidR="00787ADF" w:rsidRDefault="00787ADF" w:rsidP="00787ADF">
            <w:pPr>
              <w:spacing w:line="240" w:lineRule="auto"/>
              <w:jc w:val="right"/>
            </w:pPr>
            <w:r>
              <w:t>13.35</w:t>
            </w:r>
          </w:p>
        </w:tc>
        <w:tc>
          <w:tcPr>
            <w:tcW w:w="360" w:type="dxa"/>
            <w:tcBorders>
              <w:top w:val="single" w:sz="6" w:space="0" w:color="auto"/>
            </w:tcBorders>
            <w:vAlign w:val="center"/>
          </w:tcPr>
          <w:p w14:paraId="3B96BDB6" w14:textId="77777777" w:rsidR="00787ADF" w:rsidRDefault="00787ADF" w:rsidP="00787ADF">
            <w:pPr>
              <w:spacing w:line="240" w:lineRule="auto"/>
              <w:jc w:val="center"/>
            </w:pPr>
            <w:r>
              <w:t>±</w:t>
            </w:r>
          </w:p>
        </w:tc>
        <w:tc>
          <w:tcPr>
            <w:tcW w:w="871" w:type="dxa"/>
            <w:tcBorders>
              <w:top w:val="single" w:sz="6" w:space="0" w:color="auto"/>
              <w:right w:val="single" w:sz="6" w:space="0" w:color="auto"/>
            </w:tcBorders>
            <w:vAlign w:val="center"/>
          </w:tcPr>
          <w:p w14:paraId="20F8C31D" w14:textId="77777777" w:rsidR="00787ADF" w:rsidRDefault="00787ADF" w:rsidP="00787ADF">
            <w:pPr>
              <w:spacing w:line="240" w:lineRule="auto"/>
              <w:jc w:val="left"/>
            </w:pPr>
            <w:r>
              <w:t>3.50</w:t>
            </w:r>
          </w:p>
        </w:tc>
        <w:tc>
          <w:tcPr>
            <w:tcW w:w="871" w:type="dxa"/>
            <w:tcBorders>
              <w:top w:val="single" w:sz="6" w:space="0" w:color="auto"/>
              <w:left w:val="single" w:sz="6" w:space="0" w:color="auto"/>
            </w:tcBorders>
            <w:vAlign w:val="center"/>
          </w:tcPr>
          <w:p w14:paraId="0261FAC4" w14:textId="77777777" w:rsidR="00787ADF" w:rsidRDefault="00787ADF" w:rsidP="00787ADF">
            <w:pPr>
              <w:spacing w:line="240" w:lineRule="auto"/>
              <w:jc w:val="right"/>
            </w:pPr>
            <w:r>
              <w:t>10.23</w:t>
            </w:r>
          </w:p>
        </w:tc>
        <w:tc>
          <w:tcPr>
            <w:tcW w:w="360" w:type="dxa"/>
            <w:tcBorders>
              <w:top w:val="single" w:sz="6" w:space="0" w:color="auto"/>
            </w:tcBorders>
            <w:vAlign w:val="center"/>
          </w:tcPr>
          <w:p w14:paraId="03DDF2C5" w14:textId="77777777" w:rsidR="00787ADF" w:rsidRDefault="00787ADF" w:rsidP="00787ADF">
            <w:pPr>
              <w:spacing w:line="240" w:lineRule="auto"/>
              <w:jc w:val="center"/>
            </w:pPr>
            <w:r>
              <w:t>±</w:t>
            </w:r>
          </w:p>
        </w:tc>
        <w:tc>
          <w:tcPr>
            <w:tcW w:w="871" w:type="dxa"/>
            <w:tcBorders>
              <w:top w:val="single" w:sz="6" w:space="0" w:color="auto"/>
              <w:right w:val="single" w:sz="6" w:space="0" w:color="auto"/>
            </w:tcBorders>
            <w:vAlign w:val="center"/>
          </w:tcPr>
          <w:p w14:paraId="74B72092" w14:textId="77777777" w:rsidR="00787ADF" w:rsidRDefault="00787ADF" w:rsidP="00787ADF">
            <w:pPr>
              <w:spacing w:line="240" w:lineRule="auto"/>
              <w:jc w:val="left"/>
            </w:pPr>
            <w:r>
              <w:t>1.57</w:t>
            </w:r>
          </w:p>
        </w:tc>
        <w:tc>
          <w:tcPr>
            <w:tcW w:w="872" w:type="dxa"/>
            <w:tcBorders>
              <w:top w:val="single" w:sz="6" w:space="0" w:color="auto"/>
              <w:left w:val="single" w:sz="6" w:space="0" w:color="auto"/>
            </w:tcBorders>
            <w:vAlign w:val="center"/>
          </w:tcPr>
          <w:p w14:paraId="306969EE" w14:textId="77777777" w:rsidR="00787ADF" w:rsidRDefault="00787ADF" w:rsidP="00787ADF">
            <w:pPr>
              <w:spacing w:line="240" w:lineRule="auto"/>
              <w:jc w:val="right"/>
            </w:pPr>
            <w:r>
              <w:t>3.91</w:t>
            </w:r>
          </w:p>
        </w:tc>
        <w:tc>
          <w:tcPr>
            <w:tcW w:w="360" w:type="dxa"/>
            <w:tcBorders>
              <w:top w:val="single" w:sz="6" w:space="0" w:color="auto"/>
            </w:tcBorders>
            <w:vAlign w:val="center"/>
          </w:tcPr>
          <w:p w14:paraId="5711A58D" w14:textId="77777777" w:rsidR="00787ADF" w:rsidRDefault="00787ADF" w:rsidP="00787ADF">
            <w:pPr>
              <w:spacing w:line="240" w:lineRule="auto"/>
              <w:jc w:val="center"/>
            </w:pPr>
            <w:r>
              <w:t>±</w:t>
            </w:r>
          </w:p>
        </w:tc>
        <w:tc>
          <w:tcPr>
            <w:tcW w:w="872" w:type="dxa"/>
            <w:tcBorders>
              <w:top w:val="single" w:sz="6" w:space="0" w:color="auto"/>
              <w:right w:val="single" w:sz="6" w:space="0" w:color="auto"/>
            </w:tcBorders>
            <w:vAlign w:val="center"/>
          </w:tcPr>
          <w:p w14:paraId="5B09071C" w14:textId="77777777" w:rsidR="00787ADF" w:rsidRDefault="00787ADF" w:rsidP="00787ADF">
            <w:pPr>
              <w:spacing w:line="240" w:lineRule="auto"/>
              <w:jc w:val="left"/>
            </w:pPr>
            <w:r>
              <w:t>1.01</w:t>
            </w:r>
          </w:p>
        </w:tc>
      </w:tr>
      <w:tr w:rsidR="00787ADF" w14:paraId="770E5D9D" w14:textId="77777777" w:rsidTr="00787ADF">
        <w:trPr>
          <w:cantSplit/>
          <w:trHeight w:val="360"/>
          <w:jc w:val="center"/>
        </w:trPr>
        <w:tc>
          <w:tcPr>
            <w:tcW w:w="871" w:type="dxa"/>
            <w:vMerge/>
            <w:tcBorders>
              <w:left w:val="single" w:sz="6" w:space="0" w:color="auto"/>
            </w:tcBorders>
            <w:vAlign w:val="center"/>
          </w:tcPr>
          <w:p w14:paraId="575907F7" w14:textId="77777777" w:rsidR="00787ADF" w:rsidRDefault="00787ADF" w:rsidP="00787ADF">
            <w:pPr>
              <w:spacing w:before="120" w:after="120" w:line="240" w:lineRule="auto"/>
              <w:jc w:val="center"/>
            </w:pPr>
          </w:p>
        </w:tc>
        <w:tc>
          <w:tcPr>
            <w:tcW w:w="1310" w:type="dxa"/>
            <w:tcBorders>
              <w:right w:val="single" w:sz="6" w:space="0" w:color="auto"/>
            </w:tcBorders>
            <w:vAlign w:val="center"/>
          </w:tcPr>
          <w:p w14:paraId="0D93711D" w14:textId="77777777" w:rsidR="00787ADF" w:rsidRDefault="00787ADF" w:rsidP="00787ADF">
            <w:pPr>
              <w:spacing w:line="240" w:lineRule="auto"/>
              <w:jc w:val="center"/>
            </w:pPr>
            <w:r>
              <w:t>206.8</w:t>
            </w:r>
          </w:p>
        </w:tc>
        <w:tc>
          <w:tcPr>
            <w:tcW w:w="871" w:type="dxa"/>
            <w:tcBorders>
              <w:left w:val="single" w:sz="6" w:space="0" w:color="auto"/>
            </w:tcBorders>
            <w:vAlign w:val="center"/>
          </w:tcPr>
          <w:p w14:paraId="6C672BF7" w14:textId="77777777" w:rsidR="00787ADF" w:rsidRDefault="00787ADF" w:rsidP="00787ADF">
            <w:pPr>
              <w:spacing w:line="240" w:lineRule="auto"/>
              <w:jc w:val="right"/>
            </w:pPr>
            <w:r>
              <w:t>10.38</w:t>
            </w:r>
          </w:p>
        </w:tc>
        <w:tc>
          <w:tcPr>
            <w:tcW w:w="360" w:type="dxa"/>
            <w:vAlign w:val="center"/>
          </w:tcPr>
          <w:p w14:paraId="4D0E990B" w14:textId="77777777" w:rsidR="00787ADF" w:rsidRDefault="00787ADF" w:rsidP="00787ADF">
            <w:pPr>
              <w:spacing w:line="240" w:lineRule="auto"/>
              <w:jc w:val="center"/>
            </w:pPr>
            <w:r>
              <w:t>±</w:t>
            </w:r>
          </w:p>
        </w:tc>
        <w:tc>
          <w:tcPr>
            <w:tcW w:w="871" w:type="dxa"/>
            <w:tcBorders>
              <w:right w:val="single" w:sz="6" w:space="0" w:color="auto"/>
            </w:tcBorders>
            <w:vAlign w:val="center"/>
          </w:tcPr>
          <w:p w14:paraId="44120DA4" w14:textId="77777777" w:rsidR="00787ADF" w:rsidRDefault="00787ADF" w:rsidP="00787ADF">
            <w:pPr>
              <w:spacing w:line="240" w:lineRule="auto"/>
              <w:jc w:val="left"/>
            </w:pPr>
            <w:r>
              <w:t>2.05</w:t>
            </w:r>
          </w:p>
        </w:tc>
        <w:tc>
          <w:tcPr>
            <w:tcW w:w="871" w:type="dxa"/>
            <w:tcBorders>
              <w:left w:val="single" w:sz="6" w:space="0" w:color="auto"/>
            </w:tcBorders>
            <w:vAlign w:val="center"/>
          </w:tcPr>
          <w:p w14:paraId="03A233D5" w14:textId="77777777" w:rsidR="00787ADF" w:rsidRDefault="00787ADF" w:rsidP="00787ADF">
            <w:pPr>
              <w:spacing w:line="240" w:lineRule="auto"/>
              <w:jc w:val="right"/>
            </w:pPr>
            <w:r>
              <w:t>7.03</w:t>
            </w:r>
          </w:p>
        </w:tc>
        <w:tc>
          <w:tcPr>
            <w:tcW w:w="360" w:type="dxa"/>
            <w:vAlign w:val="center"/>
          </w:tcPr>
          <w:p w14:paraId="00AB3166" w14:textId="77777777" w:rsidR="00787ADF" w:rsidRDefault="00787ADF" w:rsidP="00787ADF">
            <w:pPr>
              <w:spacing w:line="240" w:lineRule="auto"/>
              <w:jc w:val="center"/>
            </w:pPr>
            <w:r>
              <w:t>±</w:t>
            </w:r>
          </w:p>
        </w:tc>
        <w:tc>
          <w:tcPr>
            <w:tcW w:w="871" w:type="dxa"/>
            <w:tcBorders>
              <w:right w:val="single" w:sz="6" w:space="0" w:color="auto"/>
            </w:tcBorders>
            <w:vAlign w:val="center"/>
          </w:tcPr>
          <w:p w14:paraId="4292C050" w14:textId="77777777" w:rsidR="00787ADF" w:rsidRDefault="00787ADF" w:rsidP="00787ADF">
            <w:pPr>
              <w:spacing w:line="240" w:lineRule="auto"/>
              <w:jc w:val="left"/>
            </w:pPr>
            <w:r>
              <w:t>1.16</w:t>
            </w:r>
          </w:p>
        </w:tc>
        <w:tc>
          <w:tcPr>
            <w:tcW w:w="872" w:type="dxa"/>
            <w:tcBorders>
              <w:left w:val="single" w:sz="6" w:space="0" w:color="auto"/>
            </w:tcBorders>
            <w:vAlign w:val="center"/>
          </w:tcPr>
          <w:p w14:paraId="12E8A7FD" w14:textId="77777777" w:rsidR="00787ADF" w:rsidRDefault="00787ADF" w:rsidP="00787ADF">
            <w:pPr>
              <w:spacing w:line="240" w:lineRule="auto"/>
              <w:jc w:val="right"/>
            </w:pPr>
            <w:r>
              <w:t>2.37</w:t>
            </w:r>
          </w:p>
        </w:tc>
        <w:tc>
          <w:tcPr>
            <w:tcW w:w="360" w:type="dxa"/>
            <w:vAlign w:val="center"/>
          </w:tcPr>
          <w:p w14:paraId="02815B92" w14:textId="77777777" w:rsidR="00787ADF" w:rsidRDefault="00787ADF" w:rsidP="00787ADF">
            <w:pPr>
              <w:spacing w:line="240" w:lineRule="auto"/>
              <w:jc w:val="center"/>
            </w:pPr>
            <w:r>
              <w:t>±</w:t>
            </w:r>
          </w:p>
        </w:tc>
        <w:tc>
          <w:tcPr>
            <w:tcW w:w="872" w:type="dxa"/>
            <w:tcBorders>
              <w:right w:val="single" w:sz="6" w:space="0" w:color="auto"/>
            </w:tcBorders>
            <w:vAlign w:val="center"/>
          </w:tcPr>
          <w:p w14:paraId="37A2AE88" w14:textId="77777777" w:rsidR="00787ADF" w:rsidRDefault="00787ADF" w:rsidP="00787ADF">
            <w:pPr>
              <w:spacing w:line="240" w:lineRule="auto"/>
              <w:jc w:val="left"/>
            </w:pPr>
            <w:r>
              <w:t>0.56</w:t>
            </w:r>
          </w:p>
        </w:tc>
      </w:tr>
      <w:tr w:rsidR="00787ADF" w14:paraId="091DFA08" w14:textId="77777777" w:rsidTr="00787ADF">
        <w:trPr>
          <w:cantSplit/>
          <w:trHeight w:val="360"/>
          <w:jc w:val="center"/>
        </w:trPr>
        <w:tc>
          <w:tcPr>
            <w:tcW w:w="871" w:type="dxa"/>
            <w:vMerge/>
            <w:tcBorders>
              <w:left w:val="single" w:sz="6" w:space="0" w:color="auto"/>
            </w:tcBorders>
            <w:vAlign w:val="center"/>
          </w:tcPr>
          <w:p w14:paraId="7D2A4871" w14:textId="77777777" w:rsidR="00787ADF" w:rsidRDefault="00787ADF" w:rsidP="00787ADF">
            <w:pPr>
              <w:spacing w:before="120" w:after="120" w:line="240" w:lineRule="auto"/>
              <w:jc w:val="center"/>
            </w:pPr>
          </w:p>
        </w:tc>
        <w:tc>
          <w:tcPr>
            <w:tcW w:w="1310" w:type="dxa"/>
            <w:tcBorders>
              <w:right w:val="single" w:sz="6" w:space="0" w:color="auto"/>
            </w:tcBorders>
            <w:vAlign w:val="center"/>
          </w:tcPr>
          <w:p w14:paraId="5A2A135B" w14:textId="77777777" w:rsidR="00787ADF" w:rsidRDefault="00787ADF" w:rsidP="00787ADF">
            <w:pPr>
              <w:spacing w:line="240" w:lineRule="auto"/>
              <w:jc w:val="center"/>
            </w:pPr>
            <w:r>
              <w:t>344.7</w:t>
            </w:r>
          </w:p>
        </w:tc>
        <w:tc>
          <w:tcPr>
            <w:tcW w:w="871" w:type="dxa"/>
            <w:tcBorders>
              <w:left w:val="single" w:sz="6" w:space="0" w:color="auto"/>
            </w:tcBorders>
            <w:vAlign w:val="center"/>
          </w:tcPr>
          <w:p w14:paraId="1B357116" w14:textId="77777777" w:rsidR="00787ADF" w:rsidRDefault="00787ADF" w:rsidP="00787ADF">
            <w:pPr>
              <w:spacing w:line="240" w:lineRule="auto"/>
              <w:jc w:val="right"/>
            </w:pPr>
            <w:r>
              <w:t>9.52</w:t>
            </w:r>
          </w:p>
        </w:tc>
        <w:tc>
          <w:tcPr>
            <w:tcW w:w="360" w:type="dxa"/>
            <w:vAlign w:val="center"/>
          </w:tcPr>
          <w:p w14:paraId="6C402976" w14:textId="77777777" w:rsidR="00787ADF" w:rsidRDefault="00787ADF" w:rsidP="00787ADF">
            <w:pPr>
              <w:spacing w:line="240" w:lineRule="auto"/>
              <w:jc w:val="center"/>
            </w:pPr>
            <w:r>
              <w:t>±</w:t>
            </w:r>
          </w:p>
        </w:tc>
        <w:tc>
          <w:tcPr>
            <w:tcW w:w="871" w:type="dxa"/>
            <w:tcBorders>
              <w:right w:val="single" w:sz="6" w:space="0" w:color="auto"/>
            </w:tcBorders>
            <w:vAlign w:val="center"/>
          </w:tcPr>
          <w:p w14:paraId="74839737" w14:textId="77777777" w:rsidR="00787ADF" w:rsidRDefault="00787ADF" w:rsidP="00787ADF">
            <w:pPr>
              <w:spacing w:line="240" w:lineRule="auto"/>
              <w:jc w:val="left"/>
            </w:pPr>
            <w:r>
              <w:t>0.19</w:t>
            </w:r>
          </w:p>
        </w:tc>
        <w:tc>
          <w:tcPr>
            <w:tcW w:w="871" w:type="dxa"/>
            <w:tcBorders>
              <w:left w:val="single" w:sz="6" w:space="0" w:color="auto"/>
            </w:tcBorders>
            <w:vAlign w:val="center"/>
          </w:tcPr>
          <w:p w14:paraId="774D02DA" w14:textId="77777777" w:rsidR="00787ADF" w:rsidRDefault="00787ADF" w:rsidP="00787ADF">
            <w:pPr>
              <w:spacing w:line="240" w:lineRule="auto"/>
              <w:jc w:val="right"/>
            </w:pPr>
            <w:r>
              <w:t>5.95</w:t>
            </w:r>
          </w:p>
        </w:tc>
        <w:tc>
          <w:tcPr>
            <w:tcW w:w="360" w:type="dxa"/>
            <w:vAlign w:val="center"/>
          </w:tcPr>
          <w:p w14:paraId="6073585C" w14:textId="77777777" w:rsidR="00787ADF" w:rsidRDefault="00787ADF" w:rsidP="00787ADF">
            <w:pPr>
              <w:spacing w:line="240" w:lineRule="auto"/>
              <w:jc w:val="center"/>
            </w:pPr>
            <w:r>
              <w:t>±</w:t>
            </w:r>
          </w:p>
        </w:tc>
        <w:tc>
          <w:tcPr>
            <w:tcW w:w="871" w:type="dxa"/>
            <w:tcBorders>
              <w:right w:val="single" w:sz="6" w:space="0" w:color="auto"/>
            </w:tcBorders>
            <w:vAlign w:val="center"/>
          </w:tcPr>
          <w:p w14:paraId="4411A24E" w14:textId="77777777" w:rsidR="00787ADF" w:rsidRDefault="00787ADF" w:rsidP="00787ADF">
            <w:pPr>
              <w:spacing w:line="240" w:lineRule="auto"/>
              <w:jc w:val="left"/>
            </w:pPr>
            <w:r>
              <w:t>0.95</w:t>
            </w:r>
          </w:p>
        </w:tc>
        <w:tc>
          <w:tcPr>
            <w:tcW w:w="872" w:type="dxa"/>
            <w:tcBorders>
              <w:left w:val="single" w:sz="6" w:space="0" w:color="auto"/>
            </w:tcBorders>
            <w:vAlign w:val="center"/>
          </w:tcPr>
          <w:p w14:paraId="738C5EDA" w14:textId="77777777" w:rsidR="00787ADF" w:rsidRDefault="00787ADF" w:rsidP="00787ADF">
            <w:pPr>
              <w:spacing w:line="240" w:lineRule="auto"/>
              <w:jc w:val="right"/>
            </w:pPr>
            <w:r>
              <w:t>2.18</w:t>
            </w:r>
          </w:p>
        </w:tc>
        <w:tc>
          <w:tcPr>
            <w:tcW w:w="360" w:type="dxa"/>
            <w:vAlign w:val="center"/>
          </w:tcPr>
          <w:p w14:paraId="6B1FCD33" w14:textId="77777777" w:rsidR="00787ADF" w:rsidRDefault="00787ADF" w:rsidP="00787ADF">
            <w:pPr>
              <w:spacing w:line="240" w:lineRule="auto"/>
              <w:jc w:val="center"/>
            </w:pPr>
            <w:r>
              <w:t>±</w:t>
            </w:r>
          </w:p>
        </w:tc>
        <w:tc>
          <w:tcPr>
            <w:tcW w:w="872" w:type="dxa"/>
            <w:tcBorders>
              <w:right w:val="single" w:sz="6" w:space="0" w:color="auto"/>
            </w:tcBorders>
            <w:vAlign w:val="center"/>
          </w:tcPr>
          <w:p w14:paraId="3E100F0B" w14:textId="77777777" w:rsidR="00787ADF" w:rsidRDefault="00787ADF" w:rsidP="00787ADF">
            <w:pPr>
              <w:spacing w:line="240" w:lineRule="auto"/>
              <w:jc w:val="left"/>
            </w:pPr>
            <w:r>
              <w:t>1.20</w:t>
            </w:r>
          </w:p>
        </w:tc>
      </w:tr>
      <w:tr w:rsidR="00787ADF" w14:paraId="2E756776" w14:textId="77777777" w:rsidTr="00787ADF">
        <w:trPr>
          <w:cantSplit/>
          <w:trHeight w:val="360"/>
          <w:jc w:val="center"/>
        </w:trPr>
        <w:tc>
          <w:tcPr>
            <w:tcW w:w="871" w:type="dxa"/>
            <w:vMerge/>
            <w:tcBorders>
              <w:left w:val="single" w:sz="6" w:space="0" w:color="auto"/>
              <w:bottom w:val="single" w:sz="6" w:space="0" w:color="auto"/>
            </w:tcBorders>
            <w:vAlign w:val="center"/>
          </w:tcPr>
          <w:p w14:paraId="5E0DC0FF" w14:textId="77777777" w:rsidR="00787ADF" w:rsidRDefault="00787ADF" w:rsidP="00787ADF">
            <w:pPr>
              <w:spacing w:before="120" w:after="120" w:line="240" w:lineRule="auto"/>
              <w:jc w:val="center"/>
            </w:pPr>
          </w:p>
        </w:tc>
        <w:tc>
          <w:tcPr>
            <w:tcW w:w="1310" w:type="dxa"/>
            <w:tcBorders>
              <w:bottom w:val="single" w:sz="6" w:space="0" w:color="auto"/>
              <w:right w:val="single" w:sz="6" w:space="0" w:color="auto"/>
            </w:tcBorders>
            <w:vAlign w:val="center"/>
          </w:tcPr>
          <w:p w14:paraId="50B1EA66" w14:textId="77777777" w:rsidR="00787ADF" w:rsidRDefault="00787ADF" w:rsidP="00787ADF">
            <w:pPr>
              <w:spacing w:line="240" w:lineRule="auto"/>
              <w:jc w:val="center"/>
            </w:pPr>
            <w:r>
              <w:t>482.6</w:t>
            </w:r>
          </w:p>
        </w:tc>
        <w:tc>
          <w:tcPr>
            <w:tcW w:w="871" w:type="dxa"/>
            <w:tcBorders>
              <w:left w:val="single" w:sz="6" w:space="0" w:color="auto"/>
              <w:bottom w:val="single" w:sz="6" w:space="0" w:color="auto"/>
            </w:tcBorders>
            <w:vAlign w:val="center"/>
          </w:tcPr>
          <w:p w14:paraId="547A3D3F" w14:textId="77777777" w:rsidR="00787ADF" w:rsidRDefault="00787ADF" w:rsidP="00787ADF">
            <w:pPr>
              <w:spacing w:line="240" w:lineRule="auto"/>
              <w:jc w:val="right"/>
            </w:pPr>
            <w:r>
              <w:t>8.09</w:t>
            </w:r>
          </w:p>
        </w:tc>
        <w:tc>
          <w:tcPr>
            <w:tcW w:w="360" w:type="dxa"/>
            <w:tcBorders>
              <w:bottom w:val="single" w:sz="6" w:space="0" w:color="auto"/>
            </w:tcBorders>
            <w:vAlign w:val="center"/>
          </w:tcPr>
          <w:p w14:paraId="708C6CD4" w14:textId="77777777" w:rsidR="00787ADF" w:rsidRDefault="00787ADF" w:rsidP="00787ADF">
            <w:pPr>
              <w:spacing w:line="240" w:lineRule="auto"/>
              <w:jc w:val="center"/>
            </w:pPr>
            <w:r>
              <w:t>±</w:t>
            </w:r>
          </w:p>
        </w:tc>
        <w:tc>
          <w:tcPr>
            <w:tcW w:w="871" w:type="dxa"/>
            <w:tcBorders>
              <w:bottom w:val="single" w:sz="6" w:space="0" w:color="auto"/>
              <w:right w:val="single" w:sz="6" w:space="0" w:color="auto"/>
            </w:tcBorders>
            <w:vAlign w:val="center"/>
          </w:tcPr>
          <w:p w14:paraId="56380424" w14:textId="77777777" w:rsidR="00787ADF" w:rsidRDefault="00787ADF" w:rsidP="00787ADF">
            <w:pPr>
              <w:spacing w:line="240" w:lineRule="auto"/>
              <w:jc w:val="left"/>
            </w:pPr>
            <w:r>
              <w:t>0.79</w:t>
            </w:r>
          </w:p>
        </w:tc>
        <w:tc>
          <w:tcPr>
            <w:tcW w:w="871" w:type="dxa"/>
            <w:tcBorders>
              <w:left w:val="single" w:sz="6" w:space="0" w:color="auto"/>
              <w:bottom w:val="single" w:sz="6" w:space="0" w:color="auto"/>
            </w:tcBorders>
            <w:vAlign w:val="center"/>
          </w:tcPr>
          <w:p w14:paraId="3E03AE1F" w14:textId="77777777" w:rsidR="00787ADF" w:rsidRDefault="00787ADF" w:rsidP="00787ADF">
            <w:pPr>
              <w:spacing w:line="240" w:lineRule="auto"/>
              <w:jc w:val="right"/>
            </w:pPr>
            <w:r>
              <w:t>5.44</w:t>
            </w:r>
          </w:p>
        </w:tc>
        <w:tc>
          <w:tcPr>
            <w:tcW w:w="360" w:type="dxa"/>
            <w:tcBorders>
              <w:bottom w:val="single" w:sz="6" w:space="0" w:color="auto"/>
            </w:tcBorders>
            <w:vAlign w:val="center"/>
          </w:tcPr>
          <w:p w14:paraId="2E3BBB52" w14:textId="77777777" w:rsidR="00787ADF" w:rsidRDefault="00787ADF" w:rsidP="00787ADF">
            <w:pPr>
              <w:spacing w:line="240" w:lineRule="auto"/>
              <w:jc w:val="center"/>
            </w:pPr>
            <w:r>
              <w:t>±</w:t>
            </w:r>
          </w:p>
        </w:tc>
        <w:tc>
          <w:tcPr>
            <w:tcW w:w="871" w:type="dxa"/>
            <w:tcBorders>
              <w:bottom w:val="single" w:sz="6" w:space="0" w:color="auto"/>
              <w:right w:val="single" w:sz="6" w:space="0" w:color="auto"/>
            </w:tcBorders>
            <w:vAlign w:val="center"/>
          </w:tcPr>
          <w:p w14:paraId="448E0D62" w14:textId="77777777" w:rsidR="00787ADF" w:rsidRDefault="00787ADF" w:rsidP="00787ADF">
            <w:pPr>
              <w:spacing w:line="240" w:lineRule="auto"/>
              <w:jc w:val="left"/>
            </w:pPr>
            <w:r>
              <w:t>0.15</w:t>
            </w:r>
          </w:p>
        </w:tc>
        <w:tc>
          <w:tcPr>
            <w:tcW w:w="872" w:type="dxa"/>
            <w:tcBorders>
              <w:left w:val="single" w:sz="6" w:space="0" w:color="auto"/>
              <w:bottom w:val="single" w:sz="6" w:space="0" w:color="auto"/>
            </w:tcBorders>
            <w:vAlign w:val="center"/>
          </w:tcPr>
          <w:p w14:paraId="18A44537" w14:textId="77777777" w:rsidR="00787ADF" w:rsidRDefault="00787ADF" w:rsidP="00787ADF">
            <w:pPr>
              <w:spacing w:line="240" w:lineRule="auto"/>
              <w:jc w:val="right"/>
            </w:pPr>
            <w:r>
              <w:t>1.72</w:t>
            </w:r>
          </w:p>
        </w:tc>
        <w:tc>
          <w:tcPr>
            <w:tcW w:w="360" w:type="dxa"/>
            <w:tcBorders>
              <w:bottom w:val="single" w:sz="6" w:space="0" w:color="auto"/>
            </w:tcBorders>
            <w:vAlign w:val="center"/>
          </w:tcPr>
          <w:p w14:paraId="710015EF" w14:textId="77777777" w:rsidR="00787ADF" w:rsidRDefault="00787ADF" w:rsidP="00787ADF">
            <w:pPr>
              <w:spacing w:line="240" w:lineRule="auto"/>
              <w:jc w:val="center"/>
            </w:pPr>
            <w:r>
              <w:t>±</w:t>
            </w:r>
          </w:p>
        </w:tc>
        <w:tc>
          <w:tcPr>
            <w:tcW w:w="872" w:type="dxa"/>
            <w:tcBorders>
              <w:bottom w:val="single" w:sz="6" w:space="0" w:color="auto"/>
              <w:right w:val="single" w:sz="6" w:space="0" w:color="auto"/>
            </w:tcBorders>
            <w:vAlign w:val="center"/>
          </w:tcPr>
          <w:p w14:paraId="2B56728D" w14:textId="77777777" w:rsidR="00787ADF" w:rsidRDefault="00787ADF" w:rsidP="00787ADF">
            <w:pPr>
              <w:spacing w:line="240" w:lineRule="auto"/>
              <w:jc w:val="left"/>
            </w:pPr>
            <w:r>
              <w:t>0.42</w:t>
            </w:r>
          </w:p>
        </w:tc>
      </w:tr>
      <w:tr w:rsidR="00787ADF" w14:paraId="5AFB7A78" w14:textId="77777777" w:rsidTr="00787ADF">
        <w:trPr>
          <w:cantSplit/>
          <w:trHeight w:val="360"/>
          <w:jc w:val="center"/>
        </w:trPr>
        <w:tc>
          <w:tcPr>
            <w:tcW w:w="871" w:type="dxa"/>
            <w:vMerge w:val="restart"/>
            <w:tcBorders>
              <w:top w:val="single" w:sz="6" w:space="0" w:color="auto"/>
              <w:left w:val="single" w:sz="6" w:space="0" w:color="auto"/>
            </w:tcBorders>
            <w:textDirection w:val="btLr"/>
            <w:vAlign w:val="center"/>
          </w:tcPr>
          <w:p w14:paraId="690EE458" w14:textId="77777777" w:rsidR="00787ADF" w:rsidRDefault="00787ADF" w:rsidP="00787ADF">
            <w:pPr>
              <w:spacing w:before="120" w:after="120" w:line="240" w:lineRule="auto"/>
              <w:ind w:left="113" w:right="113"/>
              <w:jc w:val="center"/>
            </w:pPr>
            <w:r>
              <w:t>99% RH</w:t>
            </w:r>
          </w:p>
        </w:tc>
        <w:tc>
          <w:tcPr>
            <w:tcW w:w="1310" w:type="dxa"/>
            <w:tcBorders>
              <w:top w:val="single" w:sz="6" w:space="0" w:color="auto"/>
              <w:right w:val="single" w:sz="6" w:space="0" w:color="auto"/>
            </w:tcBorders>
            <w:vAlign w:val="center"/>
          </w:tcPr>
          <w:p w14:paraId="7B5AF2EF" w14:textId="77777777" w:rsidR="00787ADF" w:rsidRDefault="00787ADF" w:rsidP="00787ADF">
            <w:pPr>
              <w:spacing w:line="240" w:lineRule="auto"/>
              <w:jc w:val="center"/>
            </w:pPr>
            <w:r>
              <w:t>68.9</w:t>
            </w:r>
          </w:p>
        </w:tc>
        <w:tc>
          <w:tcPr>
            <w:tcW w:w="871" w:type="dxa"/>
            <w:tcBorders>
              <w:top w:val="single" w:sz="6" w:space="0" w:color="auto"/>
              <w:left w:val="single" w:sz="6" w:space="0" w:color="auto"/>
            </w:tcBorders>
            <w:vAlign w:val="center"/>
          </w:tcPr>
          <w:p w14:paraId="6B26BB66" w14:textId="77777777" w:rsidR="00787ADF" w:rsidRDefault="00787ADF" w:rsidP="00787ADF">
            <w:pPr>
              <w:spacing w:line="240" w:lineRule="auto"/>
              <w:jc w:val="right"/>
            </w:pPr>
            <w:r>
              <w:t>13.88</w:t>
            </w:r>
          </w:p>
        </w:tc>
        <w:tc>
          <w:tcPr>
            <w:tcW w:w="360" w:type="dxa"/>
            <w:tcBorders>
              <w:top w:val="single" w:sz="6" w:space="0" w:color="auto"/>
            </w:tcBorders>
            <w:vAlign w:val="center"/>
          </w:tcPr>
          <w:p w14:paraId="47F02C91" w14:textId="77777777" w:rsidR="00787ADF" w:rsidRDefault="00787ADF" w:rsidP="00787ADF">
            <w:pPr>
              <w:spacing w:line="240" w:lineRule="auto"/>
              <w:jc w:val="center"/>
            </w:pPr>
            <w:r>
              <w:t>±</w:t>
            </w:r>
          </w:p>
        </w:tc>
        <w:tc>
          <w:tcPr>
            <w:tcW w:w="871" w:type="dxa"/>
            <w:tcBorders>
              <w:top w:val="single" w:sz="6" w:space="0" w:color="auto"/>
              <w:right w:val="single" w:sz="6" w:space="0" w:color="auto"/>
            </w:tcBorders>
            <w:vAlign w:val="center"/>
          </w:tcPr>
          <w:p w14:paraId="63EAA1E5" w14:textId="77777777" w:rsidR="00787ADF" w:rsidRDefault="00787ADF" w:rsidP="00787ADF">
            <w:pPr>
              <w:spacing w:line="240" w:lineRule="auto"/>
              <w:jc w:val="left"/>
            </w:pPr>
            <w:r>
              <w:t>2.36</w:t>
            </w:r>
          </w:p>
        </w:tc>
        <w:tc>
          <w:tcPr>
            <w:tcW w:w="871" w:type="dxa"/>
            <w:tcBorders>
              <w:top w:val="single" w:sz="6" w:space="0" w:color="auto"/>
              <w:left w:val="single" w:sz="6" w:space="0" w:color="auto"/>
            </w:tcBorders>
            <w:vAlign w:val="center"/>
          </w:tcPr>
          <w:p w14:paraId="3B51CB9F" w14:textId="77777777" w:rsidR="00787ADF" w:rsidRDefault="00787ADF" w:rsidP="00787ADF">
            <w:pPr>
              <w:spacing w:line="240" w:lineRule="auto"/>
              <w:jc w:val="right"/>
            </w:pPr>
            <w:r>
              <w:t>14.12</w:t>
            </w:r>
          </w:p>
        </w:tc>
        <w:tc>
          <w:tcPr>
            <w:tcW w:w="360" w:type="dxa"/>
            <w:tcBorders>
              <w:top w:val="single" w:sz="6" w:space="0" w:color="auto"/>
            </w:tcBorders>
            <w:vAlign w:val="center"/>
          </w:tcPr>
          <w:p w14:paraId="4BFD6F26" w14:textId="77777777" w:rsidR="00787ADF" w:rsidRDefault="00787ADF" w:rsidP="00787ADF">
            <w:pPr>
              <w:spacing w:line="240" w:lineRule="auto"/>
              <w:jc w:val="center"/>
            </w:pPr>
            <w:r>
              <w:t>±</w:t>
            </w:r>
          </w:p>
        </w:tc>
        <w:tc>
          <w:tcPr>
            <w:tcW w:w="871" w:type="dxa"/>
            <w:tcBorders>
              <w:top w:val="single" w:sz="6" w:space="0" w:color="auto"/>
              <w:right w:val="single" w:sz="6" w:space="0" w:color="auto"/>
            </w:tcBorders>
            <w:vAlign w:val="center"/>
          </w:tcPr>
          <w:p w14:paraId="549DDD38" w14:textId="77777777" w:rsidR="00787ADF" w:rsidRDefault="00787ADF" w:rsidP="00787ADF">
            <w:pPr>
              <w:spacing w:line="240" w:lineRule="auto"/>
              <w:jc w:val="left"/>
            </w:pPr>
            <w:r>
              <w:t>0.82</w:t>
            </w:r>
          </w:p>
        </w:tc>
        <w:tc>
          <w:tcPr>
            <w:tcW w:w="872" w:type="dxa"/>
            <w:tcBorders>
              <w:top w:val="single" w:sz="6" w:space="0" w:color="auto"/>
              <w:left w:val="single" w:sz="6" w:space="0" w:color="auto"/>
            </w:tcBorders>
            <w:vAlign w:val="center"/>
          </w:tcPr>
          <w:p w14:paraId="473C9412" w14:textId="77777777" w:rsidR="00787ADF" w:rsidRDefault="00787ADF" w:rsidP="00787ADF">
            <w:pPr>
              <w:spacing w:line="240" w:lineRule="auto"/>
              <w:jc w:val="right"/>
            </w:pPr>
            <w:r>
              <w:t>4.75</w:t>
            </w:r>
          </w:p>
        </w:tc>
        <w:tc>
          <w:tcPr>
            <w:tcW w:w="360" w:type="dxa"/>
            <w:tcBorders>
              <w:top w:val="single" w:sz="6" w:space="0" w:color="auto"/>
            </w:tcBorders>
            <w:vAlign w:val="center"/>
          </w:tcPr>
          <w:p w14:paraId="7A095180" w14:textId="77777777" w:rsidR="00787ADF" w:rsidRDefault="00787ADF" w:rsidP="00787ADF">
            <w:pPr>
              <w:spacing w:line="240" w:lineRule="auto"/>
              <w:jc w:val="center"/>
            </w:pPr>
            <w:r>
              <w:t>±</w:t>
            </w:r>
          </w:p>
        </w:tc>
        <w:tc>
          <w:tcPr>
            <w:tcW w:w="872" w:type="dxa"/>
            <w:tcBorders>
              <w:top w:val="single" w:sz="6" w:space="0" w:color="auto"/>
              <w:right w:val="single" w:sz="6" w:space="0" w:color="auto"/>
            </w:tcBorders>
            <w:vAlign w:val="center"/>
          </w:tcPr>
          <w:p w14:paraId="528888F8" w14:textId="77777777" w:rsidR="00787ADF" w:rsidRDefault="00787ADF" w:rsidP="00787ADF">
            <w:pPr>
              <w:spacing w:line="240" w:lineRule="auto"/>
              <w:jc w:val="left"/>
            </w:pPr>
            <w:r>
              <w:t>0.62</w:t>
            </w:r>
          </w:p>
        </w:tc>
      </w:tr>
      <w:tr w:rsidR="00787ADF" w14:paraId="1B9094EF" w14:textId="77777777" w:rsidTr="00787ADF">
        <w:trPr>
          <w:cantSplit/>
          <w:trHeight w:val="360"/>
          <w:jc w:val="center"/>
        </w:trPr>
        <w:tc>
          <w:tcPr>
            <w:tcW w:w="871" w:type="dxa"/>
            <w:vMerge/>
            <w:tcBorders>
              <w:left w:val="single" w:sz="6" w:space="0" w:color="auto"/>
            </w:tcBorders>
            <w:vAlign w:val="center"/>
          </w:tcPr>
          <w:p w14:paraId="7C962867" w14:textId="77777777" w:rsidR="00787ADF" w:rsidRDefault="00787ADF" w:rsidP="00787ADF">
            <w:pPr>
              <w:spacing w:before="120" w:after="120" w:line="240" w:lineRule="auto"/>
              <w:jc w:val="center"/>
            </w:pPr>
          </w:p>
        </w:tc>
        <w:tc>
          <w:tcPr>
            <w:tcW w:w="1310" w:type="dxa"/>
            <w:tcBorders>
              <w:right w:val="single" w:sz="6" w:space="0" w:color="auto"/>
            </w:tcBorders>
            <w:vAlign w:val="center"/>
          </w:tcPr>
          <w:p w14:paraId="2798FD51" w14:textId="77777777" w:rsidR="00787ADF" w:rsidRDefault="00787ADF" w:rsidP="00787ADF">
            <w:pPr>
              <w:spacing w:line="240" w:lineRule="auto"/>
              <w:jc w:val="center"/>
            </w:pPr>
            <w:r>
              <w:t>206.8</w:t>
            </w:r>
          </w:p>
        </w:tc>
        <w:tc>
          <w:tcPr>
            <w:tcW w:w="871" w:type="dxa"/>
            <w:tcBorders>
              <w:left w:val="single" w:sz="6" w:space="0" w:color="auto"/>
            </w:tcBorders>
            <w:vAlign w:val="center"/>
          </w:tcPr>
          <w:p w14:paraId="333AD6AE" w14:textId="77777777" w:rsidR="00787ADF" w:rsidRDefault="00787ADF" w:rsidP="00787ADF">
            <w:pPr>
              <w:spacing w:line="240" w:lineRule="auto"/>
              <w:jc w:val="right"/>
            </w:pPr>
            <w:r>
              <w:t>11.69</w:t>
            </w:r>
          </w:p>
        </w:tc>
        <w:tc>
          <w:tcPr>
            <w:tcW w:w="360" w:type="dxa"/>
            <w:vAlign w:val="center"/>
          </w:tcPr>
          <w:p w14:paraId="734AAB46" w14:textId="77777777" w:rsidR="00787ADF" w:rsidRDefault="00787ADF" w:rsidP="00787ADF">
            <w:pPr>
              <w:spacing w:line="240" w:lineRule="auto"/>
              <w:jc w:val="center"/>
            </w:pPr>
            <w:r>
              <w:t>±</w:t>
            </w:r>
          </w:p>
        </w:tc>
        <w:tc>
          <w:tcPr>
            <w:tcW w:w="871" w:type="dxa"/>
            <w:tcBorders>
              <w:right w:val="single" w:sz="6" w:space="0" w:color="auto"/>
            </w:tcBorders>
            <w:vAlign w:val="center"/>
          </w:tcPr>
          <w:p w14:paraId="12998302" w14:textId="77777777" w:rsidR="00787ADF" w:rsidRDefault="00787ADF" w:rsidP="00787ADF">
            <w:pPr>
              <w:spacing w:line="240" w:lineRule="auto"/>
              <w:jc w:val="left"/>
            </w:pPr>
            <w:r>
              <w:t>0.98</w:t>
            </w:r>
          </w:p>
        </w:tc>
        <w:tc>
          <w:tcPr>
            <w:tcW w:w="871" w:type="dxa"/>
            <w:tcBorders>
              <w:left w:val="single" w:sz="6" w:space="0" w:color="auto"/>
            </w:tcBorders>
            <w:vAlign w:val="center"/>
          </w:tcPr>
          <w:p w14:paraId="2643B0D4" w14:textId="77777777" w:rsidR="00787ADF" w:rsidRDefault="00787ADF" w:rsidP="00787ADF">
            <w:pPr>
              <w:spacing w:line="240" w:lineRule="auto"/>
              <w:jc w:val="right"/>
            </w:pPr>
            <w:r>
              <w:t>10.47</w:t>
            </w:r>
          </w:p>
        </w:tc>
        <w:tc>
          <w:tcPr>
            <w:tcW w:w="360" w:type="dxa"/>
            <w:vAlign w:val="center"/>
          </w:tcPr>
          <w:p w14:paraId="0DE38B56" w14:textId="77777777" w:rsidR="00787ADF" w:rsidRDefault="00787ADF" w:rsidP="00787ADF">
            <w:pPr>
              <w:spacing w:line="240" w:lineRule="auto"/>
              <w:jc w:val="center"/>
            </w:pPr>
            <w:r>
              <w:t>±</w:t>
            </w:r>
          </w:p>
        </w:tc>
        <w:tc>
          <w:tcPr>
            <w:tcW w:w="871" w:type="dxa"/>
            <w:tcBorders>
              <w:right w:val="single" w:sz="6" w:space="0" w:color="auto"/>
            </w:tcBorders>
            <w:vAlign w:val="center"/>
          </w:tcPr>
          <w:p w14:paraId="6D651F4E" w14:textId="77777777" w:rsidR="00787ADF" w:rsidRDefault="00787ADF" w:rsidP="00787ADF">
            <w:pPr>
              <w:spacing w:line="240" w:lineRule="auto"/>
              <w:jc w:val="left"/>
            </w:pPr>
            <w:r>
              <w:t>1.29</w:t>
            </w:r>
          </w:p>
        </w:tc>
        <w:tc>
          <w:tcPr>
            <w:tcW w:w="872" w:type="dxa"/>
            <w:tcBorders>
              <w:left w:val="single" w:sz="6" w:space="0" w:color="auto"/>
            </w:tcBorders>
            <w:vAlign w:val="center"/>
          </w:tcPr>
          <w:p w14:paraId="5B6EF4F6" w14:textId="77777777" w:rsidR="00787ADF" w:rsidRDefault="00787ADF" w:rsidP="00787ADF">
            <w:pPr>
              <w:spacing w:line="240" w:lineRule="auto"/>
              <w:jc w:val="right"/>
            </w:pPr>
            <w:r>
              <w:t>3.33</w:t>
            </w:r>
          </w:p>
        </w:tc>
        <w:tc>
          <w:tcPr>
            <w:tcW w:w="360" w:type="dxa"/>
            <w:vAlign w:val="center"/>
          </w:tcPr>
          <w:p w14:paraId="4AB8647F" w14:textId="77777777" w:rsidR="00787ADF" w:rsidRDefault="00787ADF" w:rsidP="00787ADF">
            <w:pPr>
              <w:spacing w:line="240" w:lineRule="auto"/>
              <w:jc w:val="center"/>
            </w:pPr>
            <w:r>
              <w:t>±</w:t>
            </w:r>
          </w:p>
        </w:tc>
        <w:tc>
          <w:tcPr>
            <w:tcW w:w="872" w:type="dxa"/>
            <w:tcBorders>
              <w:right w:val="single" w:sz="6" w:space="0" w:color="auto"/>
            </w:tcBorders>
            <w:vAlign w:val="center"/>
          </w:tcPr>
          <w:p w14:paraId="1EF441E4" w14:textId="77777777" w:rsidR="00787ADF" w:rsidRDefault="00787ADF" w:rsidP="00787ADF">
            <w:pPr>
              <w:spacing w:line="240" w:lineRule="auto"/>
              <w:jc w:val="left"/>
            </w:pPr>
            <w:r>
              <w:t>0.77</w:t>
            </w:r>
          </w:p>
        </w:tc>
      </w:tr>
      <w:tr w:rsidR="00787ADF" w14:paraId="653EB864" w14:textId="77777777" w:rsidTr="00787ADF">
        <w:trPr>
          <w:cantSplit/>
          <w:trHeight w:val="360"/>
          <w:jc w:val="center"/>
        </w:trPr>
        <w:tc>
          <w:tcPr>
            <w:tcW w:w="871" w:type="dxa"/>
            <w:vMerge/>
            <w:tcBorders>
              <w:left w:val="single" w:sz="6" w:space="0" w:color="auto"/>
            </w:tcBorders>
            <w:vAlign w:val="center"/>
          </w:tcPr>
          <w:p w14:paraId="14AE44C8" w14:textId="77777777" w:rsidR="00787ADF" w:rsidRDefault="00787ADF" w:rsidP="00787ADF">
            <w:pPr>
              <w:spacing w:before="120" w:after="120" w:line="240" w:lineRule="auto"/>
              <w:jc w:val="center"/>
            </w:pPr>
          </w:p>
        </w:tc>
        <w:tc>
          <w:tcPr>
            <w:tcW w:w="1310" w:type="dxa"/>
            <w:tcBorders>
              <w:right w:val="single" w:sz="6" w:space="0" w:color="auto"/>
            </w:tcBorders>
            <w:vAlign w:val="center"/>
          </w:tcPr>
          <w:p w14:paraId="7C9169B8" w14:textId="77777777" w:rsidR="00787ADF" w:rsidRDefault="00787ADF" w:rsidP="00787ADF">
            <w:pPr>
              <w:spacing w:line="240" w:lineRule="auto"/>
              <w:jc w:val="center"/>
            </w:pPr>
            <w:r>
              <w:t>344.7</w:t>
            </w:r>
          </w:p>
        </w:tc>
        <w:tc>
          <w:tcPr>
            <w:tcW w:w="871" w:type="dxa"/>
            <w:tcBorders>
              <w:left w:val="single" w:sz="6" w:space="0" w:color="auto"/>
            </w:tcBorders>
            <w:vAlign w:val="center"/>
          </w:tcPr>
          <w:p w14:paraId="7191B978" w14:textId="77777777" w:rsidR="00787ADF" w:rsidRDefault="00787ADF" w:rsidP="00787ADF">
            <w:pPr>
              <w:spacing w:line="240" w:lineRule="auto"/>
              <w:jc w:val="right"/>
            </w:pPr>
            <w:r>
              <w:t>10.05</w:t>
            </w:r>
          </w:p>
        </w:tc>
        <w:tc>
          <w:tcPr>
            <w:tcW w:w="360" w:type="dxa"/>
            <w:vAlign w:val="center"/>
          </w:tcPr>
          <w:p w14:paraId="7E8513B8" w14:textId="77777777" w:rsidR="00787ADF" w:rsidRDefault="00787ADF" w:rsidP="00787ADF">
            <w:pPr>
              <w:spacing w:line="240" w:lineRule="auto"/>
              <w:jc w:val="center"/>
            </w:pPr>
            <w:r>
              <w:t>±</w:t>
            </w:r>
          </w:p>
        </w:tc>
        <w:tc>
          <w:tcPr>
            <w:tcW w:w="871" w:type="dxa"/>
            <w:tcBorders>
              <w:right w:val="single" w:sz="6" w:space="0" w:color="auto"/>
            </w:tcBorders>
            <w:vAlign w:val="center"/>
          </w:tcPr>
          <w:p w14:paraId="52528609" w14:textId="77777777" w:rsidR="00787ADF" w:rsidRDefault="00787ADF" w:rsidP="00787ADF">
            <w:pPr>
              <w:spacing w:line="240" w:lineRule="auto"/>
              <w:jc w:val="left"/>
            </w:pPr>
            <w:r>
              <w:t>0.90</w:t>
            </w:r>
          </w:p>
        </w:tc>
        <w:tc>
          <w:tcPr>
            <w:tcW w:w="871" w:type="dxa"/>
            <w:tcBorders>
              <w:left w:val="single" w:sz="6" w:space="0" w:color="auto"/>
            </w:tcBorders>
            <w:vAlign w:val="center"/>
          </w:tcPr>
          <w:p w14:paraId="42ECDB6A" w14:textId="77777777" w:rsidR="00787ADF" w:rsidRDefault="00787ADF" w:rsidP="00787ADF">
            <w:pPr>
              <w:spacing w:line="240" w:lineRule="auto"/>
              <w:jc w:val="right"/>
            </w:pPr>
            <w:r>
              <w:t>8.30</w:t>
            </w:r>
          </w:p>
        </w:tc>
        <w:tc>
          <w:tcPr>
            <w:tcW w:w="360" w:type="dxa"/>
            <w:vAlign w:val="center"/>
          </w:tcPr>
          <w:p w14:paraId="13AA4AAD" w14:textId="77777777" w:rsidR="00787ADF" w:rsidRDefault="00787ADF" w:rsidP="00787ADF">
            <w:pPr>
              <w:spacing w:line="240" w:lineRule="auto"/>
              <w:jc w:val="center"/>
            </w:pPr>
            <w:r>
              <w:t>±</w:t>
            </w:r>
          </w:p>
        </w:tc>
        <w:tc>
          <w:tcPr>
            <w:tcW w:w="871" w:type="dxa"/>
            <w:tcBorders>
              <w:right w:val="single" w:sz="6" w:space="0" w:color="auto"/>
            </w:tcBorders>
            <w:vAlign w:val="center"/>
          </w:tcPr>
          <w:p w14:paraId="06FF882C" w14:textId="77777777" w:rsidR="00787ADF" w:rsidRDefault="00787ADF" w:rsidP="00787ADF">
            <w:pPr>
              <w:spacing w:line="240" w:lineRule="auto"/>
              <w:jc w:val="left"/>
            </w:pPr>
            <w:r>
              <w:t>0.84</w:t>
            </w:r>
          </w:p>
        </w:tc>
        <w:tc>
          <w:tcPr>
            <w:tcW w:w="872" w:type="dxa"/>
            <w:tcBorders>
              <w:left w:val="single" w:sz="6" w:space="0" w:color="auto"/>
            </w:tcBorders>
            <w:vAlign w:val="center"/>
          </w:tcPr>
          <w:p w14:paraId="1417B1BD" w14:textId="77777777" w:rsidR="00787ADF" w:rsidRDefault="00787ADF" w:rsidP="00787ADF">
            <w:pPr>
              <w:spacing w:line="240" w:lineRule="auto"/>
              <w:jc w:val="right"/>
            </w:pPr>
            <w:r>
              <w:t>3.63</w:t>
            </w:r>
          </w:p>
        </w:tc>
        <w:tc>
          <w:tcPr>
            <w:tcW w:w="360" w:type="dxa"/>
            <w:vAlign w:val="center"/>
          </w:tcPr>
          <w:p w14:paraId="6C0A6A83" w14:textId="77777777" w:rsidR="00787ADF" w:rsidRDefault="00787ADF" w:rsidP="00787ADF">
            <w:pPr>
              <w:spacing w:line="240" w:lineRule="auto"/>
              <w:jc w:val="center"/>
            </w:pPr>
            <w:r>
              <w:t>±</w:t>
            </w:r>
          </w:p>
        </w:tc>
        <w:tc>
          <w:tcPr>
            <w:tcW w:w="872" w:type="dxa"/>
            <w:tcBorders>
              <w:right w:val="single" w:sz="6" w:space="0" w:color="auto"/>
            </w:tcBorders>
            <w:vAlign w:val="center"/>
          </w:tcPr>
          <w:p w14:paraId="66A50F09" w14:textId="77777777" w:rsidR="00787ADF" w:rsidRDefault="00787ADF" w:rsidP="00787ADF">
            <w:pPr>
              <w:spacing w:line="240" w:lineRule="auto"/>
              <w:jc w:val="left"/>
            </w:pPr>
            <w:r>
              <w:t>0.85</w:t>
            </w:r>
          </w:p>
        </w:tc>
      </w:tr>
      <w:tr w:rsidR="00787ADF" w14:paraId="0EA598E4" w14:textId="77777777" w:rsidTr="00787ADF">
        <w:trPr>
          <w:cantSplit/>
          <w:trHeight w:val="360"/>
          <w:jc w:val="center"/>
        </w:trPr>
        <w:tc>
          <w:tcPr>
            <w:tcW w:w="871" w:type="dxa"/>
            <w:vMerge/>
            <w:tcBorders>
              <w:left w:val="single" w:sz="6" w:space="0" w:color="auto"/>
              <w:bottom w:val="single" w:sz="18" w:space="0" w:color="auto"/>
            </w:tcBorders>
            <w:vAlign w:val="center"/>
          </w:tcPr>
          <w:p w14:paraId="3234B24A" w14:textId="77777777" w:rsidR="00787ADF" w:rsidRDefault="00787ADF" w:rsidP="00787ADF">
            <w:pPr>
              <w:spacing w:before="120" w:after="120" w:line="240" w:lineRule="auto"/>
              <w:jc w:val="center"/>
            </w:pPr>
          </w:p>
        </w:tc>
        <w:tc>
          <w:tcPr>
            <w:tcW w:w="1310" w:type="dxa"/>
            <w:tcBorders>
              <w:bottom w:val="single" w:sz="18" w:space="0" w:color="auto"/>
              <w:right w:val="single" w:sz="6" w:space="0" w:color="auto"/>
            </w:tcBorders>
            <w:vAlign w:val="center"/>
          </w:tcPr>
          <w:p w14:paraId="2AA8922E" w14:textId="77777777" w:rsidR="00787ADF" w:rsidRDefault="00787ADF" w:rsidP="00787ADF">
            <w:pPr>
              <w:spacing w:line="240" w:lineRule="auto"/>
              <w:jc w:val="center"/>
            </w:pPr>
            <w:r>
              <w:t>482.6</w:t>
            </w:r>
          </w:p>
        </w:tc>
        <w:tc>
          <w:tcPr>
            <w:tcW w:w="871" w:type="dxa"/>
            <w:tcBorders>
              <w:left w:val="single" w:sz="6" w:space="0" w:color="auto"/>
              <w:bottom w:val="single" w:sz="18" w:space="0" w:color="auto"/>
            </w:tcBorders>
            <w:vAlign w:val="center"/>
          </w:tcPr>
          <w:p w14:paraId="1FFCCBA0" w14:textId="77777777" w:rsidR="00787ADF" w:rsidRDefault="00787ADF" w:rsidP="00787ADF">
            <w:pPr>
              <w:spacing w:line="240" w:lineRule="auto"/>
              <w:jc w:val="right"/>
            </w:pPr>
            <w:r>
              <w:t>7.93</w:t>
            </w:r>
          </w:p>
        </w:tc>
        <w:tc>
          <w:tcPr>
            <w:tcW w:w="360" w:type="dxa"/>
            <w:tcBorders>
              <w:bottom w:val="single" w:sz="18" w:space="0" w:color="auto"/>
            </w:tcBorders>
            <w:vAlign w:val="center"/>
          </w:tcPr>
          <w:p w14:paraId="401C7598" w14:textId="77777777" w:rsidR="00787ADF" w:rsidRDefault="00787ADF" w:rsidP="00787ADF">
            <w:pPr>
              <w:spacing w:line="240" w:lineRule="auto"/>
              <w:jc w:val="center"/>
            </w:pPr>
            <w:r>
              <w:t>±</w:t>
            </w:r>
          </w:p>
        </w:tc>
        <w:tc>
          <w:tcPr>
            <w:tcW w:w="871" w:type="dxa"/>
            <w:tcBorders>
              <w:bottom w:val="single" w:sz="18" w:space="0" w:color="auto"/>
              <w:right w:val="single" w:sz="6" w:space="0" w:color="auto"/>
            </w:tcBorders>
            <w:vAlign w:val="center"/>
          </w:tcPr>
          <w:p w14:paraId="1ED8121A" w14:textId="77777777" w:rsidR="00787ADF" w:rsidRDefault="00787ADF" w:rsidP="00787ADF">
            <w:pPr>
              <w:spacing w:line="240" w:lineRule="auto"/>
              <w:jc w:val="left"/>
            </w:pPr>
            <w:r>
              <w:t>0.79</w:t>
            </w:r>
          </w:p>
        </w:tc>
        <w:tc>
          <w:tcPr>
            <w:tcW w:w="871" w:type="dxa"/>
            <w:tcBorders>
              <w:left w:val="single" w:sz="6" w:space="0" w:color="auto"/>
              <w:bottom w:val="single" w:sz="18" w:space="0" w:color="auto"/>
            </w:tcBorders>
            <w:vAlign w:val="center"/>
          </w:tcPr>
          <w:p w14:paraId="623B26AA" w14:textId="77777777" w:rsidR="00787ADF" w:rsidRDefault="00787ADF" w:rsidP="00787ADF">
            <w:pPr>
              <w:spacing w:line="240" w:lineRule="auto"/>
              <w:jc w:val="right"/>
            </w:pPr>
            <w:r>
              <w:t>7.86</w:t>
            </w:r>
          </w:p>
        </w:tc>
        <w:tc>
          <w:tcPr>
            <w:tcW w:w="360" w:type="dxa"/>
            <w:tcBorders>
              <w:bottom w:val="single" w:sz="18" w:space="0" w:color="auto"/>
            </w:tcBorders>
            <w:vAlign w:val="center"/>
          </w:tcPr>
          <w:p w14:paraId="124742F1" w14:textId="77777777" w:rsidR="00787ADF" w:rsidRDefault="00787ADF" w:rsidP="00787ADF">
            <w:pPr>
              <w:spacing w:line="240" w:lineRule="auto"/>
              <w:jc w:val="center"/>
            </w:pPr>
            <w:r>
              <w:t>±</w:t>
            </w:r>
          </w:p>
        </w:tc>
        <w:tc>
          <w:tcPr>
            <w:tcW w:w="871" w:type="dxa"/>
            <w:tcBorders>
              <w:bottom w:val="single" w:sz="18" w:space="0" w:color="auto"/>
              <w:right w:val="single" w:sz="6" w:space="0" w:color="auto"/>
            </w:tcBorders>
            <w:vAlign w:val="center"/>
          </w:tcPr>
          <w:p w14:paraId="52DFE2B4" w14:textId="77777777" w:rsidR="00787ADF" w:rsidRDefault="00787ADF" w:rsidP="00787ADF">
            <w:pPr>
              <w:spacing w:line="240" w:lineRule="auto"/>
              <w:jc w:val="left"/>
            </w:pPr>
            <w:r>
              <w:t>0.44</w:t>
            </w:r>
          </w:p>
        </w:tc>
        <w:tc>
          <w:tcPr>
            <w:tcW w:w="872" w:type="dxa"/>
            <w:tcBorders>
              <w:left w:val="single" w:sz="6" w:space="0" w:color="auto"/>
              <w:bottom w:val="single" w:sz="18" w:space="0" w:color="auto"/>
            </w:tcBorders>
            <w:vAlign w:val="center"/>
          </w:tcPr>
          <w:p w14:paraId="7208F458" w14:textId="77777777" w:rsidR="00787ADF" w:rsidRDefault="00787ADF" w:rsidP="00787ADF">
            <w:pPr>
              <w:spacing w:line="240" w:lineRule="auto"/>
              <w:jc w:val="right"/>
            </w:pPr>
            <w:r>
              <w:t>1.89</w:t>
            </w:r>
          </w:p>
        </w:tc>
        <w:tc>
          <w:tcPr>
            <w:tcW w:w="360" w:type="dxa"/>
            <w:tcBorders>
              <w:bottom w:val="single" w:sz="18" w:space="0" w:color="auto"/>
            </w:tcBorders>
            <w:vAlign w:val="center"/>
          </w:tcPr>
          <w:p w14:paraId="5C92D5D1" w14:textId="77777777" w:rsidR="00787ADF" w:rsidRDefault="00787ADF" w:rsidP="00787ADF">
            <w:pPr>
              <w:spacing w:line="240" w:lineRule="auto"/>
              <w:jc w:val="center"/>
            </w:pPr>
            <w:r>
              <w:t>±</w:t>
            </w:r>
          </w:p>
        </w:tc>
        <w:tc>
          <w:tcPr>
            <w:tcW w:w="872" w:type="dxa"/>
            <w:tcBorders>
              <w:bottom w:val="single" w:sz="18" w:space="0" w:color="auto"/>
              <w:right w:val="single" w:sz="6" w:space="0" w:color="auto"/>
            </w:tcBorders>
            <w:vAlign w:val="center"/>
          </w:tcPr>
          <w:p w14:paraId="0821AAE4" w14:textId="77777777" w:rsidR="00787ADF" w:rsidRDefault="00787ADF" w:rsidP="00787ADF">
            <w:pPr>
              <w:spacing w:line="240" w:lineRule="auto"/>
              <w:jc w:val="left"/>
            </w:pPr>
            <w:r>
              <w:t>0.14</w:t>
            </w:r>
          </w:p>
        </w:tc>
      </w:tr>
    </w:tbl>
    <w:p w14:paraId="01E70ED1" w14:textId="77777777" w:rsidR="00787ADF" w:rsidRDefault="00787ADF" w:rsidP="00787ADF"/>
    <w:p w14:paraId="21BD8180" w14:textId="5F9EE9FB" w:rsidR="00CE7CD7" w:rsidRDefault="00CE7CD7" w:rsidP="00BC1C8E">
      <w:pPr>
        <w:spacing w:after="240" w:line="240" w:lineRule="auto"/>
      </w:pPr>
      <w:r>
        <w:br w:type="page"/>
      </w:r>
    </w:p>
    <w:p w14:paraId="36BFE4E3" w14:textId="77777777" w:rsidR="00CE7CD7" w:rsidRDefault="00CE7CD7" w:rsidP="009309E3">
      <w:pPr>
        <w:pStyle w:val="Caption"/>
        <w:keepNext/>
        <w:jc w:val="center"/>
        <w:rPr>
          <w:sz w:val="24"/>
        </w:rPr>
      </w:pPr>
    </w:p>
    <w:p w14:paraId="7ABCAC9B" w14:textId="2D6278F4" w:rsidR="00CE7CD7" w:rsidRPr="00F66D28" w:rsidRDefault="00CE7CD7" w:rsidP="00CE7CD7">
      <w:pPr>
        <w:pStyle w:val="Caption"/>
        <w:keepNext/>
        <w:spacing w:after="120" w:line="240" w:lineRule="auto"/>
        <w:jc w:val="center"/>
        <w:rPr>
          <w:sz w:val="24"/>
        </w:rPr>
      </w:pPr>
      <w:bookmarkStart w:id="333" w:name="_Toc346310863"/>
      <w:r w:rsidRPr="00F66D28">
        <w:rPr>
          <w:sz w:val="24"/>
        </w:rPr>
        <w:t xml:space="preserve">Table </w:t>
      </w:r>
      <w:r>
        <w:rPr>
          <w:sz w:val="24"/>
        </w:rPr>
        <w:t>A</w:t>
      </w:r>
      <w:r w:rsidR="00707D23">
        <w:rPr>
          <w:sz w:val="24"/>
        </w:rPr>
        <w:t>.</w:t>
      </w:r>
      <w:r w:rsidR="00707D23">
        <w:rPr>
          <w:sz w:val="24"/>
        </w:rPr>
        <w:fldChar w:fldCharType="begin"/>
      </w:r>
      <w:r w:rsidR="00707D23">
        <w:rPr>
          <w:sz w:val="24"/>
        </w:rPr>
        <w:instrText xml:space="preserve"> SEQ Table \* ARABIC \s 1 </w:instrText>
      </w:r>
      <w:r w:rsidR="00707D23">
        <w:rPr>
          <w:sz w:val="24"/>
        </w:rPr>
        <w:fldChar w:fldCharType="separate"/>
      </w:r>
      <w:r w:rsidR="008A1992">
        <w:rPr>
          <w:noProof/>
          <w:sz w:val="24"/>
        </w:rPr>
        <w:t>3</w:t>
      </w:r>
      <w:r w:rsidR="00707D23">
        <w:rPr>
          <w:sz w:val="24"/>
        </w:rPr>
        <w:fldChar w:fldCharType="end"/>
      </w:r>
      <w:r>
        <w:rPr>
          <w:sz w:val="24"/>
        </w:rPr>
        <w:t xml:space="preserve"> Average flexural</w:t>
      </w:r>
      <w:r w:rsidRPr="00F66D28">
        <w:rPr>
          <w:sz w:val="24"/>
        </w:rPr>
        <w:t xml:space="preserve"> stiffness </w:t>
      </w:r>
      <w:r w:rsidRPr="00C16655">
        <w:rPr>
          <w:sz w:val="24"/>
        </w:rPr>
        <w:t>and 9</w:t>
      </w:r>
      <w:r>
        <w:rPr>
          <w:sz w:val="24"/>
        </w:rPr>
        <w:t>5</w:t>
      </w:r>
      <w:r w:rsidRPr="00C16655">
        <w:rPr>
          <w:sz w:val="24"/>
        </w:rPr>
        <w:t xml:space="preserve">% confidence interval for </w:t>
      </w:r>
      <w:r>
        <w:rPr>
          <w:sz w:val="24"/>
        </w:rPr>
        <w:t xml:space="preserve">the </w:t>
      </w:r>
      <w:r w:rsidRPr="00C16655">
        <w:rPr>
          <w:sz w:val="24"/>
        </w:rPr>
        <w:t>three composite prepreg materials</w:t>
      </w:r>
      <w:bookmarkEnd w:id="333"/>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
        <w:gridCol w:w="1310"/>
        <w:gridCol w:w="871"/>
        <w:gridCol w:w="360"/>
        <w:gridCol w:w="871"/>
        <w:gridCol w:w="871"/>
        <w:gridCol w:w="360"/>
        <w:gridCol w:w="871"/>
        <w:gridCol w:w="872"/>
        <w:gridCol w:w="360"/>
        <w:gridCol w:w="872"/>
      </w:tblGrid>
      <w:tr w:rsidR="00CE7CD7" w14:paraId="46BE74DD" w14:textId="77777777" w:rsidTr="00CE7CD7">
        <w:trPr>
          <w:cantSplit/>
          <w:trHeight w:val="1584"/>
          <w:jc w:val="center"/>
        </w:trPr>
        <w:tc>
          <w:tcPr>
            <w:tcW w:w="2181" w:type="dxa"/>
            <w:gridSpan w:val="2"/>
            <w:tcBorders>
              <w:bottom w:val="single" w:sz="18" w:space="0" w:color="auto"/>
            </w:tcBorders>
            <w:vAlign w:val="bottom"/>
          </w:tcPr>
          <w:p w14:paraId="3336B5D6" w14:textId="77777777" w:rsidR="00CE7CD7" w:rsidRPr="00386413" w:rsidRDefault="00CE7CD7" w:rsidP="00CE7CD7">
            <w:pPr>
              <w:spacing w:line="240" w:lineRule="auto"/>
              <w:jc w:val="center"/>
              <w:rPr>
                <w:b/>
              </w:rPr>
            </w:pPr>
            <w:r w:rsidRPr="00386413">
              <w:rPr>
                <w:b/>
              </w:rPr>
              <w:t xml:space="preserve">Prepreg Conditioning </w:t>
            </w:r>
          </w:p>
          <w:p w14:paraId="54EAB293" w14:textId="77777777" w:rsidR="00CE7CD7" w:rsidRDefault="00CE7CD7" w:rsidP="00CE7CD7">
            <w:pPr>
              <w:spacing w:line="240" w:lineRule="auto"/>
              <w:jc w:val="center"/>
            </w:pPr>
            <w:r w:rsidRPr="00386413">
              <w:rPr>
                <w:b/>
              </w:rPr>
              <w:t>(% RH) &amp; Fabrication Pressure (kPa)</w:t>
            </w:r>
          </w:p>
        </w:tc>
        <w:tc>
          <w:tcPr>
            <w:tcW w:w="2102" w:type="dxa"/>
            <w:gridSpan w:val="3"/>
            <w:tcBorders>
              <w:bottom w:val="single" w:sz="18" w:space="0" w:color="auto"/>
            </w:tcBorders>
            <w:vAlign w:val="bottom"/>
          </w:tcPr>
          <w:p w14:paraId="4AD19774" w14:textId="77777777" w:rsidR="00CE7CD7" w:rsidRPr="00386413" w:rsidRDefault="00CE7CD7" w:rsidP="00CE7CD7">
            <w:pPr>
              <w:spacing w:line="240" w:lineRule="auto"/>
              <w:jc w:val="center"/>
              <w:rPr>
                <w:b/>
              </w:rPr>
            </w:pPr>
            <w:r w:rsidRPr="00386413">
              <w:rPr>
                <w:b/>
              </w:rPr>
              <w:t>Quartz / BMI</w:t>
            </w:r>
          </w:p>
        </w:tc>
        <w:tc>
          <w:tcPr>
            <w:tcW w:w="2102" w:type="dxa"/>
            <w:gridSpan w:val="3"/>
            <w:tcBorders>
              <w:bottom w:val="single" w:sz="18" w:space="0" w:color="auto"/>
            </w:tcBorders>
            <w:vAlign w:val="bottom"/>
          </w:tcPr>
          <w:p w14:paraId="65AC261D" w14:textId="77777777" w:rsidR="00CE7CD7" w:rsidRPr="00386413" w:rsidRDefault="00CE7CD7" w:rsidP="00CE7CD7">
            <w:pPr>
              <w:spacing w:line="240" w:lineRule="auto"/>
              <w:jc w:val="center"/>
              <w:rPr>
                <w:b/>
              </w:rPr>
            </w:pPr>
            <w:r w:rsidRPr="00386413">
              <w:rPr>
                <w:b/>
              </w:rPr>
              <w:t>Quartz / Epoxy</w:t>
            </w:r>
          </w:p>
        </w:tc>
        <w:tc>
          <w:tcPr>
            <w:tcW w:w="2104" w:type="dxa"/>
            <w:gridSpan w:val="3"/>
            <w:tcBorders>
              <w:bottom w:val="single" w:sz="18" w:space="0" w:color="auto"/>
            </w:tcBorders>
            <w:vAlign w:val="bottom"/>
          </w:tcPr>
          <w:p w14:paraId="183F12BC" w14:textId="77777777" w:rsidR="00CE7CD7" w:rsidRPr="00386413" w:rsidRDefault="00CE7CD7" w:rsidP="00CE7CD7">
            <w:pPr>
              <w:spacing w:line="240" w:lineRule="auto"/>
              <w:jc w:val="center"/>
              <w:rPr>
                <w:b/>
              </w:rPr>
            </w:pPr>
            <w:r w:rsidRPr="00386413">
              <w:rPr>
                <w:b/>
              </w:rPr>
              <w:t>Carbon / Epoxy</w:t>
            </w:r>
          </w:p>
        </w:tc>
      </w:tr>
      <w:tr w:rsidR="00CE7CD7" w14:paraId="0CA8B58A" w14:textId="77777777" w:rsidTr="00CE7CD7">
        <w:trPr>
          <w:cantSplit/>
          <w:trHeight w:val="360"/>
          <w:jc w:val="center"/>
        </w:trPr>
        <w:tc>
          <w:tcPr>
            <w:tcW w:w="871" w:type="dxa"/>
            <w:vMerge w:val="restart"/>
            <w:tcBorders>
              <w:top w:val="single" w:sz="18" w:space="0" w:color="auto"/>
              <w:left w:val="single" w:sz="6" w:space="0" w:color="auto"/>
            </w:tcBorders>
            <w:textDirection w:val="btLr"/>
            <w:vAlign w:val="center"/>
          </w:tcPr>
          <w:p w14:paraId="13960F77" w14:textId="77777777" w:rsidR="00CE7CD7" w:rsidRDefault="00CE7CD7" w:rsidP="00CE7CD7">
            <w:pPr>
              <w:spacing w:line="240" w:lineRule="auto"/>
              <w:ind w:left="113" w:right="113"/>
              <w:jc w:val="center"/>
            </w:pPr>
            <w:r>
              <w:t>2% RH</w:t>
            </w:r>
          </w:p>
        </w:tc>
        <w:tc>
          <w:tcPr>
            <w:tcW w:w="1310" w:type="dxa"/>
            <w:tcBorders>
              <w:top w:val="single" w:sz="18" w:space="0" w:color="auto"/>
              <w:right w:val="single" w:sz="6" w:space="0" w:color="auto"/>
            </w:tcBorders>
            <w:vAlign w:val="center"/>
          </w:tcPr>
          <w:p w14:paraId="7EDBFF26" w14:textId="77777777" w:rsidR="00CE7CD7" w:rsidRDefault="00CE7CD7" w:rsidP="00CE7CD7">
            <w:pPr>
              <w:spacing w:line="240" w:lineRule="auto"/>
              <w:jc w:val="center"/>
            </w:pPr>
            <w:r>
              <w:t>68.9</w:t>
            </w:r>
          </w:p>
        </w:tc>
        <w:tc>
          <w:tcPr>
            <w:tcW w:w="871" w:type="dxa"/>
            <w:tcBorders>
              <w:top w:val="single" w:sz="18" w:space="0" w:color="auto"/>
              <w:left w:val="single" w:sz="6" w:space="0" w:color="auto"/>
            </w:tcBorders>
            <w:vAlign w:val="center"/>
          </w:tcPr>
          <w:p w14:paraId="58D85A7A" w14:textId="77777777" w:rsidR="00CE7CD7" w:rsidRDefault="00CE7CD7" w:rsidP="00CE7CD7">
            <w:pPr>
              <w:spacing w:line="240" w:lineRule="auto"/>
              <w:jc w:val="right"/>
            </w:pPr>
            <w:r>
              <w:t>23.42</w:t>
            </w:r>
          </w:p>
        </w:tc>
        <w:tc>
          <w:tcPr>
            <w:tcW w:w="360" w:type="dxa"/>
            <w:tcBorders>
              <w:top w:val="single" w:sz="18" w:space="0" w:color="auto"/>
            </w:tcBorders>
            <w:vAlign w:val="center"/>
          </w:tcPr>
          <w:p w14:paraId="7F13D5F4" w14:textId="77777777" w:rsidR="00CE7CD7" w:rsidRDefault="00CE7CD7" w:rsidP="00CE7CD7">
            <w:pPr>
              <w:spacing w:line="240" w:lineRule="auto"/>
              <w:jc w:val="center"/>
            </w:pPr>
            <w:r>
              <w:t>±</w:t>
            </w:r>
          </w:p>
        </w:tc>
        <w:tc>
          <w:tcPr>
            <w:tcW w:w="871" w:type="dxa"/>
            <w:tcBorders>
              <w:top w:val="single" w:sz="18" w:space="0" w:color="auto"/>
              <w:right w:val="single" w:sz="6" w:space="0" w:color="auto"/>
            </w:tcBorders>
            <w:vAlign w:val="center"/>
          </w:tcPr>
          <w:p w14:paraId="3703F777" w14:textId="77777777" w:rsidR="00CE7CD7" w:rsidRDefault="00CE7CD7" w:rsidP="00CE7CD7">
            <w:pPr>
              <w:spacing w:line="240" w:lineRule="auto"/>
              <w:jc w:val="left"/>
            </w:pPr>
            <w:r>
              <w:t>0.83</w:t>
            </w:r>
          </w:p>
        </w:tc>
        <w:tc>
          <w:tcPr>
            <w:tcW w:w="871" w:type="dxa"/>
            <w:tcBorders>
              <w:top w:val="single" w:sz="18" w:space="0" w:color="auto"/>
              <w:left w:val="single" w:sz="6" w:space="0" w:color="auto"/>
            </w:tcBorders>
            <w:vAlign w:val="center"/>
          </w:tcPr>
          <w:p w14:paraId="2E395398" w14:textId="77777777" w:rsidR="00CE7CD7" w:rsidRDefault="00CE7CD7" w:rsidP="00CE7CD7">
            <w:pPr>
              <w:spacing w:line="240" w:lineRule="auto"/>
              <w:jc w:val="right"/>
            </w:pPr>
            <w:r>
              <w:t>22.65</w:t>
            </w:r>
          </w:p>
        </w:tc>
        <w:tc>
          <w:tcPr>
            <w:tcW w:w="360" w:type="dxa"/>
            <w:tcBorders>
              <w:top w:val="single" w:sz="18" w:space="0" w:color="auto"/>
            </w:tcBorders>
            <w:vAlign w:val="center"/>
          </w:tcPr>
          <w:p w14:paraId="6848AD02" w14:textId="77777777" w:rsidR="00CE7CD7" w:rsidRDefault="00CE7CD7" w:rsidP="00CE7CD7">
            <w:pPr>
              <w:spacing w:line="240" w:lineRule="auto"/>
              <w:jc w:val="center"/>
            </w:pPr>
            <w:r>
              <w:t>±</w:t>
            </w:r>
          </w:p>
        </w:tc>
        <w:tc>
          <w:tcPr>
            <w:tcW w:w="871" w:type="dxa"/>
            <w:tcBorders>
              <w:top w:val="single" w:sz="18" w:space="0" w:color="auto"/>
              <w:right w:val="single" w:sz="6" w:space="0" w:color="auto"/>
            </w:tcBorders>
            <w:vAlign w:val="center"/>
          </w:tcPr>
          <w:p w14:paraId="472207CF" w14:textId="77777777" w:rsidR="00CE7CD7" w:rsidRDefault="00CE7CD7" w:rsidP="00CE7CD7">
            <w:pPr>
              <w:spacing w:line="240" w:lineRule="auto"/>
              <w:jc w:val="left"/>
            </w:pPr>
            <w:r>
              <w:t>1.22</w:t>
            </w:r>
          </w:p>
        </w:tc>
        <w:tc>
          <w:tcPr>
            <w:tcW w:w="872" w:type="dxa"/>
            <w:tcBorders>
              <w:top w:val="single" w:sz="18" w:space="0" w:color="auto"/>
              <w:left w:val="single" w:sz="6" w:space="0" w:color="auto"/>
            </w:tcBorders>
            <w:vAlign w:val="center"/>
          </w:tcPr>
          <w:p w14:paraId="7F92611E" w14:textId="77777777" w:rsidR="00CE7CD7" w:rsidRDefault="00CE7CD7" w:rsidP="00CE7CD7">
            <w:pPr>
              <w:spacing w:line="240" w:lineRule="auto"/>
              <w:jc w:val="right"/>
            </w:pPr>
            <w:r>
              <w:t>43.89</w:t>
            </w:r>
          </w:p>
        </w:tc>
        <w:tc>
          <w:tcPr>
            <w:tcW w:w="360" w:type="dxa"/>
            <w:tcBorders>
              <w:top w:val="single" w:sz="18" w:space="0" w:color="auto"/>
            </w:tcBorders>
            <w:vAlign w:val="center"/>
          </w:tcPr>
          <w:p w14:paraId="2DA4C2B2" w14:textId="77777777" w:rsidR="00CE7CD7" w:rsidRDefault="00CE7CD7" w:rsidP="00CE7CD7">
            <w:pPr>
              <w:spacing w:line="240" w:lineRule="auto"/>
              <w:jc w:val="center"/>
            </w:pPr>
            <w:r>
              <w:t>±</w:t>
            </w:r>
          </w:p>
        </w:tc>
        <w:tc>
          <w:tcPr>
            <w:tcW w:w="872" w:type="dxa"/>
            <w:tcBorders>
              <w:top w:val="single" w:sz="18" w:space="0" w:color="auto"/>
              <w:right w:val="single" w:sz="6" w:space="0" w:color="auto"/>
            </w:tcBorders>
            <w:vAlign w:val="center"/>
          </w:tcPr>
          <w:p w14:paraId="24CDF7D0" w14:textId="77777777" w:rsidR="00CE7CD7" w:rsidRDefault="00CE7CD7" w:rsidP="00CE7CD7">
            <w:pPr>
              <w:spacing w:line="240" w:lineRule="auto"/>
              <w:jc w:val="left"/>
            </w:pPr>
            <w:r>
              <w:t>1.49</w:t>
            </w:r>
          </w:p>
        </w:tc>
      </w:tr>
      <w:tr w:rsidR="00CE7CD7" w14:paraId="267248C7" w14:textId="77777777" w:rsidTr="00CE7CD7">
        <w:trPr>
          <w:cantSplit/>
          <w:trHeight w:val="360"/>
          <w:jc w:val="center"/>
        </w:trPr>
        <w:tc>
          <w:tcPr>
            <w:tcW w:w="871" w:type="dxa"/>
            <w:vMerge/>
            <w:tcBorders>
              <w:left w:val="single" w:sz="6" w:space="0" w:color="auto"/>
            </w:tcBorders>
            <w:vAlign w:val="center"/>
          </w:tcPr>
          <w:p w14:paraId="3F4933D8" w14:textId="77777777" w:rsidR="00CE7CD7" w:rsidRDefault="00CE7CD7" w:rsidP="00CE7CD7">
            <w:pPr>
              <w:spacing w:line="240" w:lineRule="auto"/>
              <w:jc w:val="center"/>
            </w:pPr>
          </w:p>
        </w:tc>
        <w:tc>
          <w:tcPr>
            <w:tcW w:w="1310" w:type="dxa"/>
            <w:tcBorders>
              <w:right w:val="single" w:sz="6" w:space="0" w:color="auto"/>
            </w:tcBorders>
            <w:vAlign w:val="center"/>
          </w:tcPr>
          <w:p w14:paraId="7656AE99" w14:textId="77777777" w:rsidR="00CE7CD7" w:rsidRDefault="00CE7CD7" w:rsidP="00CE7CD7">
            <w:pPr>
              <w:spacing w:line="240" w:lineRule="auto"/>
              <w:jc w:val="center"/>
            </w:pPr>
            <w:r>
              <w:t>206.8</w:t>
            </w:r>
          </w:p>
        </w:tc>
        <w:tc>
          <w:tcPr>
            <w:tcW w:w="871" w:type="dxa"/>
            <w:tcBorders>
              <w:left w:val="single" w:sz="6" w:space="0" w:color="auto"/>
            </w:tcBorders>
            <w:vAlign w:val="center"/>
          </w:tcPr>
          <w:p w14:paraId="76750835" w14:textId="77777777" w:rsidR="00CE7CD7" w:rsidRDefault="00CE7CD7" w:rsidP="00CE7CD7">
            <w:pPr>
              <w:spacing w:line="240" w:lineRule="auto"/>
              <w:jc w:val="right"/>
            </w:pPr>
            <w:r>
              <w:t>25.53</w:t>
            </w:r>
          </w:p>
        </w:tc>
        <w:tc>
          <w:tcPr>
            <w:tcW w:w="360" w:type="dxa"/>
            <w:vAlign w:val="center"/>
          </w:tcPr>
          <w:p w14:paraId="02C8D75D" w14:textId="77777777" w:rsidR="00CE7CD7" w:rsidRDefault="00CE7CD7" w:rsidP="00CE7CD7">
            <w:pPr>
              <w:spacing w:line="240" w:lineRule="auto"/>
              <w:jc w:val="center"/>
            </w:pPr>
            <w:r>
              <w:t>±</w:t>
            </w:r>
          </w:p>
        </w:tc>
        <w:tc>
          <w:tcPr>
            <w:tcW w:w="871" w:type="dxa"/>
            <w:tcBorders>
              <w:right w:val="single" w:sz="6" w:space="0" w:color="auto"/>
            </w:tcBorders>
            <w:vAlign w:val="center"/>
          </w:tcPr>
          <w:p w14:paraId="6DFAB2DF" w14:textId="77777777" w:rsidR="00CE7CD7" w:rsidRDefault="00CE7CD7" w:rsidP="00CE7CD7">
            <w:pPr>
              <w:spacing w:line="240" w:lineRule="auto"/>
              <w:jc w:val="left"/>
            </w:pPr>
            <w:r>
              <w:t>0.83</w:t>
            </w:r>
          </w:p>
        </w:tc>
        <w:tc>
          <w:tcPr>
            <w:tcW w:w="871" w:type="dxa"/>
            <w:tcBorders>
              <w:left w:val="single" w:sz="6" w:space="0" w:color="auto"/>
            </w:tcBorders>
            <w:vAlign w:val="center"/>
          </w:tcPr>
          <w:p w14:paraId="45ACF5AC" w14:textId="77777777" w:rsidR="00CE7CD7" w:rsidRDefault="00CE7CD7" w:rsidP="00CE7CD7">
            <w:pPr>
              <w:spacing w:line="240" w:lineRule="auto"/>
              <w:jc w:val="right"/>
            </w:pPr>
            <w:r>
              <w:t>25.00</w:t>
            </w:r>
          </w:p>
        </w:tc>
        <w:tc>
          <w:tcPr>
            <w:tcW w:w="360" w:type="dxa"/>
            <w:vAlign w:val="center"/>
          </w:tcPr>
          <w:p w14:paraId="17599E2E" w14:textId="77777777" w:rsidR="00CE7CD7" w:rsidRDefault="00CE7CD7" w:rsidP="00CE7CD7">
            <w:pPr>
              <w:spacing w:line="240" w:lineRule="auto"/>
              <w:jc w:val="center"/>
            </w:pPr>
            <w:r>
              <w:t>±</w:t>
            </w:r>
          </w:p>
        </w:tc>
        <w:tc>
          <w:tcPr>
            <w:tcW w:w="871" w:type="dxa"/>
            <w:tcBorders>
              <w:right w:val="single" w:sz="6" w:space="0" w:color="auto"/>
            </w:tcBorders>
            <w:vAlign w:val="center"/>
          </w:tcPr>
          <w:p w14:paraId="64160441" w14:textId="77777777" w:rsidR="00CE7CD7" w:rsidRDefault="00CE7CD7" w:rsidP="00CE7CD7">
            <w:pPr>
              <w:spacing w:line="240" w:lineRule="auto"/>
              <w:jc w:val="left"/>
            </w:pPr>
            <w:r>
              <w:t>1.00</w:t>
            </w:r>
          </w:p>
        </w:tc>
        <w:tc>
          <w:tcPr>
            <w:tcW w:w="872" w:type="dxa"/>
            <w:tcBorders>
              <w:left w:val="single" w:sz="6" w:space="0" w:color="auto"/>
            </w:tcBorders>
            <w:vAlign w:val="center"/>
          </w:tcPr>
          <w:p w14:paraId="3BAE1EA2" w14:textId="77777777" w:rsidR="00CE7CD7" w:rsidRDefault="00CE7CD7" w:rsidP="00CE7CD7">
            <w:pPr>
              <w:spacing w:line="240" w:lineRule="auto"/>
              <w:jc w:val="right"/>
            </w:pPr>
            <w:r>
              <w:t>48.61</w:t>
            </w:r>
          </w:p>
        </w:tc>
        <w:tc>
          <w:tcPr>
            <w:tcW w:w="360" w:type="dxa"/>
            <w:vAlign w:val="center"/>
          </w:tcPr>
          <w:p w14:paraId="21DA11B5" w14:textId="77777777" w:rsidR="00CE7CD7" w:rsidRDefault="00CE7CD7" w:rsidP="00CE7CD7">
            <w:pPr>
              <w:spacing w:line="240" w:lineRule="auto"/>
              <w:jc w:val="center"/>
            </w:pPr>
            <w:r>
              <w:t>±</w:t>
            </w:r>
          </w:p>
        </w:tc>
        <w:tc>
          <w:tcPr>
            <w:tcW w:w="872" w:type="dxa"/>
            <w:tcBorders>
              <w:right w:val="single" w:sz="6" w:space="0" w:color="auto"/>
            </w:tcBorders>
            <w:vAlign w:val="center"/>
          </w:tcPr>
          <w:p w14:paraId="45E612F6" w14:textId="77777777" w:rsidR="00CE7CD7" w:rsidRDefault="00CE7CD7" w:rsidP="00CE7CD7">
            <w:pPr>
              <w:spacing w:line="240" w:lineRule="auto"/>
              <w:jc w:val="left"/>
            </w:pPr>
            <w:r>
              <w:t>1.20</w:t>
            </w:r>
          </w:p>
        </w:tc>
      </w:tr>
      <w:tr w:rsidR="00CE7CD7" w14:paraId="7BF500F7" w14:textId="77777777" w:rsidTr="00CE7CD7">
        <w:trPr>
          <w:cantSplit/>
          <w:trHeight w:val="360"/>
          <w:jc w:val="center"/>
        </w:trPr>
        <w:tc>
          <w:tcPr>
            <w:tcW w:w="871" w:type="dxa"/>
            <w:vMerge/>
            <w:tcBorders>
              <w:left w:val="single" w:sz="6" w:space="0" w:color="auto"/>
            </w:tcBorders>
            <w:vAlign w:val="center"/>
          </w:tcPr>
          <w:p w14:paraId="095EB2DE" w14:textId="77777777" w:rsidR="00CE7CD7" w:rsidRDefault="00CE7CD7" w:rsidP="00CE7CD7">
            <w:pPr>
              <w:spacing w:line="240" w:lineRule="auto"/>
              <w:jc w:val="center"/>
            </w:pPr>
          </w:p>
        </w:tc>
        <w:tc>
          <w:tcPr>
            <w:tcW w:w="1310" w:type="dxa"/>
            <w:tcBorders>
              <w:right w:val="single" w:sz="6" w:space="0" w:color="auto"/>
            </w:tcBorders>
            <w:vAlign w:val="center"/>
          </w:tcPr>
          <w:p w14:paraId="1100A773" w14:textId="77777777" w:rsidR="00CE7CD7" w:rsidRDefault="00CE7CD7" w:rsidP="00CE7CD7">
            <w:pPr>
              <w:spacing w:line="240" w:lineRule="auto"/>
              <w:jc w:val="center"/>
            </w:pPr>
            <w:r>
              <w:t>344.7</w:t>
            </w:r>
          </w:p>
        </w:tc>
        <w:tc>
          <w:tcPr>
            <w:tcW w:w="871" w:type="dxa"/>
            <w:tcBorders>
              <w:left w:val="single" w:sz="6" w:space="0" w:color="auto"/>
            </w:tcBorders>
            <w:vAlign w:val="center"/>
          </w:tcPr>
          <w:p w14:paraId="61248E1D" w14:textId="77777777" w:rsidR="00CE7CD7" w:rsidRDefault="00CE7CD7" w:rsidP="00CE7CD7">
            <w:pPr>
              <w:spacing w:line="240" w:lineRule="auto"/>
              <w:jc w:val="right"/>
            </w:pPr>
            <w:r>
              <w:t>27.54</w:t>
            </w:r>
          </w:p>
        </w:tc>
        <w:tc>
          <w:tcPr>
            <w:tcW w:w="360" w:type="dxa"/>
            <w:vAlign w:val="center"/>
          </w:tcPr>
          <w:p w14:paraId="526CD63C" w14:textId="77777777" w:rsidR="00CE7CD7" w:rsidRDefault="00CE7CD7" w:rsidP="00CE7CD7">
            <w:pPr>
              <w:spacing w:line="240" w:lineRule="auto"/>
              <w:jc w:val="center"/>
            </w:pPr>
            <w:r>
              <w:t>±</w:t>
            </w:r>
          </w:p>
        </w:tc>
        <w:tc>
          <w:tcPr>
            <w:tcW w:w="871" w:type="dxa"/>
            <w:tcBorders>
              <w:right w:val="single" w:sz="6" w:space="0" w:color="auto"/>
            </w:tcBorders>
            <w:vAlign w:val="center"/>
          </w:tcPr>
          <w:p w14:paraId="3463A49F" w14:textId="77777777" w:rsidR="00CE7CD7" w:rsidRDefault="00CE7CD7" w:rsidP="00CE7CD7">
            <w:pPr>
              <w:spacing w:line="240" w:lineRule="auto"/>
              <w:jc w:val="left"/>
            </w:pPr>
            <w:r>
              <w:t>1.01</w:t>
            </w:r>
          </w:p>
        </w:tc>
        <w:tc>
          <w:tcPr>
            <w:tcW w:w="871" w:type="dxa"/>
            <w:tcBorders>
              <w:left w:val="single" w:sz="6" w:space="0" w:color="auto"/>
            </w:tcBorders>
            <w:vAlign w:val="center"/>
          </w:tcPr>
          <w:p w14:paraId="6DAF4605" w14:textId="77777777" w:rsidR="00CE7CD7" w:rsidRDefault="00CE7CD7" w:rsidP="00CE7CD7">
            <w:pPr>
              <w:spacing w:line="240" w:lineRule="auto"/>
              <w:jc w:val="right"/>
            </w:pPr>
            <w:r>
              <w:t>27.27</w:t>
            </w:r>
          </w:p>
        </w:tc>
        <w:tc>
          <w:tcPr>
            <w:tcW w:w="360" w:type="dxa"/>
            <w:vAlign w:val="center"/>
          </w:tcPr>
          <w:p w14:paraId="781E1AFC" w14:textId="77777777" w:rsidR="00CE7CD7" w:rsidRDefault="00CE7CD7" w:rsidP="00CE7CD7">
            <w:pPr>
              <w:spacing w:line="240" w:lineRule="auto"/>
              <w:jc w:val="center"/>
            </w:pPr>
            <w:r>
              <w:t>±</w:t>
            </w:r>
          </w:p>
        </w:tc>
        <w:tc>
          <w:tcPr>
            <w:tcW w:w="871" w:type="dxa"/>
            <w:tcBorders>
              <w:right w:val="single" w:sz="6" w:space="0" w:color="auto"/>
            </w:tcBorders>
            <w:vAlign w:val="center"/>
          </w:tcPr>
          <w:p w14:paraId="35FE286A" w14:textId="77777777" w:rsidR="00CE7CD7" w:rsidRDefault="00CE7CD7" w:rsidP="00CE7CD7">
            <w:pPr>
              <w:spacing w:line="240" w:lineRule="auto"/>
              <w:jc w:val="left"/>
            </w:pPr>
            <w:r>
              <w:t>1.04</w:t>
            </w:r>
          </w:p>
        </w:tc>
        <w:tc>
          <w:tcPr>
            <w:tcW w:w="872" w:type="dxa"/>
            <w:tcBorders>
              <w:left w:val="single" w:sz="6" w:space="0" w:color="auto"/>
            </w:tcBorders>
            <w:vAlign w:val="center"/>
          </w:tcPr>
          <w:p w14:paraId="72612F84" w14:textId="77777777" w:rsidR="00CE7CD7" w:rsidRDefault="00CE7CD7" w:rsidP="00CE7CD7">
            <w:pPr>
              <w:spacing w:line="240" w:lineRule="auto"/>
              <w:jc w:val="right"/>
            </w:pPr>
            <w:r>
              <w:t>47.11</w:t>
            </w:r>
          </w:p>
        </w:tc>
        <w:tc>
          <w:tcPr>
            <w:tcW w:w="360" w:type="dxa"/>
            <w:vAlign w:val="center"/>
          </w:tcPr>
          <w:p w14:paraId="1568BFF6" w14:textId="77777777" w:rsidR="00CE7CD7" w:rsidRDefault="00CE7CD7" w:rsidP="00CE7CD7">
            <w:pPr>
              <w:spacing w:line="240" w:lineRule="auto"/>
              <w:jc w:val="center"/>
            </w:pPr>
            <w:r>
              <w:t>±</w:t>
            </w:r>
          </w:p>
        </w:tc>
        <w:tc>
          <w:tcPr>
            <w:tcW w:w="872" w:type="dxa"/>
            <w:tcBorders>
              <w:right w:val="single" w:sz="6" w:space="0" w:color="auto"/>
            </w:tcBorders>
            <w:vAlign w:val="center"/>
          </w:tcPr>
          <w:p w14:paraId="6E98EE25" w14:textId="77777777" w:rsidR="00CE7CD7" w:rsidRDefault="00CE7CD7" w:rsidP="00CE7CD7">
            <w:pPr>
              <w:spacing w:line="240" w:lineRule="auto"/>
              <w:jc w:val="left"/>
            </w:pPr>
            <w:r>
              <w:t>2.31</w:t>
            </w:r>
          </w:p>
        </w:tc>
      </w:tr>
      <w:tr w:rsidR="00CE7CD7" w14:paraId="3E706000" w14:textId="77777777" w:rsidTr="00CE7CD7">
        <w:trPr>
          <w:cantSplit/>
          <w:trHeight w:val="360"/>
          <w:jc w:val="center"/>
        </w:trPr>
        <w:tc>
          <w:tcPr>
            <w:tcW w:w="871" w:type="dxa"/>
            <w:vMerge/>
            <w:tcBorders>
              <w:left w:val="single" w:sz="6" w:space="0" w:color="auto"/>
              <w:bottom w:val="single" w:sz="6" w:space="0" w:color="auto"/>
            </w:tcBorders>
            <w:vAlign w:val="center"/>
          </w:tcPr>
          <w:p w14:paraId="013309EE" w14:textId="77777777" w:rsidR="00CE7CD7" w:rsidRDefault="00CE7CD7" w:rsidP="00CE7CD7">
            <w:pPr>
              <w:spacing w:line="240" w:lineRule="auto"/>
              <w:jc w:val="center"/>
            </w:pPr>
          </w:p>
        </w:tc>
        <w:tc>
          <w:tcPr>
            <w:tcW w:w="1310" w:type="dxa"/>
            <w:tcBorders>
              <w:bottom w:val="single" w:sz="6" w:space="0" w:color="auto"/>
              <w:right w:val="single" w:sz="6" w:space="0" w:color="auto"/>
            </w:tcBorders>
            <w:vAlign w:val="center"/>
          </w:tcPr>
          <w:p w14:paraId="1E10AF3A" w14:textId="77777777" w:rsidR="00CE7CD7" w:rsidRDefault="00CE7CD7" w:rsidP="00CE7CD7">
            <w:pPr>
              <w:spacing w:line="240" w:lineRule="auto"/>
              <w:jc w:val="center"/>
            </w:pPr>
            <w:r>
              <w:t>482.6</w:t>
            </w:r>
          </w:p>
        </w:tc>
        <w:tc>
          <w:tcPr>
            <w:tcW w:w="871" w:type="dxa"/>
            <w:tcBorders>
              <w:left w:val="single" w:sz="6" w:space="0" w:color="auto"/>
              <w:bottom w:val="single" w:sz="6" w:space="0" w:color="auto"/>
            </w:tcBorders>
            <w:vAlign w:val="center"/>
          </w:tcPr>
          <w:p w14:paraId="011F0DA8" w14:textId="77777777" w:rsidR="00CE7CD7" w:rsidRDefault="00CE7CD7" w:rsidP="00CE7CD7">
            <w:pPr>
              <w:spacing w:line="240" w:lineRule="auto"/>
              <w:jc w:val="right"/>
            </w:pPr>
            <w:r>
              <w:t>29.14</w:t>
            </w:r>
          </w:p>
        </w:tc>
        <w:tc>
          <w:tcPr>
            <w:tcW w:w="360" w:type="dxa"/>
            <w:tcBorders>
              <w:bottom w:val="single" w:sz="6" w:space="0" w:color="auto"/>
            </w:tcBorders>
            <w:vAlign w:val="center"/>
          </w:tcPr>
          <w:p w14:paraId="1F5B8CE2" w14:textId="77777777" w:rsidR="00CE7CD7" w:rsidRDefault="00CE7CD7" w:rsidP="00CE7CD7">
            <w:pPr>
              <w:spacing w:line="240" w:lineRule="auto"/>
              <w:jc w:val="center"/>
            </w:pPr>
            <w:r>
              <w:t>±</w:t>
            </w:r>
          </w:p>
        </w:tc>
        <w:tc>
          <w:tcPr>
            <w:tcW w:w="871" w:type="dxa"/>
            <w:tcBorders>
              <w:bottom w:val="single" w:sz="6" w:space="0" w:color="auto"/>
              <w:right w:val="single" w:sz="6" w:space="0" w:color="auto"/>
            </w:tcBorders>
            <w:vAlign w:val="center"/>
          </w:tcPr>
          <w:p w14:paraId="163887B2" w14:textId="77777777" w:rsidR="00CE7CD7" w:rsidRDefault="00CE7CD7" w:rsidP="00CE7CD7">
            <w:pPr>
              <w:spacing w:line="240" w:lineRule="auto"/>
              <w:jc w:val="left"/>
            </w:pPr>
            <w:r>
              <w:t>0.38</w:t>
            </w:r>
          </w:p>
        </w:tc>
        <w:tc>
          <w:tcPr>
            <w:tcW w:w="871" w:type="dxa"/>
            <w:tcBorders>
              <w:left w:val="single" w:sz="6" w:space="0" w:color="auto"/>
              <w:bottom w:val="single" w:sz="6" w:space="0" w:color="auto"/>
            </w:tcBorders>
            <w:vAlign w:val="center"/>
          </w:tcPr>
          <w:p w14:paraId="11BA66DF" w14:textId="77777777" w:rsidR="00CE7CD7" w:rsidRDefault="00CE7CD7" w:rsidP="00CE7CD7">
            <w:pPr>
              <w:spacing w:line="240" w:lineRule="auto"/>
              <w:jc w:val="right"/>
            </w:pPr>
            <w:r>
              <w:t>28.83</w:t>
            </w:r>
          </w:p>
        </w:tc>
        <w:tc>
          <w:tcPr>
            <w:tcW w:w="360" w:type="dxa"/>
            <w:tcBorders>
              <w:bottom w:val="single" w:sz="6" w:space="0" w:color="auto"/>
            </w:tcBorders>
            <w:vAlign w:val="center"/>
          </w:tcPr>
          <w:p w14:paraId="37093D1F" w14:textId="77777777" w:rsidR="00CE7CD7" w:rsidRDefault="00CE7CD7" w:rsidP="00CE7CD7">
            <w:pPr>
              <w:spacing w:line="240" w:lineRule="auto"/>
              <w:jc w:val="center"/>
            </w:pPr>
            <w:r>
              <w:t>±</w:t>
            </w:r>
          </w:p>
        </w:tc>
        <w:tc>
          <w:tcPr>
            <w:tcW w:w="871" w:type="dxa"/>
            <w:tcBorders>
              <w:bottom w:val="single" w:sz="6" w:space="0" w:color="auto"/>
              <w:right w:val="single" w:sz="6" w:space="0" w:color="auto"/>
            </w:tcBorders>
            <w:vAlign w:val="center"/>
          </w:tcPr>
          <w:p w14:paraId="787AAC5E" w14:textId="77777777" w:rsidR="00CE7CD7" w:rsidRDefault="00CE7CD7" w:rsidP="00CE7CD7">
            <w:pPr>
              <w:spacing w:line="240" w:lineRule="auto"/>
              <w:jc w:val="left"/>
            </w:pPr>
            <w:r>
              <w:t>0.66</w:t>
            </w:r>
          </w:p>
        </w:tc>
        <w:tc>
          <w:tcPr>
            <w:tcW w:w="872" w:type="dxa"/>
            <w:tcBorders>
              <w:left w:val="single" w:sz="6" w:space="0" w:color="auto"/>
              <w:bottom w:val="single" w:sz="6" w:space="0" w:color="auto"/>
            </w:tcBorders>
            <w:vAlign w:val="center"/>
          </w:tcPr>
          <w:p w14:paraId="153397C0" w14:textId="77777777" w:rsidR="00CE7CD7" w:rsidRDefault="00CE7CD7" w:rsidP="00CE7CD7">
            <w:pPr>
              <w:spacing w:line="240" w:lineRule="auto"/>
              <w:jc w:val="right"/>
            </w:pPr>
            <w:r>
              <w:t>51.88</w:t>
            </w:r>
          </w:p>
        </w:tc>
        <w:tc>
          <w:tcPr>
            <w:tcW w:w="360" w:type="dxa"/>
            <w:tcBorders>
              <w:bottom w:val="single" w:sz="6" w:space="0" w:color="auto"/>
            </w:tcBorders>
            <w:vAlign w:val="center"/>
          </w:tcPr>
          <w:p w14:paraId="77514F21" w14:textId="77777777" w:rsidR="00CE7CD7" w:rsidRDefault="00CE7CD7" w:rsidP="00CE7CD7">
            <w:pPr>
              <w:spacing w:line="240" w:lineRule="auto"/>
              <w:jc w:val="center"/>
            </w:pPr>
            <w:r>
              <w:t>±</w:t>
            </w:r>
          </w:p>
        </w:tc>
        <w:tc>
          <w:tcPr>
            <w:tcW w:w="872" w:type="dxa"/>
            <w:tcBorders>
              <w:bottom w:val="single" w:sz="6" w:space="0" w:color="auto"/>
              <w:right w:val="single" w:sz="6" w:space="0" w:color="auto"/>
            </w:tcBorders>
            <w:vAlign w:val="center"/>
          </w:tcPr>
          <w:p w14:paraId="05558F8A" w14:textId="77777777" w:rsidR="00CE7CD7" w:rsidRDefault="00CE7CD7" w:rsidP="00CE7CD7">
            <w:pPr>
              <w:spacing w:line="240" w:lineRule="auto"/>
              <w:jc w:val="left"/>
            </w:pPr>
            <w:r>
              <w:t>0.94</w:t>
            </w:r>
          </w:p>
        </w:tc>
      </w:tr>
      <w:tr w:rsidR="00CE7CD7" w14:paraId="41847FAA" w14:textId="77777777" w:rsidTr="00CE7CD7">
        <w:trPr>
          <w:cantSplit/>
          <w:trHeight w:val="360"/>
          <w:jc w:val="center"/>
        </w:trPr>
        <w:tc>
          <w:tcPr>
            <w:tcW w:w="871" w:type="dxa"/>
            <w:vMerge w:val="restart"/>
            <w:tcBorders>
              <w:top w:val="single" w:sz="6" w:space="0" w:color="auto"/>
              <w:left w:val="single" w:sz="6" w:space="0" w:color="auto"/>
            </w:tcBorders>
            <w:textDirection w:val="btLr"/>
            <w:vAlign w:val="center"/>
          </w:tcPr>
          <w:p w14:paraId="781FA2AF" w14:textId="77777777" w:rsidR="00CE7CD7" w:rsidRDefault="00CE7CD7" w:rsidP="00CE7CD7">
            <w:pPr>
              <w:spacing w:before="120" w:after="120" w:line="240" w:lineRule="auto"/>
              <w:ind w:left="113" w:right="113"/>
              <w:jc w:val="center"/>
            </w:pPr>
            <w:r>
              <w:t>40 % RH</w:t>
            </w:r>
          </w:p>
        </w:tc>
        <w:tc>
          <w:tcPr>
            <w:tcW w:w="1310" w:type="dxa"/>
            <w:tcBorders>
              <w:top w:val="single" w:sz="6" w:space="0" w:color="auto"/>
              <w:right w:val="single" w:sz="6" w:space="0" w:color="auto"/>
            </w:tcBorders>
            <w:vAlign w:val="center"/>
          </w:tcPr>
          <w:p w14:paraId="70B106BD" w14:textId="77777777" w:rsidR="00CE7CD7" w:rsidRDefault="00CE7CD7" w:rsidP="00CE7CD7">
            <w:pPr>
              <w:spacing w:line="240" w:lineRule="auto"/>
              <w:jc w:val="center"/>
            </w:pPr>
            <w:r>
              <w:t>68.9</w:t>
            </w:r>
          </w:p>
        </w:tc>
        <w:tc>
          <w:tcPr>
            <w:tcW w:w="871" w:type="dxa"/>
            <w:tcBorders>
              <w:top w:val="single" w:sz="6" w:space="0" w:color="auto"/>
              <w:left w:val="single" w:sz="6" w:space="0" w:color="auto"/>
            </w:tcBorders>
            <w:vAlign w:val="center"/>
          </w:tcPr>
          <w:p w14:paraId="525C618B" w14:textId="77777777" w:rsidR="00CE7CD7" w:rsidRDefault="00CE7CD7" w:rsidP="00CE7CD7">
            <w:pPr>
              <w:spacing w:line="240" w:lineRule="auto"/>
              <w:jc w:val="right"/>
            </w:pPr>
            <w:r>
              <w:t>22.64</w:t>
            </w:r>
          </w:p>
        </w:tc>
        <w:tc>
          <w:tcPr>
            <w:tcW w:w="360" w:type="dxa"/>
            <w:tcBorders>
              <w:top w:val="single" w:sz="6" w:space="0" w:color="auto"/>
            </w:tcBorders>
            <w:vAlign w:val="center"/>
          </w:tcPr>
          <w:p w14:paraId="3D16E617" w14:textId="77777777" w:rsidR="00CE7CD7" w:rsidRDefault="00CE7CD7" w:rsidP="00CE7CD7">
            <w:pPr>
              <w:spacing w:line="240" w:lineRule="auto"/>
              <w:jc w:val="center"/>
            </w:pPr>
            <w:r>
              <w:t>±</w:t>
            </w:r>
          </w:p>
        </w:tc>
        <w:tc>
          <w:tcPr>
            <w:tcW w:w="871" w:type="dxa"/>
            <w:tcBorders>
              <w:top w:val="single" w:sz="6" w:space="0" w:color="auto"/>
              <w:right w:val="single" w:sz="6" w:space="0" w:color="auto"/>
            </w:tcBorders>
            <w:vAlign w:val="center"/>
          </w:tcPr>
          <w:p w14:paraId="3285DCF8" w14:textId="77777777" w:rsidR="00CE7CD7" w:rsidRDefault="00CE7CD7" w:rsidP="00CE7CD7">
            <w:pPr>
              <w:spacing w:line="240" w:lineRule="auto"/>
              <w:jc w:val="left"/>
            </w:pPr>
            <w:r>
              <w:t>1.08</w:t>
            </w:r>
          </w:p>
        </w:tc>
        <w:tc>
          <w:tcPr>
            <w:tcW w:w="871" w:type="dxa"/>
            <w:tcBorders>
              <w:top w:val="single" w:sz="6" w:space="0" w:color="auto"/>
              <w:left w:val="single" w:sz="6" w:space="0" w:color="auto"/>
            </w:tcBorders>
            <w:vAlign w:val="center"/>
          </w:tcPr>
          <w:p w14:paraId="547ADD0D" w14:textId="77777777" w:rsidR="00CE7CD7" w:rsidRDefault="00CE7CD7" w:rsidP="00CE7CD7">
            <w:pPr>
              <w:spacing w:line="240" w:lineRule="auto"/>
              <w:jc w:val="right"/>
            </w:pPr>
            <w:r>
              <w:t>22.31</w:t>
            </w:r>
          </w:p>
        </w:tc>
        <w:tc>
          <w:tcPr>
            <w:tcW w:w="360" w:type="dxa"/>
            <w:tcBorders>
              <w:top w:val="single" w:sz="6" w:space="0" w:color="auto"/>
            </w:tcBorders>
            <w:vAlign w:val="center"/>
          </w:tcPr>
          <w:p w14:paraId="087F1617" w14:textId="77777777" w:rsidR="00CE7CD7" w:rsidRDefault="00CE7CD7" w:rsidP="00CE7CD7">
            <w:pPr>
              <w:spacing w:line="240" w:lineRule="auto"/>
              <w:jc w:val="center"/>
            </w:pPr>
            <w:r>
              <w:t>±</w:t>
            </w:r>
          </w:p>
        </w:tc>
        <w:tc>
          <w:tcPr>
            <w:tcW w:w="871" w:type="dxa"/>
            <w:tcBorders>
              <w:top w:val="single" w:sz="6" w:space="0" w:color="auto"/>
              <w:right w:val="single" w:sz="6" w:space="0" w:color="auto"/>
            </w:tcBorders>
            <w:vAlign w:val="center"/>
          </w:tcPr>
          <w:p w14:paraId="0E7F2615" w14:textId="77777777" w:rsidR="00CE7CD7" w:rsidRDefault="00CE7CD7" w:rsidP="00CE7CD7">
            <w:pPr>
              <w:spacing w:line="240" w:lineRule="auto"/>
              <w:jc w:val="left"/>
            </w:pPr>
            <w:r>
              <w:t>1.01</w:t>
            </w:r>
          </w:p>
        </w:tc>
        <w:tc>
          <w:tcPr>
            <w:tcW w:w="872" w:type="dxa"/>
            <w:tcBorders>
              <w:top w:val="single" w:sz="6" w:space="0" w:color="auto"/>
              <w:left w:val="single" w:sz="6" w:space="0" w:color="auto"/>
            </w:tcBorders>
            <w:vAlign w:val="center"/>
          </w:tcPr>
          <w:p w14:paraId="3EE4B02C" w14:textId="77777777" w:rsidR="00CE7CD7" w:rsidRDefault="00CE7CD7" w:rsidP="00CE7CD7">
            <w:pPr>
              <w:spacing w:line="240" w:lineRule="auto"/>
              <w:jc w:val="right"/>
            </w:pPr>
            <w:r>
              <w:t>42.58</w:t>
            </w:r>
          </w:p>
        </w:tc>
        <w:tc>
          <w:tcPr>
            <w:tcW w:w="360" w:type="dxa"/>
            <w:tcBorders>
              <w:top w:val="single" w:sz="6" w:space="0" w:color="auto"/>
            </w:tcBorders>
            <w:vAlign w:val="center"/>
          </w:tcPr>
          <w:p w14:paraId="664758D4" w14:textId="77777777" w:rsidR="00CE7CD7" w:rsidRDefault="00CE7CD7" w:rsidP="00CE7CD7">
            <w:pPr>
              <w:spacing w:line="240" w:lineRule="auto"/>
              <w:jc w:val="center"/>
            </w:pPr>
            <w:r>
              <w:t>±</w:t>
            </w:r>
          </w:p>
        </w:tc>
        <w:tc>
          <w:tcPr>
            <w:tcW w:w="872" w:type="dxa"/>
            <w:tcBorders>
              <w:top w:val="single" w:sz="6" w:space="0" w:color="auto"/>
              <w:right w:val="single" w:sz="6" w:space="0" w:color="auto"/>
            </w:tcBorders>
            <w:vAlign w:val="center"/>
          </w:tcPr>
          <w:p w14:paraId="5A27BCD8" w14:textId="77777777" w:rsidR="00CE7CD7" w:rsidRDefault="00CE7CD7" w:rsidP="00CE7CD7">
            <w:pPr>
              <w:spacing w:line="240" w:lineRule="auto"/>
              <w:jc w:val="left"/>
            </w:pPr>
            <w:r>
              <w:t>1.82</w:t>
            </w:r>
          </w:p>
        </w:tc>
      </w:tr>
      <w:tr w:rsidR="00CE7CD7" w14:paraId="70EAD25D" w14:textId="77777777" w:rsidTr="00CE7CD7">
        <w:trPr>
          <w:cantSplit/>
          <w:trHeight w:val="360"/>
          <w:jc w:val="center"/>
        </w:trPr>
        <w:tc>
          <w:tcPr>
            <w:tcW w:w="871" w:type="dxa"/>
            <w:vMerge/>
            <w:tcBorders>
              <w:left w:val="single" w:sz="6" w:space="0" w:color="auto"/>
            </w:tcBorders>
            <w:vAlign w:val="center"/>
          </w:tcPr>
          <w:p w14:paraId="13226464" w14:textId="77777777" w:rsidR="00CE7CD7" w:rsidRDefault="00CE7CD7" w:rsidP="00CE7CD7">
            <w:pPr>
              <w:spacing w:before="120" w:after="120" w:line="240" w:lineRule="auto"/>
              <w:jc w:val="center"/>
            </w:pPr>
          </w:p>
        </w:tc>
        <w:tc>
          <w:tcPr>
            <w:tcW w:w="1310" w:type="dxa"/>
            <w:tcBorders>
              <w:right w:val="single" w:sz="6" w:space="0" w:color="auto"/>
            </w:tcBorders>
            <w:vAlign w:val="center"/>
          </w:tcPr>
          <w:p w14:paraId="29721CAF" w14:textId="77777777" w:rsidR="00CE7CD7" w:rsidRDefault="00CE7CD7" w:rsidP="00CE7CD7">
            <w:pPr>
              <w:spacing w:line="240" w:lineRule="auto"/>
              <w:jc w:val="center"/>
            </w:pPr>
            <w:r>
              <w:t>206.8</w:t>
            </w:r>
          </w:p>
        </w:tc>
        <w:tc>
          <w:tcPr>
            <w:tcW w:w="871" w:type="dxa"/>
            <w:tcBorders>
              <w:left w:val="single" w:sz="6" w:space="0" w:color="auto"/>
            </w:tcBorders>
            <w:vAlign w:val="center"/>
          </w:tcPr>
          <w:p w14:paraId="19C31C93" w14:textId="77777777" w:rsidR="00CE7CD7" w:rsidRDefault="00CE7CD7" w:rsidP="00CE7CD7">
            <w:pPr>
              <w:spacing w:line="240" w:lineRule="auto"/>
              <w:jc w:val="right"/>
            </w:pPr>
            <w:r>
              <w:t>24.71</w:t>
            </w:r>
          </w:p>
        </w:tc>
        <w:tc>
          <w:tcPr>
            <w:tcW w:w="360" w:type="dxa"/>
            <w:vAlign w:val="center"/>
          </w:tcPr>
          <w:p w14:paraId="6D2BF350" w14:textId="77777777" w:rsidR="00CE7CD7" w:rsidRDefault="00CE7CD7" w:rsidP="00CE7CD7">
            <w:pPr>
              <w:spacing w:line="240" w:lineRule="auto"/>
              <w:jc w:val="center"/>
            </w:pPr>
            <w:r>
              <w:t>±</w:t>
            </w:r>
          </w:p>
        </w:tc>
        <w:tc>
          <w:tcPr>
            <w:tcW w:w="871" w:type="dxa"/>
            <w:tcBorders>
              <w:right w:val="single" w:sz="6" w:space="0" w:color="auto"/>
            </w:tcBorders>
            <w:vAlign w:val="center"/>
          </w:tcPr>
          <w:p w14:paraId="4A2241F1" w14:textId="77777777" w:rsidR="00CE7CD7" w:rsidRDefault="00CE7CD7" w:rsidP="00CE7CD7">
            <w:pPr>
              <w:spacing w:line="240" w:lineRule="auto"/>
              <w:jc w:val="left"/>
            </w:pPr>
            <w:r>
              <w:t>0.50</w:t>
            </w:r>
          </w:p>
        </w:tc>
        <w:tc>
          <w:tcPr>
            <w:tcW w:w="871" w:type="dxa"/>
            <w:tcBorders>
              <w:left w:val="single" w:sz="6" w:space="0" w:color="auto"/>
            </w:tcBorders>
            <w:vAlign w:val="center"/>
          </w:tcPr>
          <w:p w14:paraId="1F489A63" w14:textId="77777777" w:rsidR="00CE7CD7" w:rsidRDefault="00CE7CD7" w:rsidP="00CE7CD7">
            <w:pPr>
              <w:spacing w:line="240" w:lineRule="auto"/>
              <w:jc w:val="right"/>
            </w:pPr>
            <w:r>
              <w:t>26.69</w:t>
            </w:r>
          </w:p>
        </w:tc>
        <w:tc>
          <w:tcPr>
            <w:tcW w:w="360" w:type="dxa"/>
            <w:vAlign w:val="center"/>
          </w:tcPr>
          <w:p w14:paraId="3F5787A7" w14:textId="77777777" w:rsidR="00CE7CD7" w:rsidRDefault="00CE7CD7" w:rsidP="00CE7CD7">
            <w:pPr>
              <w:spacing w:line="240" w:lineRule="auto"/>
              <w:jc w:val="center"/>
            </w:pPr>
            <w:r>
              <w:t>±</w:t>
            </w:r>
          </w:p>
        </w:tc>
        <w:tc>
          <w:tcPr>
            <w:tcW w:w="871" w:type="dxa"/>
            <w:tcBorders>
              <w:right w:val="single" w:sz="6" w:space="0" w:color="auto"/>
            </w:tcBorders>
            <w:vAlign w:val="center"/>
          </w:tcPr>
          <w:p w14:paraId="1BFBFAA5" w14:textId="77777777" w:rsidR="00CE7CD7" w:rsidRDefault="00CE7CD7" w:rsidP="00CE7CD7">
            <w:pPr>
              <w:spacing w:line="240" w:lineRule="auto"/>
              <w:jc w:val="left"/>
            </w:pPr>
            <w:r>
              <w:t>1.56</w:t>
            </w:r>
          </w:p>
        </w:tc>
        <w:tc>
          <w:tcPr>
            <w:tcW w:w="872" w:type="dxa"/>
            <w:tcBorders>
              <w:left w:val="single" w:sz="6" w:space="0" w:color="auto"/>
            </w:tcBorders>
            <w:vAlign w:val="center"/>
          </w:tcPr>
          <w:p w14:paraId="2CCB51C7" w14:textId="77777777" w:rsidR="00CE7CD7" w:rsidRDefault="00CE7CD7" w:rsidP="00CE7CD7">
            <w:pPr>
              <w:spacing w:line="240" w:lineRule="auto"/>
              <w:jc w:val="right"/>
            </w:pPr>
            <w:r>
              <w:t>46.94</w:t>
            </w:r>
          </w:p>
        </w:tc>
        <w:tc>
          <w:tcPr>
            <w:tcW w:w="360" w:type="dxa"/>
            <w:vAlign w:val="center"/>
          </w:tcPr>
          <w:p w14:paraId="0F0CFDDD" w14:textId="77777777" w:rsidR="00CE7CD7" w:rsidRDefault="00CE7CD7" w:rsidP="00CE7CD7">
            <w:pPr>
              <w:spacing w:line="240" w:lineRule="auto"/>
              <w:jc w:val="center"/>
            </w:pPr>
            <w:r>
              <w:t>±</w:t>
            </w:r>
          </w:p>
        </w:tc>
        <w:tc>
          <w:tcPr>
            <w:tcW w:w="872" w:type="dxa"/>
            <w:tcBorders>
              <w:right w:val="single" w:sz="6" w:space="0" w:color="auto"/>
            </w:tcBorders>
            <w:vAlign w:val="center"/>
          </w:tcPr>
          <w:p w14:paraId="0073AE1A" w14:textId="77777777" w:rsidR="00CE7CD7" w:rsidRDefault="00CE7CD7" w:rsidP="00CE7CD7">
            <w:pPr>
              <w:spacing w:line="240" w:lineRule="auto"/>
              <w:jc w:val="left"/>
            </w:pPr>
            <w:r>
              <w:t>2.38</w:t>
            </w:r>
          </w:p>
        </w:tc>
      </w:tr>
      <w:tr w:rsidR="00CE7CD7" w14:paraId="6F97B33D" w14:textId="77777777" w:rsidTr="00CE7CD7">
        <w:trPr>
          <w:cantSplit/>
          <w:trHeight w:val="360"/>
          <w:jc w:val="center"/>
        </w:trPr>
        <w:tc>
          <w:tcPr>
            <w:tcW w:w="871" w:type="dxa"/>
            <w:vMerge/>
            <w:tcBorders>
              <w:left w:val="single" w:sz="6" w:space="0" w:color="auto"/>
            </w:tcBorders>
            <w:vAlign w:val="center"/>
          </w:tcPr>
          <w:p w14:paraId="7B953F75" w14:textId="77777777" w:rsidR="00CE7CD7" w:rsidRDefault="00CE7CD7" w:rsidP="00CE7CD7">
            <w:pPr>
              <w:spacing w:before="120" w:after="120" w:line="240" w:lineRule="auto"/>
              <w:jc w:val="center"/>
            </w:pPr>
          </w:p>
        </w:tc>
        <w:tc>
          <w:tcPr>
            <w:tcW w:w="1310" w:type="dxa"/>
            <w:tcBorders>
              <w:right w:val="single" w:sz="6" w:space="0" w:color="auto"/>
            </w:tcBorders>
            <w:vAlign w:val="center"/>
          </w:tcPr>
          <w:p w14:paraId="27B052AF" w14:textId="77777777" w:rsidR="00CE7CD7" w:rsidRDefault="00CE7CD7" w:rsidP="00CE7CD7">
            <w:pPr>
              <w:spacing w:line="240" w:lineRule="auto"/>
              <w:jc w:val="center"/>
            </w:pPr>
            <w:r>
              <w:t>344.7</w:t>
            </w:r>
          </w:p>
        </w:tc>
        <w:tc>
          <w:tcPr>
            <w:tcW w:w="871" w:type="dxa"/>
            <w:tcBorders>
              <w:left w:val="single" w:sz="6" w:space="0" w:color="auto"/>
            </w:tcBorders>
            <w:vAlign w:val="center"/>
          </w:tcPr>
          <w:p w14:paraId="3260BBB2" w14:textId="77777777" w:rsidR="00CE7CD7" w:rsidRDefault="00CE7CD7" w:rsidP="00CE7CD7">
            <w:pPr>
              <w:spacing w:line="240" w:lineRule="auto"/>
              <w:jc w:val="right"/>
            </w:pPr>
            <w:r>
              <w:t>27.19</w:t>
            </w:r>
          </w:p>
        </w:tc>
        <w:tc>
          <w:tcPr>
            <w:tcW w:w="360" w:type="dxa"/>
            <w:vAlign w:val="center"/>
          </w:tcPr>
          <w:p w14:paraId="440D7760" w14:textId="77777777" w:rsidR="00CE7CD7" w:rsidRDefault="00CE7CD7" w:rsidP="00CE7CD7">
            <w:pPr>
              <w:spacing w:line="240" w:lineRule="auto"/>
              <w:jc w:val="center"/>
            </w:pPr>
            <w:r>
              <w:t>±</w:t>
            </w:r>
          </w:p>
        </w:tc>
        <w:tc>
          <w:tcPr>
            <w:tcW w:w="871" w:type="dxa"/>
            <w:tcBorders>
              <w:right w:val="single" w:sz="6" w:space="0" w:color="auto"/>
            </w:tcBorders>
            <w:vAlign w:val="center"/>
          </w:tcPr>
          <w:p w14:paraId="53A9844D" w14:textId="77777777" w:rsidR="00CE7CD7" w:rsidRDefault="00CE7CD7" w:rsidP="00CE7CD7">
            <w:pPr>
              <w:spacing w:line="240" w:lineRule="auto"/>
              <w:jc w:val="left"/>
            </w:pPr>
            <w:r>
              <w:t>0.55</w:t>
            </w:r>
          </w:p>
        </w:tc>
        <w:tc>
          <w:tcPr>
            <w:tcW w:w="871" w:type="dxa"/>
            <w:tcBorders>
              <w:left w:val="single" w:sz="6" w:space="0" w:color="auto"/>
            </w:tcBorders>
            <w:vAlign w:val="center"/>
          </w:tcPr>
          <w:p w14:paraId="2945636D" w14:textId="77777777" w:rsidR="00CE7CD7" w:rsidRDefault="00CE7CD7" w:rsidP="00CE7CD7">
            <w:pPr>
              <w:spacing w:line="240" w:lineRule="auto"/>
              <w:jc w:val="right"/>
            </w:pPr>
            <w:r>
              <w:t>27.68</w:t>
            </w:r>
          </w:p>
        </w:tc>
        <w:tc>
          <w:tcPr>
            <w:tcW w:w="360" w:type="dxa"/>
            <w:vAlign w:val="center"/>
          </w:tcPr>
          <w:p w14:paraId="66042430" w14:textId="77777777" w:rsidR="00CE7CD7" w:rsidRDefault="00CE7CD7" w:rsidP="00CE7CD7">
            <w:pPr>
              <w:spacing w:line="240" w:lineRule="auto"/>
              <w:jc w:val="center"/>
            </w:pPr>
            <w:r>
              <w:t>±</w:t>
            </w:r>
          </w:p>
        </w:tc>
        <w:tc>
          <w:tcPr>
            <w:tcW w:w="871" w:type="dxa"/>
            <w:tcBorders>
              <w:right w:val="single" w:sz="6" w:space="0" w:color="auto"/>
            </w:tcBorders>
            <w:vAlign w:val="center"/>
          </w:tcPr>
          <w:p w14:paraId="47ED2C3D" w14:textId="77777777" w:rsidR="00CE7CD7" w:rsidRDefault="00CE7CD7" w:rsidP="00CE7CD7">
            <w:pPr>
              <w:spacing w:line="240" w:lineRule="auto"/>
              <w:jc w:val="left"/>
            </w:pPr>
            <w:r>
              <w:t>0.74</w:t>
            </w:r>
          </w:p>
        </w:tc>
        <w:tc>
          <w:tcPr>
            <w:tcW w:w="872" w:type="dxa"/>
            <w:tcBorders>
              <w:left w:val="single" w:sz="6" w:space="0" w:color="auto"/>
            </w:tcBorders>
            <w:vAlign w:val="center"/>
          </w:tcPr>
          <w:p w14:paraId="70C70217" w14:textId="77777777" w:rsidR="00CE7CD7" w:rsidRDefault="00CE7CD7" w:rsidP="00CE7CD7">
            <w:pPr>
              <w:spacing w:line="240" w:lineRule="auto"/>
              <w:jc w:val="right"/>
            </w:pPr>
            <w:r>
              <w:t>49.60</w:t>
            </w:r>
          </w:p>
        </w:tc>
        <w:tc>
          <w:tcPr>
            <w:tcW w:w="360" w:type="dxa"/>
            <w:vAlign w:val="center"/>
          </w:tcPr>
          <w:p w14:paraId="1DA815B5" w14:textId="77777777" w:rsidR="00CE7CD7" w:rsidRDefault="00CE7CD7" w:rsidP="00CE7CD7">
            <w:pPr>
              <w:spacing w:line="240" w:lineRule="auto"/>
              <w:jc w:val="center"/>
            </w:pPr>
            <w:r>
              <w:t>±</w:t>
            </w:r>
          </w:p>
        </w:tc>
        <w:tc>
          <w:tcPr>
            <w:tcW w:w="872" w:type="dxa"/>
            <w:tcBorders>
              <w:right w:val="single" w:sz="6" w:space="0" w:color="auto"/>
            </w:tcBorders>
            <w:vAlign w:val="center"/>
          </w:tcPr>
          <w:p w14:paraId="54558337" w14:textId="77777777" w:rsidR="00CE7CD7" w:rsidRDefault="00CE7CD7" w:rsidP="00CE7CD7">
            <w:pPr>
              <w:spacing w:line="240" w:lineRule="auto"/>
              <w:jc w:val="left"/>
            </w:pPr>
            <w:r>
              <w:t>0.88</w:t>
            </w:r>
          </w:p>
        </w:tc>
      </w:tr>
      <w:tr w:rsidR="00CE7CD7" w14:paraId="10AAA96B" w14:textId="77777777" w:rsidTr="00CE7CD7">
        <w:trPr>
          <w:cantSplit/>
          <w:trHeight w:val="360"/>
          <w:jc w:val="center"/>
        </w:trPr>
        <w:tc>
          <w:tcPr>
            <w:tcW w:w="871" w:type="dxa"/>
            <w:vMerge/>
            <w:tcBorders>
              <w:left w:val="single" w:sz="6" w:space="0" w:color="auto"/>
              <w:bottom w:val="single" w:sz="6" w:space="0" w:color="auto"/>
            </w:tcBorders>
            <w:vAlign w:val="center"/>
          </w:tcPr>
          <w:p w14:paraId="29C41855" w14:textId="77777777" w:rsidR="00CE7CD7" w:rsidRDefault="00CE7CD7" w:rsidP="00CE7CD7">
            <w:pPr>
              <w:spacing w:before="120" w:after="120" w:line="240" w:lineRule="auto"/>
              <w:jc w:val="center"/>
            </w:pPr>
          </w:p>
        </w:tc>
        <w:tc>
          <w:tcPr>
            <w:tcW w:w="1310" w:type="dxa"/>
            <w:tcBorders>
              <w:bottom w:val="single" w:sz="6" w:space="0" w:color="auto"/>
              <w:right w:val="single" w:sz="6" w:space="0" w:color="auto"/>
            </w:tcBorders>
            <w:vAlign w:val="center"/>
          </w:tcPr>
          <w:p w14:paraId="62E64161" w14:textId="77777777" w:rsidR="00CE7CD7" w:rsidRDefault="00CE7CD7" w:rsidP="00CE7CD7">
            <w:pPr>
              <w:spacing w:line="240" w:lineRule="auto"/>
              <w:jc w:val="center"/>
            </w:pPr>
            <w:r>
              <w:t>482.6</w:t>
            </w:r>
          </w:p>
        </w:tc>
        <w:tc>
          <w:tcPr>
            <w:tcW w:w="871" w:type="dxa"/>
            <w:tcBorders>
              <w:left w:val="single" w:sz="6" w:space="0" w:color="auto"/>
              <w:bottom w:val="single" w:sz="6" w:space="0" w:color="auto"/>
            </w:tcBorders>
            <w:vAlign w:val="center"/>
          </w:tcPr>
          <w:p w14:paraId="36671189" w14:textId="77777777" w:rsidR="00CE7CD7" w:rsidRDefault="00CE7CD7" w:rsidP="00CE7CD7">
            <w:pPr>
              <w:spacing w:line="240" w:lineRule="auto"/>
              <w:jc w:val="right"/>
            </w:pPr>
            <w:r>
              <w:t>28.60</w:t>
            </w:r>
          </w:p>
        </w:tc>
        <w:tc>
          <w:tcPr>
            <w:tcW w:w="360" w:type="dxa"/>
            <w:tcBorders>
              <w:bottom w:val="single" w:sz="6" w:space="0" w:color="auto"/>
            </w:tcBorders>
            <w:vAlign w:val="center"/>
          </w:tcPr>
          <w:p w14:paraId="2B1892CE" w14:textId="77777777" w:rsidR="00CE7CD7" w:rsidRDefault="00CE7CD7" w:rsidP="00CE7CD7">
            <w:pPr>
              <w:spacing w:line="240" w:lineRule="auto"/>
              <w:jc w:val="center"/>
            </w:pPr>
            <w:r>
              <w:t>±</w:t>
            </w:r>
          </w:p>
        </w:tc>
        <w:tc>
          <w:tcPr>
            <w:tcW w:w="871" w:type="dxa"/>
            <w:tcBorders>
              <w:bottom w:val="single" w:sz="6" w:space="0" w:color="auto"/>
              <w:right w:val="single" w:sz="6" w:space="0" w:color="auto"/>
            </w:tcBorders>
            <w:vAlign w:val="center"/>
          </w:tcPr>
          <w:p w14:paraId="68C4C119" w14:textId="77777777" w:rsidR="00CE7CD7" w:rsidRDefault="00CE7CD7" w:rsidP="00CE7CD7">
            <w:pPr>
              <w:spacing w:line="240" w:lineRule="auto"/>
              <w:jc w:val="left"/>
            </w:pPr>
            <w:r>
              <w:t>0.61</w:t>
            </w:r>
          </w:p>
        </w:tc>
        <w:tc>
          <w:tcPr>
            <w:tcW w:w="871" w:type="dxa"/>
            <w:tcBorders>
              <w:left w:val="single" w:sz="6" w:space="0" w:color="auto"/>
              <w:bottom w:val="single" w:sz="6" w:space="0" w:color="auto"/>
            </w:tcBorders>
            <w:vAlign w:val="center"/>
          </w:tcPr>
          <w:p w14:paraId="5F30DB3C" w14:textId="77777777" w:rsidR="00CE7CD7" w:rsidRDefault="00CE7CD7" w:rsidP="00CE7CD7">
            <w:pPr>
              <w:spacing w:line="240" w:lineRule="auto"/>
              <w:jc w:val="right"/>
            </w:pPr>
            <w:r>
              <w:t>29.29</w:t>
            </w:r>
          </w:p>
        </w:tc>
        <w:tc>
          <w:tcPr>
            <w:tcW w:w="360" w:type="dxa"/>
            <w:tcBorders>
              <w:bottom w:val="single" w:sz="6" w:space="0" w:color="auto"/>
            </w:tcBorders>
            <w:vAlign w:val="center"/>
          </w:tcPr>
          <w:p w14:paraId="70577000" w14:textId="77777777" w:rsidR="00CE7CD7" w:rsidRDefault="00CE7CD7" w:rsidP="00CE7CD7">
            <w:pPr>
              <w:spacing w:line="240" w:lineRule="auto"/>
              <w:jc w:val="center"/>
            </w:pPr>
            <w:r>
              <w:t>±</w:t>
            </w:r>
          </w:p>
        </w:tc>
        <w:tc>
          <w:tcPr>
            <w:tcW w:w="871" w:type="dxa"/>
            <w:tcBorders>
              <w:bottom w:val="single" w:sz="6" w:space="0" w:color="auto"/>
              <w:right w:val="single" w:sz="6" w:space="0" w:color="auto"/>
            </w:tcBorders>
            <w:vAlign w:val="center"/>
          </w:tcPr>
          <w:p w14:paraId="65709CB8" w14:textId="77777777" w:rsidR="00CE7CD7" w:rsidRDefault="00CE7CD7" w:rsidP="00CE7CD7">
            <w:pPr>
              <w:spacing w:line="240" w:lineRule="auto"/>
              <w:jc w:val="left"/>
            </w:pPr>
            <w:r>
              <w:t>0.45</w:t>
            </w:r>
          </w:p>
        </w:tc>
        <w:tc>
          <w:tcPr>
            <w:tcW w:w="872" w:type="dxa"/>
            <w:tcBorders>
              <w:left w:val="single" w:sz="6" w:space="0" w:color="auto"/>
              <w:bottom w:val="single" w:sz="6" w:space="0" w:color="auto"/>
            </w:tcBorders>
            <w:vAlign w:val="center"/>
          </w:tcPr>
          <w:p w14:paraId="2C392E43" w14:textId="77777777" w:rsidR="00CE7CD7" w:rsidRDefault="00CE7CD7" w:rsidP="00CE7CD7">
            <w:pPr>
              <w:spacing w:line="240" w:lineRule="auto"/>
              <w:jc w:val="right"/>
            </w:pPr>
            <w:r>
              <w:t>51.55</w:t>
            </w:r>
          </w:p>
        </w:tc>
        <w:tc>
          <w:tcPr>
            <w:tcW w:w="360" w:type="dxa"/>
            <w:tcBorders>
              <w:bottom w:val="single" w:sz="6" w:space="0" w:color="auto"/>
            </w:tcBorders>
            <w:vAlign w:val="center"/>
          </w:tcPr>
          <w:p w14:paraId="28B09E01" w14:textId="77777777" w:rsidR="00CE7CD7" w:rsidRDefault="00CE7CD7" w:rsidP="00CE7CD7">
            <w:pPr>
              <w:spacing w:line="240" w:lineRule="auto"/>
              <w:jc w:val="center"/>
            </w:pPr>
            <w:r>
              <w:t>±</w:t>
            </w:r>
          </w:p>
        </w:tc>
        <w:tc>
          <w:tcPr>
            <w:tcW w:w="872" w:type="dxa"/>
            <w:tcBorders>
              <w:bottom w:val="single" w:sz="6" w:space="0" w:color="auto"/>
              <w:right w:val="single" w:sz="6" w:space="0" w:color="auto"/>
            </w:tcBorders>
            <w:vAlign w:val="center"/>
          </w:tcPr>
          <w:p w14:paraId="1AAA41CA" w14:textId="77777777" w:rsidR="00CE7CD7" w:rsidRDefault="00CE7CD7" w:rsidP="00CE7CD7">
            <w:pPr>
              <w:spacing w:line="240" w:lineRule="auto"/>
              <w:jc w:val="left"/>
            </w:pPr>
            <w:r>
              <w:t>0.94</w:t>
            </w:r>
          </w:p>
        </w:tc>
      </w:tr>
      <w:tr w:rsidR="00CE7CD7" w14:paraId="758D56BA" w14:textId="77777777" w:rsidTr="00CE7CD7">
        <w:trPr>
          <w:cantSplit/>
          <w:trHeight w:val="360"/>
          <w:jc w:val="center"/>
        </w:trPr>
        <w:tc>
          <w:tcPr>
            <w:tcW w:w="871" w:type="dxa"/>
            <w:vMerge w:val="restart"/>
            <w:tcBorders>
              <w:top w:val="single" w:sz="6" w:space="0" w:color="auto"/>
              <w:left w:val="single" w:sz="6" w:space="0" w:color="auto"/>
            </w:tcBorders>
            <w:textDirection w:val="btLr"/>
            <w:vAlign w:val="center"/>
          </w:tcPr>
          <w:p w14:paraId="7E3228D6" w14:textId="77777777" w:rsidR="00CE7CD7" w:rsidRDefault="00CE7CD7" w:rsidP="00CE7CD7">
            <w:pPr>
              <w:spacing w:before="120" w:after="120" w:line="240" w:lineRule="auto"/>
              <w:ind w:left="113" w:right="113"/>
              <w:jc w:val="center"/>
            </w:pPr>
            <w:r>
              <w:t>70% RH</w:t>
            </w:r>
          </w:p>
        </w:tc>
        <w:tc>
          <w:tcPr>
            <w:tcW w:w="1310" w:type="dxa"/>
            <w:tcBorders>
              <w:top w:val="single" w:sz="6" w:space="0" w:color="auto"/>
              <w:right w:val="single" w:sz="6" w:space="0" w:color="auto"/>
            </w:tcBorders>
            <w:vAlign w:val="center"/>
          </w:tcPr>
          <w:p w14:paraId="65559812" w14:textId="77777777" w:rsidR="00CE7CD7" w:rsidRDefault="00CE7CD7" w:rsidP="00CE7CD7">
            <w:pPr>
              <w:spacing w:line="240" w:lineRule="auto"/>
              <w:jc w:val="center"/>
            </w:pPr>
            <w:r>
              <w:t>68.9</w:t>
            </w:r>
          </w:p>
        </w:tc>
        <w:tc>
          <w:tcPr>
            <w:tcW w:w="871" w:type="dxa"/>
            <w:tcBorders>
              <w:top w:val="single" w:sz="6" w:space="0" w:color="auto"/>
              <w:left w:val="single" w:sz="6" w:space="0" w:color="auto"/>
            </w:tcBorders>
            <w:vAlign w:val="center"/>
          </w:tcPr>
          <w:p w14:paraId="1FB7CDF9" w14:textId="77777777" w:rsidR="00CE7CD7" w:rsidRDefault="00CE7CD7" w:rsidP="00CE7CD7">
            <w:pPr>
              <w:spacing w:line="240" w:lineRule="auto"/>
              <w:jc w:val="right"/>
            </w:pPr>
            <w:r>
              <w:t>22.01</w:t>
            </w:r>
          </w:p>
        </w:tc>
        <w:tc>
          <w:tcPr>
            <w:tcW w:w="360" w:type="dxa"/>
            <w:tcBorders>
              <w:top w:val="single" w:sz="6" w:space="0" w:color="auto"/>
            </w:tcBorders>
            <w:vAlign w:val="center"/>
          </w:tcPr>
          <w:p w14:paraId="69657E5B" w14:textId="77777777" w:rsidR="00CE7CD7" w:rsidRDefault="00CE7CD7" w:rsidP="00CE7CD7">
            <w:pPr>
              <w:spacing w:line="240" w:lineRule="auto"/>
              <w:jc w:val="center"/>
            </w:pPr>
            <w:r>
              <w:t>±</w:t>
            </w:r>
          </w:p>
        </w:tc>
        <w:tc>
          <w:tcPr>
            <w:tcW w:w="871" w:type="dxa"/>
            <w:tcBorders>
              <w:top w:val="single" w:sz="6" w:space="0" w:color="auto"/>
              <w:right w:val="single" w:sz="6" w:space="0" w:color="auto"/>
            </w:tcBorders>
            <w:vAlign w:val="center"/>
          </w:tcPr>
          <w:p w14:paraId="75AD4C09" w14:textId="77777777" w:rsidR="00CE7CD7" w:rsidRDefault="00CE7CD7" w:rsidP="00CE7CD7">
            <w:pPr>
              <w:spacing w:line="240" w:lineRule="auto"/>
              <w:jc w:val="left"/>
            </w:pPr>
            <w:r>
              <w:t>0.99</w:t>
            </w:r>
          </w:p>
        </w:tc>
        <w:tc>
          <w:tcPr>
            <w:tcW w:w="871" w:type="dxa"/>
            <w:tcBorders>
              <w:top w:val="single" w:sz="6" w:space="0" w:color="auto"/>
              <w:left w:val="single" w:sz="6" w:space="0" w:color="auto"/>
            </w:tcBorders>
            <w:vAlign w:val="center"/>
          </w:tcPr>
          <w:p w14:paraId="144AF374" w14:textId="77777777" w:rsidR="00CE7CD7" w:rsidRDefault="00CE7CD7" w:rsidP="00CE7CD7">
            <w:pPr>
              <w:spacing w:line="240" w:lineRule="auto"/>
              <w:jc w:val="right"/>
            </w:pPr>
            <w:r>
              <w:t>21.62</w:t>
            </w:r>
          </w:p>
        </w:tc>
        <w:tc>
          <w:tcPr>
            <w:tcW w:w="360" w:type="dxa"/>
            <w:tcBorders>
              <w:top w:val="single" w:sz="6" w:space="0" w:color="auto"/>
            </w:tcBorders>
            <w:vAlign w:val="center"/>
          </w:tcPr>
          <w:p w14:paraId="1A6A5820" w14:textId="77777777" w:rsidR="00CE7CD7" w:rsidRDefault="00CE7CD7" w:rsidP="00CE7CD7">
            <w:pPr>
              <w:spacing w:line="240" w:lineRule="auto"/>
              <w:jc w:val="center"/>
            </w:pPr>
            <w:r>
              <w:t>±</w:t>
            </w:r>
          </w:p>
        </w:tc>
        <w:tc>
          <w:tcPr>
            <w:tcW w:w="871" w:type="dxa"/>
            <w:tcBorders>
              <w:top w:val="single" w:sz="6" w:space="0" w:color="auto"/>
              <w:right w:val="single" w:sz="6" w:space="0" w:color="auto"/>
            </w:tcBorders>
            <w:vAlign w:val="center"/>
          </w:tcPr>
          <w:p w14:paraId="7CC372D4" w14:textId="77777777" w:rsidR="00CE7CD7" w:rsidRDefault="00CE7CD7" w:rsidP="00CE7CD7">
            <w:pPr>
              <w:spacing w:line="240" w:lineRule="auto"/>
              <w:jc w:val="left"/>
            </w:pPr>
            <w:r>
              <w:t>0.98</w:t>
            </w:r>
          </w:p>
        </w:tc>
        <w:tc>
          <w:tcPr>
            <w:tcW w:w="872" w:type="dxa"/>
            <w:tcBorders>
              <w:top w:val="single" w:sz="6" w:space="0" w:color="auto"/>
              <w:left w:val="single" w:sz="6" w:space="0" w:color="auto"/>
            </w:tcBorders>
            <w:vAlign w:val="center"/>
          </w:tcPr>
          <w:p w14:paraId="7119197C" w14:textId="77777777" w:rsidR="00CE7CD7" w:rsidRDefault="00CE7CD7" w:rsidP="00CE7CD7">
            <w:pPr>
              <w:spacing w:line="240" w:lineRule="auto"/>
              <w:jc w:val="right"/>
            </w:pPr>
            <w:r>
              <w:t>43.65</w:t>
            </w:r>
          </w:p>
        </w:tc>
        <w:tc>
          <w:tcPr>
            <w:tcW w:w="360" w:type="dxa"/>
            <w:tcBorders>
              <w:top w:val="single" w:sz="6" w:space="0" w:color="auto"/>
            </w:tcBorders>
            <w:vAlign w:val="center"/>
          </w:tcPr>
          <w:p w14:paraId="6AF3AE98" w14:textId="77777777" w:rsidR="00CE7CD7" w:rsidRDefault="00CE7CD7" w:rsidP="00CE7CD7">
            <w:pPr>
              <w:spacing w:line="240" w:lineRule="auto"/>
              <w:jc w:val="center"/>
            </w:pPr>
            <w:r>
              <w:t>±</w:t>
            </w:r>
          </w:p>
        </w:tc>
        <w:tc>
          <w:tcPr>
            <w:tcW w:w="872" w:type="dxa"/>
            <w:tcBorders>
              <w:top w:val="single" w:sz="6" w:space="0" w:color="auto"/>
              <w:right w:val="single" w:sz="6" w:space="0" w:color="auto"/>
            </w:tcBorders>
            <w:vAlign w:val="center"/>
          </w:tcPr>
          <w:p w14:paraId="217DE380" w14:textId="77777777" w:rsidR="00CE7CD7" w:rsidRDefault="00CE7CD7" w:rsidP="00CE7CD7">
            <w:pPr>
              <w:spacing w:line="240" w:lineRule="auto"/>
              <w:jc w:val="left"/>
            </w:pPr>
            <w:r>
              <w:t>2.38</w:t>
            </w:r>
          </w:p>
        </w:tc>
      </w:tr>
      <w:tr w:rsidR="00CE7CD7" w14:paraId="5FC59114" w14:textId="77777777" w:rsidTr="00CE7CD7">
        <w:trPr>
          <w:cantSplit/>
          <w:trHeight w:val="360"/>
          <w:jc w:val="center"/>
        </w:trPr>
        <w:tc>
          <w:tcPr>
            <w:tcW w:w="871" w:type="dxa"/>
            <w:vMerge/>
            <w:tcBorders>
              <w:left w:val="single" w:sz="6" w:space="0" w:color="auto"/>
            </w:tcBorders>
            <w:vAlign w:val="center"/>
          </w:tcPr>
          <w:p w14:paraId="4A45045F" w14:textId="77777777" w:rsidR="00CE7CD7" w:rsidRDefault="00CE7CD7" w:rsidP="00CE7CD7">
            <w:pPr>
              <w:spacing w:before="120" w:after="120" w:line="240" w:lineRule="auto"/>
              <w:jc w:val="center"/>
            </w:pPr>
          </w:p>
        </w:tc>
        <w:tc>
          <w:tcPr>
            <w:tcW w:w="1310" w:type="dxa"/>
            <w:tcBorders>
              <w:right w:val="single" w:sz="6" w:space="0" w:color="auto"/>
            </w:tcBorders>
            <w:vAlign w:val="center"/>
          </w:tcPr>
          <w:p w14:paraId="54C59271" w14:textId="77777777" w:rsidR="00CE7CD7" w:rsidRDefault="00CE7CD7" w:rsidP="00CE7CD7">
            <w:pPr>
              <w:spacing w:line="240" w:lineRule="auto"/>
              <w:jc w:val="center"/>
            </w:pPr>
            <w:r>
              <w:t>206.8</w:t>
            </w:r>
          </w:p>
        </w:tc>
        <w:tc>
          <w:tcPr>
            <w:tcW w:w="871" w:type="dxa"/>
            <w:tcBorders>
              <w:left w:val="single" w:sz="6" w:space="0" w:color="auto"/>
            </w:tcBorders>
            <w:vAlign w:val="center"/>
          </w:tcPr>
          <w:p w14:paraId="3A8FE267" w14:textId="77777777" w:rsidR="00CE7CD7" w:rsidRDefault="00CE7CD7" w:rsidP="00CE7CD7">
            <w:pPr>
              <w:spacing w:line="240" w:lineRule="auto"/>
              <w:jc w:val="right"/>
            </w:pPr>
            <w:r>
              <w:t>25.45</w:t>
            </w:r>
          </w:p>
        </w:tc>
        <w:tc>
          <w:tcPr>
            <w:tcW w:w="360" w:type="dxa"/>
            <w:vAlign w:val="center"/>
          </w:tcPr>
          <w:p w14:paraId="3CED4BBB" w14:textId="77777777" w:rsidR="00CE7CD7" w:rsidRDefault="00CE7CD7" w:rsidP="00CE7CD7">
            <w:pPr>
              <w:spacing w:line="240" w:lineRule="auto"/>
              <w:jc w:val="center"/>
            </w:pPr>
            <w:r>
              <w:t>±</w:t>
            </w:r>
          </w:p>
        </w:tc>
        <w:tc>
          <w:tcPr>
            <w:tcW w:w="871" w:type="dxa"/>
            <w:tcBorders>
              <w:right w:val="single" w:sz="6" w:space="0" w:color="auto"/>
            </w:tcBorders>
            <w:vAlign w:val="center"/>
          </w:tcPr>
          <w:p w14:paraId="767F1541" w14:textId="77777777" w:rsidR="00CE7CD7" w:rsidRDefault="00CE7CD7" w:rsidP="00CE7CD7">
            <w:pPr>
              <w:spacing w:line="240" w:lineRule="auto"/>
              <w:jc w:val="left"/>
            </w:pPr>
            <w:r>
              <w:t>0.79</w:t>
            </w:r>
          </w:p>
        </w:tc>
        <w:tc>
          <w:tcPr>
            <w:tcW w:w="871" w:type="dxa"/>
            <w:tcBorders>
              <w:left w:val="single" w:sz="6" w:space="0" w:color="auto"/>
            </w:tcBorders>
            <w:vAlign w:val="center"/>
          </w:tcPr>
          <w:p w14:paraId="045F5408" w14:textId="77777777" w:rsidR="00CE7CD7" w:rsidRDefault="00CE7CD7" w:rsidP="00CE7CD7">
            <w:pPr>
              <w:spacing w:line="240" w:lineRule="auto"/>
              <w:jc w:val="right"/>
            </w:pPr>
            <w:r>
              <w:t>24.63</w:t>
            </w:r>
          </w:p>
        </w:tc>
        <w:tc>
          <w:tcPr>
            <w:tcW w:w="360" w:type="dxa"/>
            <w:vAlign w:val="center"/>
          </w:tcPr>
          <w:p w14:paraId="58275C4B" w14:textId="77777777" w:rsidR="00CE7CD7" w:rsidRDefault="00CE7CD7" w:rsidP="00CE7CD7">
            <w:pPr>
              <w:spacing w:line="240" w:lineRule="auto"/>
              <w:jc w:val="center"/>
            </w:pPr>
            <w:r>
              <w:t>±</w:t>
            </w:r>
          </w:p>
        </w:tc>
        <w:tc>
          <w:tcPr>
            <w:tcW w:w="871" w:type="dxa"/>
            <w:tcBorders>
              <w:right w:val="single" w:sz="6" w:space="0" w:color="auto"/>
            </w:tcBorders>
            <w:vAlign w:val="center"/>
          </w:tcPr>
          <w:p w14:paraId="790C9B95" w14:textId="77777777" w:rsidR="00CE7CD7" w:rsidRDefault="00CE7CD7" w:rsidP="00CE7CD7">
            <w:pPr>
              <w:spacing w:line="240" w:lineRule="auto"/>
              <w:jc w:val="left"/>
            </w:pPr>
            <w:r>
              <w:t>0.88</w:t>
            </w:r>
          </w:p>
        </w:tc>
        <w:tc>
          <w:tcPr>
            <w:tcW w:w="872" w:type="dxa"/>
            <w:tcBorders>
              <w:left w:val="single" w:sz="6" w:space="0" w:color="auto"/>
            </w:tcBorders>
            <w:vAlign w:val="center"/>
          </w:tcPr>
          <w:p w14:paraId="73B9AA5F" w14:textId="77777777" w:rsidR="00CE7CD7" w:rsidRDefault="00CE7CD7" w:rsidP="00CE7CD7">
            <w:pPr>
              <w:spacing w:line="240" w:lineRule="auto"/>
              <w:jc w:val="right"/>
            </w:pPr>
            <w:r>
              <w:t>47.90</w:t>
            </w:r>
          </w:p>
        </w:tc>
        <w:tc>
          <w:tcPr>
            <w:tcW w:w="360" w:type="dxa"/>
            <w:vAlign w:val="center"/>
          </w:tcPr>
          <w:p w14:paraId="34C9F978" w14:textId="77777777" w:rsidR="00CE7CD7" w:rsidRDefault="00CE7CD7" w:rsidP="00CE7CD7">
            <w:pPr>
              <w:spacing w:line="240" w:lineRule="auto"/>
              <w:jc w:val="center"/>
            </w:pPr>
            <w:r>
              <w:t>±</w:t>
            </w:r>
          </w:p>
        </w:tc>
        <w:tc>
          <w:tcPr>
            <w:tcW w:w="872" w:type="dxa"/>
            <w:tcBorders>
              <w:right w:val="single" w:sz="6" w:space="0" w:color="auto"/>
            </w:tcBorders>
            <w:vAlign w:val="center"/>
          </w:tcPr>
          <w:p w14:paraId="43744D48" w14:textId="77777777" w:rsidR="00CE7CD7" w:rsidRDefault="00CE7CD7" w:rsidP="00CE7CD7">
            <w:pPr>
              <w:spacing w:line="240" w:lineRule="auto"/>
              <w:jc w:val="left"/>
            </w:pPr>
            <w:r>
              <w:t>1.65</w:t>
            </w:r>
          </w:p>
        </w:tc>
      </w:tr>
      <w:tr w:rsidR="00CE7CD7" w14:paraId="2EA4E978" w14:textId="77777777" w:rsidTr="00CE7CD7">
        <w:trPr>
          <w:cantSplit/>
          <w:trHeight w:val="360"/>
          <w:jc w:val="center"/>
        </w:trPr>
        <w:tc>
          <w:tcPr>
            <w:tcW w:w="871" w:type="dxa"/>
            <w:vMerge/>
            <w:tcBorders>
              <w:left w:val="single" w:sz="6" w:space="0" w:color="auto"/>
            </w:tcBorders>
            <w:vAlign w:val="center"/>
          </w:tcPr>
          <w:p w14:paraId="395BA8DF" w14:textId="77777777" w:rsidR="00CE7CD7" w:rsidRDefault="00CE7CD7" w:rsidP="00CE7CD7">
            <w:pPr>
              <w:spacing w:before="120" w:after="120" w:line="240" w:lineRule="auto"/>
              <w:jc w:val="center"/>
            </w:pPr>
          </w:p>
        </w:tc>
        <w:tc>
          <w:tcPr>
            <w:tcW w:w="1310" w:type="dxa"/>
            <w:tcBorders>
              <w:right w:val="single" w:sz="6" w:space="0" w:color="auto"/>
            </w:tcBorders>
            <w:vAlign w:val="center"/>
          </w:tcPr>
          <w:p w14:paraId="0C6A4F7A" w14:textId="77777777" w:rsidR="00CE7CD7" w:rsidRDefault="00CE7CD7" w:rsidP="00CE7CD7">
            <w:pPr>
              <w:spacing w:line="240" w:lineRule="auto"/>
              <w:jc w:val="center"/>
            </w:pPr>
            <w:r>
              <w:t>344.7</w:t>
            </w:r>
          </w:p>
        </w:tc>
        <w:tc>
          <w:tcPr>
            <w:tcW w:w="871" w:type="dxa"/>
            <w:tcBorders>
              <w:left w:val="single" w:sz="6" w:space="0" w:color="auto"/>
            </w:tcBorders>
            <w:vAlign w:val="center"/>
          </w:tcPr>
          <w:p w14:paraId="6577B457" w14:textId="77777777" w:rsidR="00CE7CD7" w:rsidRDefault="00CE7CD7" w:rsidP="00CE7CD7">
            <w:pPr>
              <w:spacing w:line="240" w:lineRule="auto"/>
              <w:jc w:val="right"/>
            </w:pPr>
            <w:r>
              <w:t>27.31</w:t>
            </w:r>
          </w:p>
        </w:tc>
        <w:tc>
          <w:tcPr>
            <w:tcW w:w="360" w:type="dxa"/>
            <w:vAlign w:val="center"/>
          </w:tcPr>
          <w:p w14:paraId="3C4E5036" w14:textId="77777777" w:rsidR="00CE7CD7" w:rsidRDefault="00CE7CD7" w:rsidP="00CE7CD7">
            <w:pPr>
              <w:spacing w:line="240" w:lineRule="auto"/>
              <w:jc w:val="center"/>
            </w:pPr>
            <w:r>
              <w:t>±</w:t>
            </w:r>
          </w:p>
        </w:tc>
        <w:tc>
          <w:tcPr>
            <w:tcW w:w="871" w:type="dxa"/>
            <w:tcBorders>
              <w:right w:val="single" w:sz="6" w:space="0" w:color="auto"/>
            </w:tcBorders>
            <w:vAlign w:val="center"/>
          </w:tcPr>
          <w:p w14:paraId="236802F5" w14:textId="77777777" w:rsidR="00CE7CD7" w:rsidRDefault="00CE7CD7" w:rsidP="00CE7CD7">
            <w:pPr>
              <w:spacing w:line="240" w:lineRule="auto"/>
              <w:jc w:val="left"/>
            </w:pPr>
            <w:r>
              <w:t>0.37</w:t>
            </w:r>
          </w:p>
        </w:tc>
        <w:tc>
          <w:tcPr>
            <w:tcW w:w="871" w:type="dxa"/>
            <w:tcBorders>
              <w:left w:val="single" w:sz="6" w:space="0" w:color="auto"/>
            </w:tcBorders>
            <w:vAlign w:val="center"/>
          </w:tcPr>
          <w:p w14:paraId="68463496" w14:textId="77777777" w:rsidR="00CE7CD7" w:rsidRDefault="00CE7CD7" w:rsidP="00CE7CD7">
            <w:pPr>
              <w:spacing w:line="240" w:lineRule="auto"/>
              <w:jc w:val="right"/>
            </w:pPr>
            <w:r>
              <w:t>26.69</w:t>
            </w:r>
          </w:p>
        </w:tc>
        <w:tc>
          <w:tcPr>
            <w:tcW w:w="360" w:type="dxa"/>
            <w:vAlign w:val="center"/>
          </w:tcPr>
          <w:p w14:paraId="685C588C" w14:textId="77777777" w:rsidR="00CE7CD7" w:rsidRDefault="00CE7CD7" w:rsidP="00CE7CD7">
            <w:pPr>
              <w:spacing w:line="240" w:lineRule="auto"/>
              <w:jc w:val="center"/>
            </w:pPr>
            <w:r>
              <w:t>±</w:t>
            </w:r>
          </w:p>
        </w:tc>
        <w:tc>
          <w:tcPr>
            <w:tcW w:w="871" w:type="dxa"/>
            <w:tcBorders>
              <w:right w:val="single" w:sz="6" w:space="0" w:color="auto"/>
            </w:tcBorders>
            <w:vAlign w:val="center"/>
          </w:tcPr>
          <w:p w14:paraId="39BDEEF1" w14:textId="77777777" w:rsidR="00CE7CD7" w:rsidRDefault="00CE7CD7" w:rsidP="00CE7CD7">
            <w:pPr>
              <w:spacing w:line="240" w:lineRule="auto"/>
              <w:jc w:val="left"/>
            </w:pPr>
            <w:r>
              <w:t>0.94</w:t>
            </w:r>
          </w:p>
        </w:tc>
        <w:tc>
          <w:tcPr>
            <w:tcW w:w="872" w:type="dxa"/>
            <w:tcBorders>
              <w:left w:val="single" w:sz="6" w:space="0" w:color="auto"/>
            </w:tcBorders>
            <w:vAlign w:val="center"/>
          </w:tcPr>
          <w:p w14:paraId="46846599" w14:textId="77777777" w:rsidR="00CE7CD7" w:rsidRDefault="00CE7CD7" w:rsidP="00CE7CD7">
            <w:pPr>
              <w:spacing w:line="240" w:lineRule="auto"/>
              <w:jc w:val="right"/>
            </w:pPr>
            <w:r>
              <w:t>49.72</w:t>
            </w:r>
          </w:p>
        </w:tc>
        <w:tc>
          <w:tcPr>
            <w:tcW w:w="360" w:type="dxa"/>
            <w:vAlign w:val="center"/>
          </w:tcPr>
          <w:p w14:paraId="603A7473" w14:textId="77777777" w:rsidR="00CE7CD7" w:rsidRDefault="00CE7CD7" w:rsidP="00CE7CD7">
            <w:pPr>
              <w:spacing w:line="240" w:lineRule="auto"/>
              <w:jc w:val="center"/>
            </w:pPr>
            <w:r>
              <w:t>±</w:t>
            </w:r>
          </w:p>
        </w:tc>
        <w:tc>
          <w:tcPr>
            <w:tcW w:w="872" w:type="dxa"/>
            <w:tcBorders>
              <w:right w:val="single" w:sz="6" w:space="0" w:color="auto"/>
            </w:tcBorders>
            <w:vAlign w:val="center"/>
          </w:tcPr>
          <w:p w14:paraId="3D923FC3" w14:textId="77777777" w:rsidR="00CE7CD7" w:rsidRDefault="00CE7CD7" w:rsidP="00CE7CD7">
            <w:pPr>
              <w:spacing w:line="240" w:lineRule="auto"/>
              <w:jc w:val="left"/>
            </w:pPr>
            <w:r>
              <w:t>0.76</w:t>
            </w:r>
          </w:p>
        </w:tc>
      </w:tr>
      <w:tr w:rsidR="00CE7CD7" w14:paraId="5F9ED308" w14:textId="77777777" w:rsidTr="00CE7CD7">
        <w:trPr>
          <w:cantSplit/>
          <w:trHeight w:val="360"/>
          <w:jc w:val="center"/>
        </w:trPr>
        <w:tc>
          <w:tcPr>
            <w:tcW w:w="871" w:type="dxa"/>
            <w:vMerge/>
            <w:tcBorders>
              <w:left w:val="single" w:sz="6" w:space="0" w:color="auto"/>
              <w:bottom w:val="single" w:sz="6" w:space="0" w:color="auto"/>
            </w:tcBorders>
            <w:vAlign w:val="center"/>
          </w:tcPr>
          <w:p w14:paraId="079D5AF7" w14:textId="77777777" w:rsidR="00CE7CD7" w:rsidRDefault="00CE7CD7" w:rsidP="00CE7CD7">
            <w:pPr>
              <w:spacing w:before="120" w:after="120" w:line="240" w:lineRule="auto"/>
              <w:jc w:val="center"/>
            </w:pPr>
          </w:p>
        </w:tc>
        <w:tc>
          <w:tcPr>
            <w:tcW w:w="1310" w:type="dxa"/>
            <w:tcBorders>
              <w:bottom w:val="single" w:sz="6" w:space="0" w:color="auto"/>
              <w:right w:val="single" w:sz="6" w:space="0" w:color="auto"/>
            </w:tcBorders>
            <w:vAlign w:val="center"/>
          </w:tcPr>
          <w:p w14:paraId="3AB77C50" w14:textId="77777777" w:rsidR="00CE7CD7" w:rsidRDefault="00CE7CD7" w:rsidP="00CE7CD7">
            <w:pPr>
              <w:spacing w:line="240" w:lineRule="auto"/>
              <w:jc w:val="center"/>
            </w:pPr>
            <w:r>
              <w:t>482.6</w:t>
            </w:r>
          </w:p>
        </w:tc>
        <w:tc>
          <w:tcPr>
            <w:tcW w:w="871" w:type="dxa"/>
            <w:tcBorders>
              <w:left w:val="single" w:sz="6" w:space="0" w:color="auto"/>
              <w:bottom w:val="single" w:sz="6" w:space="0" w:color="auto"/>
            </w:tcBorders>
            <w:vAlign w:val="center"/>
          </w:tcPr>
          <w:p w14:paraId="2C28E6F3" w14:textId="77777777" w:rsidR="00CE7CD7" w:rsidRDefault="00CE7CD7" w:rsidP="00CE7CD7">
            <w:pPr>
              <w:spacing w:line="240" w:lineRule="auto"/>
              <w:jc w:val="right"/>
            </w:pPr>
            <w:r>
              <w:t>28.68</w:t>
            </w:r>
          </w:p>
        </w:tc>
        <w:tc>
          <w:tcPr>
            <w:tcW w:w="360" w:type="dxa"/>
            <w:tcBorders>
              <w:bottom w:val="single" w:sz="6" w:space="0" w:color="auto"/>
            </w:tcBorders>
            <w:vAlign w:val="center"/>
          </w:tcPr>
          <w:p w14:paraId="3830C29B" w14:textId="77777777" w:rsidR="00CE7CD7" w:rsidRDefault="00CE7CD7" w:rsidP="00CE7CD7">
            <w:pPr>
              <w:spacing w:line="240" w:lineRule="auto"/>
              <w:jc w:val="center"/>
            </w:pPr>
            <w:r>
              <w:t>±</w:t>
            </w:r>
          </w:p>
        </w:tc>
        <w:tc>
          <w:tcPr>
            <w:tcW w:w="871" w:type="dxa"/>
            <w:tcBorders>
              <w:bottom w:val="single" w:sz="6" w:space="0" w:color="auto"/>
              <w:right w:val="single" w:sz="6" w:space="0" w:color="auto"/>
            </w:tcBorders>
            <w:vAlign w:val="center"/>
          </w:tcPr>
          <w:p w14:paraId="41A69557" w14:textId="77777777" w:rsidR="00CE7CD7" w:rsidRDefault="00CE7CD7" w:rsidP="00CE7CD7">
            <w:pPr>
              <w:spacing w:line="240" w:lineRule="auto"/>
              <w:jc w:val="left"/>
            </w:pPr>
            <w:r>
              <w:t>0.43</w:t>
            </w:r>
          </w:p>
        </w:tc>
        <w:tc>
          <w:tcPr>
            <w:tcW w:w="871" w:type="dxa"/>
            <w:tcBorders>
              <w:left w:val="single" w:sz="6" w:space="0" w:color="auto"/>
              <w:bottom w:val="single" w:sz="6" w:space="0" w:color="auto"/>
            </w:tcBorders>
            <w:vAlign w:val="center"/>
          </w:tcPr>
          <w:p w14:paraId="2EBC0D10" w14:textId="77777777" w:rsidR="00CE7CD7" w:rsidRDefault="00CE7CD7" w:rsidP="00CE7CD7">
            <w:pPr>
              <w:spacing w:line="240" w:lineRule="auto"/>
              <w:jc w:val="right"/>
            </w:pPr>
            <w:r>
              <w:t>28.32</w:t>
            </w:r>
          </w:p>
        </w:tc>
        <w:tc>
          <w:tcPr>
            <w:tcW w:w="360" w:type="dxa"/>
            <w:tcBorders>
              <w:bottom w:val="single" w:sz="6" w:space="0" w:color="auto"/>
            </w:tcBorders>
            <w:vAlign w:val="center"/>
          </w:tcPr>
          <w:p w14:paraId="7F4DEC36" w14:textId="77777777" w:rsidR="00CE7CD7" w:rsidRDefault="00CE7CD7" w:rsidP="00CE7CD7">
            <w:pPr>
              <w:spacing w:line="240" w:lineRule="auto"/>
              <w:jc w:val="center"/>
            </w:pPr>
            <w:r>
              <w:t>±</w:t>
            </w:r>
          </w:p>
        </w:tc>
        <w:tc>
          <w:tcPr>
            <w:tcW w:w="871" w:type="dxa"/>
            <w:tcBorders>
              <w:bottom w:val="single" w:sz="6" w:space="0" w:color="auto"/>
              <w:right w:val="single" w:sz="6" w:space="0" w:color="auto"/>
            </w:tcBorders>
            <w:vAlign w:val="center"/>
          </w:tcPr>
          <w:p w14:paraId="6B6BC5CE" w14:textId="77777777" w:rsidR="00CE7CD7" w:rsidRDefault="00CE7CD7" w:rsidP="00CE7CD7">
            <w:pPr>
              <w:spacing w:line="240" w:lineRule="auto"/>
              <w:jc w:val="left"/>
            </w:pPr>
            <w:r>
              <w:t>0.30</w:t>
            </w:r>
          </w:p>
        </w:tc>
        <w:tc>
          <w:tcPr>
            <w:tcW w:w="872" w:type="dxa"/>
            <w:tcBorders>
              <w:left w:val="single" w:sz="6" w:space="0" w:color="auto"/>
              <w:bottom w:val="single" w:sz="6" w:space="0" w:color="auto"/>
            </w:tcBorders>
            <w:vAlign w:val="center"/>
          </w:tcPr>
          <w:p w14:paraId="20906926" w14:textId="77777777" w:rsidR="00CE7CD7" w:rsidRDefault="00CE7CD7" w:rsidP="00CE7CD7">
            <w:pPr>
              <w:spacing w:line="240" w:lineRule="auto"/>
              <w:jc w:val="right"/>
            </w:pPr>
            <w:r>
              <w:t>53.30</w:t>
            </w:r>
          </w:p>
        </w:tc>
        <w:tc>
          <w:tcPr>
            <w:tcW w:w="360" w:type="dxa"/>
            <w:tcBorders>
              <w:bottom w:val="single" w:sz="6" w:space="0" w:color="auto"/>
            </w:tcBorders>
            <w:vAlign w:val="center"/>
          </w:tcPr>
          <w:p w14:paraId="5F1E8D47" w14:textId="77777777" w:rsidR="00CE7CD7" w:rsidRDefault="00CE7CD7" w:rsidP="00CE7CD7">
            <w:pPr>
              <w:spacing w:line="240" w:lineRule="auto"/>
              <w:jc w:val="center"/>
            </w:pPr>
            <w:r>
              <w:t>±</w:t>
            </w:r>
          </w:p>
        </w:tc>
        <w:tc>
          <w:tcPr>
            <w:tcW w:w="872" w:type="dxa"/>
            <w:tcBorders>
              <w:bottom w:val="single" w:sz="6" w:space="0" w:color="auto"/>
              <w:right w:val="single" w:sz="6" w:space="0" w:color="auto"/>
            </w:tcBorders>
            <w:vAlign w:val="center"/>
          </w:tcPr>
          <w:p w14:paraId="321EB8A8" w14:textId="77777777" w:rsidR="00CE7CD7" w:rsidRDefault="00CE7CD7" w:rsidP="00CE7CD7">
            <w:pPr>
              <w:spacing w:line="240" w:lineRule="auto"/>
              <w:jc w:val="left"/>
            </w:pPr>
            <w:r>
              <w:t>2.60</w:t>
            </w:r>
          </w:p>
        </w:tc>
      </w:tr>
      <w:tr w:rsidR="00CE7CD7" w14:paraId="530B7C4C" w14:textId="77777777" w:rsidTr="00CE7CD7">
        <w:trPr>
          <w:cantSplit/>
          <w:trHeight w:val="360"/>
          <w:jc w:val="center"/>
        </w:trPr>
        <w:tc>
          <w:tcPr>
            <w:tcW w:w="871" w:type="dxa"/>
            <w:vMerge w:val="restart"/>
            <w:tcBorders>
              <w:top w:val="single" w:sz="6" w:space="0" w:color="auto"/>
              <w:left w:val="single" w:sz="6" w:space="0" w:color="auto"/>
            </w:tcBorders>
            <w:textDirection w:val="btLr"/>
            <w:vAlign w:val="center"/>
          </w:tcPr>
          <w:p w14:paraId="6B12B71D" w14:textId="77777777" w:rsidR="00CE7CD7" w:rsidRDefault="00CE7CD7" w:rsidP="00CE7CD7">
            <w:pPr>
              <w:spacing w:before="120" w:after="120" w:line="240" w:lineRule="auto"/>
              <w:ind w:left="113" w:right="113"/>
              <w:jc w:val="center"/>
            </w:pPr>
            <w:r>
              <w:t>99% RH</w:t>
            </w:r>
          </w:p>
        </w:tc>
        <w:tc>
          <w:tcPr>
            <w:tcW w:w="1310" w:type="dxa"/>
            <w:tcBorders>
              <w:top w:val="single" w:sz="6" w:space="0" w:color="auto"/>
              <w:right w:val="single" w:sz="6" w:space="0" w:color="auto"/>
            </w:tcBorders>
            <w:vAlign w:val="center"/>
          </w:tcPr>
          <w:p w14:paraId="4807D23D" w14:textId="77777777" w:rsidR="00CE7CD7" w:rsidRDefault="00CE7CD7" w:rsidP="00CE7CD7">
            <w:pPr>
              <w:spacing w:line="240" w:lineRule="auto"/>
              <w:jc w:val="center"/>
            </w:pPr>
            <w:r>
              <w:t>68.9</w:t>
            </w:r>
          </w:p>
        </w:tc>
        <w:tc>
          <w:tcPr>
            <w:tcW w:w="871" w:type="dxa"/>
            <w:tcBorders>
              <w:top w:val="single" w:sz="6" w:space="0" w:color="auto"/>
              <w:left w:val="single" w:sz="6" w:space="0" w:color="auto"/>
            </w:tcBorders>
            <w:vAlign w:val="center"/>
          </w:tcPr>
          <w:p w14:paraId="6F194DFE" w14:textId="77777777" w:rsidR="00CE7CD7" w:rsidRDefault="00CE7CD7" w:rsidP="00CE7CD7">
            <w:pPr>
              <w:spacing w:line="240" w:lineRule="auto"/>
              <w:jc w:val="right"/>
            </w:pPr>
            <w:r>
              <w:t>22.79</w:t>
            </w:r>
          </w:p>
        </w:tc>
        <w:tc>
          <w:tcPr>
            <w:tcW w:w="360" w:type="dxa"/>
            <w:tcBorders>
              <w:top w:val="single" w:sz="6" w:space="0" w:color="auto"/>
            </w:tcBorders>
            <w:vAlign w:val="center"/>
          </w:tcPr>
          <w:p w14:paraId="38D1EF54" w14:textId="77777777" w:rsidR="00CE7CD7" w:rsidRDefault="00CE7CD7" w:rsidP="00CE7CD7">
            <w:pPr>
              <w:spacing w:line="240" w:lineRule="auto"/>
              <w:jc w:val="center"/>
            </w:pPr>
            <w:r>
              <w:t>±</w:t>
            </w:r>
          </w:p>
        </w:tc>
        <w:tc>
          <w:tcPr>
            <w:tcW w:w="871" w:type="dxa"/>
            <w:tcBorders>
              <w:top w:val="single" w:sz="6" w:space="0" w:color="auto"/>
              <w:right w:val="single" w:sz="6" w:space="0" w:color="auto"/>
            </w:tcBorders>
            <w:vAlign w:val="center"/>
          </w:tcPr>
          <w:p w14:paraId="68D72C46" w14:textId="77777777" w:rsidR="00CE7CD7" w:rsidRDefault="00CE7CD7" w:rsidP="00CE7CD7">
            <w:pPr>
              <w:spacing w:line="240" w:lineRule="auto"/>
              <w:jc w:val="left"/>
            </w:pPr>
            <w:r>
              <w:t>1.06</w:t>
            </w:r>
          </w:p>
        </w:tc>
        <w:tc>
          <w:tcPr>
            <w:tcW w:w="871" w:type="dxa"/>
            <w:tcBorders>
              <w:top w:val="single" w:sz="6" w:space="0" w:color="auto"/>
              <w:left w:val="single" w:sz="6" w:space="0" w:color="auto"/>
            </w:tcBorders>
            <w:vAlign w:val="center"/>
          </w:tcPr>
          <w:p w14:paraId="21CA7391" w14:textId="77777777" w:rsidR="00CE7CD7" w:rsidRDefault="00CE7CD7" w:rsidP="00CE7CD7">
            <w:pPr>
              <w:spacing w:line="240" w:lineRule="auto"/>
              <w:jc w:val="right"/>
            </w:pPr>
            <w:r>
              <w:t>21.31</w:t>
            </w:r>
          </w:p>
        </w:tc>
        <w:tc>
          <w:tcPr>
            <w:tcW w:w="360" w:type="dxa"/>
            <w:tcBorders>
              <w:top w:val="single" w:sz="6" w:space="0" w:color="auto"/>
            </w:tcBorders>
            <w:vAlign w:val="center"/>
          </w:tcPr>
          <w:p w14:paraId="6EC037FF" w14:textId="77777777" w:rsidR="00CE7CD7" w:rsidRDefault="00CE7CD7" w:rsidP="00CE7CD7">
            <w:pPr>
              <w:spacing w:line="240" w:lineRule="auto"/>
              <w:jc w:val="center"/>
            </w:pPr>
            <w:r>
              <w:t>±</w:t>
            </w:r>
          </w:p>
        </w:tc>
        <w:tc>
          <w:tcPr>
            <w:tcW w:w="871" w:type="dxa"/>
            <w:tcBorders>
              <w:top w:val="single" w:sz="6" w:space="0" w:color="auto"/>
              <w:right w:val="single" w:sz="6" w:space="0" w:color="auto"/>
            </w:tcBorders>
            <w:vAlign w:val="center"/>
          </w:tcPr>
          <w:p w14:paraId="5F3125ED" w14:textId="77777777" w:rsidR="00CE7CD7" w:rsidRDefault="00CE7CD7" w:rsidP="00CE7CD7">
            <w:pPr>
              <w:spacing w:line="240" w:lineRule="auto"/>
              <w:jc w:val="left"/>
            </w:pPr>
            <w:r>
              <w:t>1.07</w:t>
            </w:r>
          </w:p>
        </w:tc>
        <w:tc>
          <w:tcPr>
            <w:tcW w:w="872" w:type="dxa"/>
            <w:tcBorders>
              <w:top w:val="single" w:sz="6" w:space="0" w:color="auto"/>
              <w:left w:val="single" w:sz="6" w:space="0" w:color="auto"/>
            </w:tcBorders>
            <w:vAlign w:val="center"/>
          </w:tcPr>
          <w:p w14:paraId="7B88CB56" w14:textId="77777777" w:rsidR="00CE7CD7" w:rsidRDefault="00CE7CD7" w:rsidP="00CE7CD7">
            <w:pPr>
              <w:spacing w:line="240" w:lineRule="auto"/>
              <w:jc w:val="right"/>
            </w:pPr>
            <w:r>
              <w:t>42.85</w:t>
            </w:r>
          </w:p>
        </w:tc>
        <w:tc>
          <w:tcPr>
            <w:tcW w:w="360" w:type="dxa"/>
            <w:tcBorders>
              <w:top w:val="single" w:sz="6" w:space="0" w:color="auto"/>
            </w:tcBorders>
            <w:vAlign w:val="center"/>
          </w:tcPr>
          <w:p w14:paraId="49EDA511" w14:textId="77777777" w:rsidR="00CE7CD7" w:rsidRDefault="00CE7CD7" w:rsidP="00CE7CD7">
            <w:pPr>
              <w:spacing w:line="240" w:lineRule="auto"/>
              <w:jc w:val="center"/>
            </w:pPr>
            <w:r>
              <w:t>±</w:t>
            </w:r>
          </w:p>
        </w:tc>
        <w:tc>
          <w:tcPr>
            <w:tcW w:w="872" w:type="dxa"/>
            <w:tcBorders>
              <w:top w:val="single" w:sz="6" w:space="0" w:color="auto"/>
              <w:right w:val="single" w:sz="6" w:space="0" w:color="auto"/>
            </w:tcBorders>
            <w:vAlign w:val="center"/>
          </w:tcPr>
          <w:p w14:paraId="3CE25CB6" w14:textId="77777777" w:rsidR="00CE7CD7" w:rsidRDefault="00CE7CD7" w:rsidP="00CE7CD7">
            <w:pPr>
              <w:spacing w:line="240" w:lineRule="auto"/>
              <w:jc w:val="left"/>
            </w:pPr>
            <w:r>
              <w:t>1.25</w:t>
            </w:r>
          </w:p>
        </w:tc>
      </w:tr>
      <w:tr w:rsidR="00CE7CD7" w14:paraId="7D4EB36A" w14:textId="77777777" w:rsidTr="00CE7CD7">
        <w:trPr>
          <w:cantSplit/>
          <w:trHeight w:val="360"/>
          <w:jc w:val="center"/>
        </w:trPr>
        <w:tc>
          <w:tcPr>
            <w:tcW w:w="871" w:type="dxa"/>
            <w:vMerge/>
            <w:tcBorders>
              <w:left w:val="single" w:sz="6" w:space="0" w:color="auto"/>
            </w:tcBorders>
            <w:vAlign w:val="center"/>
          </w:tcPr>
          <w:p w14:paraId="7AAC42B4" w14:textId="77777777" w:rsidR="00CE7CD7" w:rsidRDefault="00CE7CD7" w:rsidP="00CE7CD7">
            <w:pPr>
              <w:spacing w:before="120" w:after="120" w:line="240" w:lineRule="auto"/>
              <w:jc w:val="center"/>
            </w:pPr>
          </w:p>
        </w:tc>
        <w:tc>
          <w:tcPr>
            <w:tcW w:w="1310" w:type="dxa"/>
            <w:tcBorders>
              <w:right w:val="single" w:sz="6" w:space="0" w:color="auto"/>
            </w:tcBorders>
            <w:vAlign w:val="center"/>
          </w:tcPr>
          <w:p w14:paraId="3D87DE17" w14:textId="77777777" w:rsidR="00CE7CD7" w:rsidRDefault="00CE7CD7" w:rsidP="00CE7CD7">
            <w:pPr>
              <w:spacing w:line="240" w:lineRule="auto"/>
              <w:jc w:val="center"/>
            </w:pPr>
            <w:r>
              <w:t>206.8</w:t>
            </w:r>
          </w:p>
        </w:tc>
        <w:tc>
          <w:tcPr>
            <w:tcW w:w="871" w:type="dxa"/>
            <w:tcBorders>
              <w:left w:val="single" w:sz="6" w:space="0" w:color="auto"/>
            </w:tcBorders>
            <w:vAlign w:val="center"/>
          </w:tcPr>
          <w:p w14:paraId="205FE502" w14:textId="77777777" w:rsidR="00CE7CD7" w:rsidRDefault="00CE7CD7" w:rsidP="00CE7CD7">
            <w:pPr>
              <w:spacing w:line="240" w:lineRule="auto"/>
              <w:jc w:val="right"/>
            </w:pPr>
            <w:r>
              <w:t>26.67</w:t>
            </w:r>
          </w:p>
        </w:tc>
        <w:tc>
          <w:tcPr>
            <w:tcW w:w="360" w:type="dxa"/>
            <w:vAlign w:val="center"/>
          </w:tcPr>
          <w:p w14:paraId="19E1509A" w14:textId="77777777" w:rsidR="00CE7CD7" w:rsidRDefault="00CE7CD7" w:rsidP="00CE7CD7">
            <w:pPr>
              <w:spacing w:line="240" w:lineRule="auto"/>
              <w:jc w:val="center"/>
            </w:pPr>
            <w:r>
              <w:t>±</w:t>
            </w:r>
          </w:p>
        </w:tc>
        <w:tc>
          <w:tcPr>
            <w:tcW w:w="871" w:type="dxa"/>
            <w:tcBorders>
              <w:right w:val="single" w:sz="6" w:space="0" w:color="auto"/>
            </w:tcBorders>
            <w:vAlign w:val="center"/>
          </w:tcPr>
          <w:p w14:paraId="73DDD35F" w14:textId="77777777" w:rsidR="00CE7CD7" w:rsidRDefault="00CE7CD7" w:rsidP="00CE7CD7">
            <w:pPr>
              <w:spacing w:line="240" w:lineRule="auto"/>
              <w:jc w:val="left"/>
            </w:pPr>
            <w:r>
              <w:t>0.80</w:t>
            </w:r>
          </w:p>
        </w:tc>
        <w:tc>
          <w:tcPr>
            <w:tcW w:w="871" w:type="dxa"/>
            <w:tcBorders>
              <w:left w:val="single" w:sz="6" w:space="0" w:color="auto"/>
            </w:tcBorders>
            <w:vAlign w:val="center"/>
          </w:tcPr>
          <w:p w14:paraId="2002E2E4" w14:textId="77777777" w:rsidR="00CE7CD7" w:rsidRDefault="00CE7CD7" w:rsidP="00CE7CD7">
            <w:pPr>
              <w:spacing w:line="240" w:lineRule="auto"/>
              <w:jc w:val="right"/>
            </w:pPr>
            <w:r>
              <w:t>24.75</w:t>
            </w:r>
          </w:p>
        </w:tc>
        <w:tc>
          <w:tcPr>
            <w:tcW w:w="360" w:type="dxa"/>
            <w:vAlign w:val="center"/>
          </w:tcPr>
          <w:p w14:paraId="29C71694" w14:textId="77777777" w:rsidR="00CE7CD7" w:rsidRDefault="00CE7CD7" w:rsidP="00CE7CD7">
            <w:pPr>
              <w:spacing w:line="240" w:lineRule="auto"/>
              <w:jc w:val="center"/>
            </w:pPr>
            <w:r>
              <w:t>±</w:t>
            </w:r>
          </w:p>
        </w:tc>
        <w:tc>
          <w:tcPr>
            <w:tcW w:w="871" w:type="dxa"/>
            <w:tcBorders>
              <w:right w:val="single" w:sz="6" w:space="0" w:color="auto"/>
            </w:tcBorders>
            <w:vAlign w:val="center"/>
          </w:tcPr>
          <w:p w14:paraId="55B9E5C2" w14:textId="77777777" w:rsidR="00CE7CD7" w:rsidRDefault="00CE7CD7" w:rsidP="00CE7CD7">
            <w:pPr>
              <w:spacing w:line="240" w:lineRule="auto"/>
              <w:jc w:val="left"/>
            </w:pPr>
            <w:r>
              <w:t>1.25</w:t>
            </w:r>
          </w:p>
        </w:tc>
        <w:tc>
          <w:tcPr>
            <w:tcW w:w="872" w:type="dxa"/>
            <w:tcBorders>
              <w:left w:val="single" w:sz="6" w:space="0" w:color="auto"/>
            </w:tcBorders>
            <w:vAlign w:val="center"/>
          </w:tcPr>
          <w:p w14:paraId="57B033F1" w14:textId="77777777" w:rsidR="00CE7CD7" w:rsidRDefault="00CE7CD7" w:rsidP="00CE7CD7">
            <w:pPr>
              <w:spacing w:line="240" w:lineRule="auto"/>
              <w:jc w:val="right"/>
            </w:pPr>
            <w:r>
              <w:t>50.69</w:t>
            </w:r>
          </w:p>
        </w:tc>
        <w:tc>
          <w:tcPr>
            <w:tcW w:w="360" w:type="dxa"/>
            <w:vAlign w:val="center"/>
          </w:tcPr>
          <w:p w14:paraId="1DC5970B" w14:textId="77777777" w:rsidR="00CE7CD7" w:rsidRDefault="00CE7CD7" w:rsidP="00CE7CD7">
            <w:pPr>
              <w:spacing w:line="240" w:lineRule="auto"/>
              <w:jc w:val="center"/>
            </w:pPr>
            <w:r>
              <w:t>±</w:t>
            </w:r>
          </w:p>
        </w:tc>
        <w:tc>
          <w:tcPr>
            <w:tcW w:w="872" w:type="dxa"/>
            <w:tcBorders>
              <w:right w:val="single" w:sz="6" w:space="0" w:color="auto"/>
            </w:tcBorders>
            <w:vAlign w:val="center"/>
          </w:tcPr>
          <w:p w14:paraId="40404974" w14:textId="77777777" w:rsidR="00CE7CD7" w:rsidRDefault="00CE7CD7" w:rsidP="00CE7CD7">
            <w:pPr>
              <w:spacing w:line="240" w:lineRule="auto"/>
              <w:jc w:val="left"/>
            </w:pPr>
            <w:r>
              <w:t>1.37</w:t>
            </w:r>
          </w:p>
        </w:tc>
      </w:tr>
      <w:tr w:rsidR="00CE7CD7" w14:paraId="0672E576" w14:textId="77777777" w:rsidTr="00CE7CD7">
        <w:trPr>
          <w:cantSplit/>
          <w:trHeight w:val="360"/>
          <w:jc w:val="center"/>
        </w:trPr>
        <w:tc>
          <w:tcPr>
            <w:tcW w:w="871" w:type="dxa"/>
            <w:vMerge/>
            <w:tcBorders>
              <w:left w:val="single" w:sz="6" w:space="0" w:color="auto"/>
            </w:tcBorders>
            <w:vAlign w:val="center"/>
          </w:tcPr>
          <w:p w14:paraId="4F45E643" w14:textId="77777777" w:rsidR="00CE7CD7" w:rsidRDefault="00CE7CD7" w:rsidP="00CE7CD7">
            <w:pPr>
              <w:spacing w:before="120" w:after="120" w:line="240" w:lineRule="auto"/>
              <w:jc w:val="center"/>
            </w:pPr>
          </w:p>
        </w:tc>
        <w:tc>
          <w:tcPr>
            <w:tcW w:w="1310" w:type="dxa"/>
            <w:tcBorders>
              <w:right w:val="single" w:sz="6" w:space="0" w:color="auto"/>
            </w:tcBorders>
            <w:vAlign w:val="center"/>
          </w:tcPr>
          <w:p w14:paraId="479F82D0" w14:textId="77777777" w:rsidR="00CE7CD7" w:rsidRDefault="00CE7CD7" w:rsidP="00CE7CD7">
            <w:pPr>
              <w:spacing w:line="240" w:lineRule="auto"/>
              <w:jc w:val="center"/>
            </w:pPr>
            <w:r>
              <w:t>344.7</w:t>
            </w:r>
          </w:p>
        </w:tc>
        <w:tc>
          <w:tcPr>
            <w:tcW w:w="871" w:type="dxa"/>
            <w:tcBorders>
              <w:left w:val="single" w:sz="6" w:space="0" w:color="auto"/>
            </w:tcBorders>
            <w:vAlign w:val="center"/>
          </w:tcPr>
          <w:p w14:paraId="4D6A43AC" w14:textId="77777777" w:rsidR="00CE7CD7" w:rsidRDefault="00CE7CD7" w:rsidP="00CE7CD7">
            <w:pPr>
              <w:spacing w:line="240" w:lineRule="auto"/>
              <w:jc w:val="right"/>
            </w:pPr>
            <w:r>
              <w:t>28.58</w:t>
            </w:r>
          </w:p>
        </w:tc>
        <w:tc>
          <w:tcPr>
            <w:tcW w:w="360" w:type="dxa"/>
            <w:vAlign w:val="center"/>
          </w:tcPr>
          <w:p w14:paraId="00B2FCB9" w14:textId="77777777" w:rsidR="00CE7CD7" w:rsidRDefault="00CE7CD7" w:rsidP="00CE7CD7">
            <w:pPr>
              <w:spacing w:line="240" w:lineRule="auto"/>
              <w:jc w:val="center"/>
            </w:pPr>
            <w:r>
              <w:t>±</w:t>
            </w:r>
          </w:p>
        </w:tc>
        <w:tc>
          <w:tcPr>
            <w:tcW w:w="871" w:type="dxa"/>
            <w:tcBorders>
              <w:right w:val="single" w:sz="6" w:space="0" w:color="auto"/>
            </w:tcBorders>
            <w:vAlign w:val="center"/>
          </w:tcPr>
          <w:p w14:paraId="6D95F383" w14:textId="77777777" w:rsidR="00CE7CD7" w:rsidRDefault="00CE7CD7" w:rsidP="00CE7CD7">
            <w:pPr>
              <w:spacing w:line="240" w:lineRule="auto"/>
              <w:jc w:val="left"/>
            </w:pPr>
            <w:r>
              <w:t>0.92</w:t>
            </w:r>
          </w:p>
        </w:tc>
        <w:tc>
          <w:tcPr>
            <w:tcW w:w="871" w:type="dxa"/>
            <w:tcBorders>
              <w:left w:val="single" w:sz="6" w:space="0" w:color="auto"/>
            </w:tcBorders>
            <w:vAlign w:val="center"/>
          </w:tcPr>
          <w:p w14:paraId="2CABCC2C" w14:textId="77777777" w:rsidR="00CE7CD7" w:rsidRDefault="00CE7CD7" w:rsidP="00CE7CD7">
            <w:pPr>
              <w:spacing w:line="240" w:lineRule="auto"/>
              <w:jc w:val="right"/>
            </w:pPr>
            <w:r>
              <w:t>26.41</w:t>
            </w:r>
          </w:p>
        </w:tc>
        <w:tc>
          <w:tcPr>
            <w:tcW w:w="360" w:type="dxa"/>
            <w:vAlign w:val="center"/>
          </w:tcPr>
          <w:p w14:paraId="55C4826F" w14:textId="77777777" w:rsidR="00CE7CD7" w:rsidRDefault="00CE7CD7" w:rsidP="00CE7CD7">
            <w:pPr>
              <w:spacing w:line="240" w:lineRule="auto"/>
              <w:jc w:val="center"/>
            </w:pPr>
            <w:r>
              <w:t>±</w:t>
            </w:r>
          </w:p>
        </w:tc>
        <w:tc>
          <w:tcPr>
            <w:tcW w:w="871" w:type="dxa"/>
            <w:tcBorders>
              <w:right w:val="single" w:sz="6" w:space="0" w:color="auto"/>
            </w:tcBorders>
            <w:vAlign w:val="center"/>
          </w:tcPr>
          <w:p w14:paraId="6ECCBCFB" w14:textId="77777777" w:rsidR="00CE7CD7" w:rsidRDefault="00CE7CD7" w:rsidP="00CE7CD7">
            <w:pPr>
              <w:spacing w:line="240" w:lineRule="auto"/>
              <w:jc w:val="left"/>
            </w:pPr>
            <w:r>
              <w:t>0.61</w:t>
            </w:r>
          </w:p>
        </w:tc>
        <w:tc>
          <w:tcPr>
            <w:tcW w:w="872" w:type="dxa"/>
            <w:tcBorders>
              <w:left w:val="single" w:sz="6" w:space="0" w:color="auto"/>
            </w:tcBorders>
            <w:vAlign w:val="center"/>
          </w:tcPr>
          <w:p w14:paraId="3F7ACF29" w14:textId="77777777" w:rsidR="00CE7CD7" w:rsidRDefault="00CE7CD7" w:rsidP="00CE7CD7">
            <w:pPr>
              <w:spacing w:line="240" w:lineRule="auto"/>
              <w:jc w:val="right"/>
            </w:pPr>
            <w:r>
              <w:t>50.70</w:t>
            </w:r>
          </w:p>
        </w:tc>
        <w:tc>
          <w:tcPr>
            <w:tcW w:w="360" w:type="dxa"/>
            <w:vAlign w:val="center"/>
          </w:tcPr>
          <w:p w14:paraId="656A39F9" w14:textId="77777777" w:rsidR="00CE7CD7" w:rsidRDefault="00CE7CD7" w:rsidP="00CE7CD7">
            <w:pPr>
              <w:spacing w:line="240" w:lineRule="auto"/>
              <w:jc w:val="center"/>
            </w:pPr>
            <w:r>
              <w:t>±</w:t>
            </w:r>
          </w:p>
        </w:tc>
        <w:tc>
          <w:tcPr>
            <w:tcW w:w="872" w:type="dxa"/>
            <w:tcBorders>
              <w:right w:val="single" w:sz="6" w:space="0" w:color="auto"/>
            </w:tcBorders>
            <w:vAlign w:val="center"/>
          </w:tcPr>
          <w:p w14:paraId="373EFCBE" w14:textId="77777777" w:rsidR="00CE7CD7" w:rsidRDefault="00CE7CD7" w:rsidP="00CE7CD7">
            <w:pPr>
              <w:spacing w:line="240" w:lineRule="auto"/>
              <w:jc w:val="left"/>
            </w:pPr>
            <w:r>
              <w:t>1.55</w:t>
            </w:r>
          </w:p>
        </w:tc>
      </w:tr>
      <w:tr w:rsidR="00CE7CD7" w14:paraId="3ECF5D61" w14:textId="77777777" w:rsidTr="00CE7CD7">
        <w:trPr>
          <w:cantSplit/>
          <w:trHeight w:val="360"/>
          <w:jc w:val="center"/>
        </w:trPr>
        <w:tc>
          <w:tcPr>
            <w:tcW w:w="871" w:type="dxa"/>
            <w:vMerge/>
            <w:tcBorders>
              <w:left w:val="single" w:sz="6" w:space="0" w:color="auto"/>
              <w:bottom w:val="single" w:sz="18" w:space="0" w:color="auto"/>
            </w:tcBorders>
            <w:vAlign w:val="center"/>
          </w:tcPr>
          <w:p w14:paraId="00D98A95" w14:textId="77777777" w:rsidR="00CE7CD7" w:rsidRDefault="00CE7CD7" w:rsidP="00CE7CD7">
            <w:pPr>
              <w:spacing w:before="120" w:after="120" w:line="240" w:lineRule="auto"/>
              <w:jc w:val="center"/>
            </w:pPr>
          </w:p>
        </w:tc>
        <w:tc>
          <w:tcPr>
            <w:tcW w:w="1310" w:type="dxa"/>
            <w:tcBorders>
              <w:bottom w:val="single" w:sz="18" w:space="0" w:color="auto"/>
              <w:right w:val="single" w:sz="6" w:space="0" w:color="auto"/>
            </w:tcBorders>
            <w:vAlign w:val="center"/>
          </w:tcPr>
          <w:p w14:paraId="34A617C6" w14:textId="77777777" w:rsidR="00CE7CD7" w:rsidRDefault="00CE7CD7" w:rsidP="00CE7CD7">
            <w:pPr>
              <w:spacing w:line="240" w:lineRule="auto"/>
              <w:jc w:val="center"/>
            </w:pPr>
            <w:r>
              <w:t>482.6</w:t>
            </w:r>
          </w:p>
        </w:tc>
        <w:tc>
          <w:tcPr>
            <w:tcW w:w="871" w:type="dxa"/>
            <w:tcBorders>
              <w:left w:val="single" w:sz="6" w:space="0" w:color="auto"/>
              <w:bottom w:val="single" w:sz="18" w:space="0" w:color="auto"/>
            </w:tcBorders>
            <w:vAlign w:val="center"/>
          </w:tcPr>
          <w:p w14:paraId="62EACFC2" w14:textId="77777777" w:rsidR="00CE7CD7" w:rsidRDefault="00CE7CD7" w:rsidP="00CE7CD7">
            <w:pPr>
              <w:spacing w:line="240" w:lineRule="auto"/>
              <w:jc w:val="right"/>
            </w:pPr>
            <w:r>
              <w:t>29.30</w:t>
            </w:r>
          </w:p>
        </w:tc>
        <w:tc>
          <w:tcPr>
            <w:tcW w:w="360" w:type="dxa"/>
            <w:tcBorders>
              <w:bottom w:val="single" w:sz="18" w:space="0" w:color="auto"/>
            </w:tcBorders>
            <w:vAlign w:val="center"/>
          </w:tcPr>
          <w:p w14:paraId="65314018" w14:textId="77777777" w:rsidR="00CE7CD7" w:rsidRDefault="00CE7CD7" w:rsidP="00CE7CD7">
            <w:pPr>
              <w:spacing w:line="240" w:lineRule="auto"/>
              <w:jc w:val="center"/>
            </w:pPr>
            <w:r>
              <w:t>±</w:t>
            </w:r>
          </w:p>
        </w:tc>
        <w:tc>
          <w:tcPr>
            <w:tcW w:w="871" w:type="dxa"/>
            <w:tcBorders>
              <w:bottom w:val="single" w:sz="18" w:space="0" w:color="auto"/>
              <w:right w:val="single" w:sz="6" w:space="0" w:color="auto"/>
            </w:tcBorders>
            <w:vAlign w:val="center"/>
          </w:tcPr>
          <w:p w14:paraId="2D74CF8E" w14:textId="77777777" w:rsidR="00CE7CD7" w:rsidRDefault="00CE7CD7" w:rsidP="00CE7CD7">
            <w:pPr>
              <w:spacing w:line="240" w:lineRule="auto"/>
              <w:jc w:val="left"/>
            </w:pPr>
            <w:r>
              <w:t>0.39</w:t>
            </w:r>
          </w:p>
        </w:tc>
        <w:tc>
          <w:tcPr>
            <w:tcW w:w="871" w:type="dxa"/>
            <w:tcBorders>
              <w:left w:val="single" w:sz="6" w:space="0" w:color="auto"/>
              <w:bottom w:val="single" w:sz="18" w:space="0" w:color="auto"/>
            </w:tcBorders>
            <w:vAlign w:val="center"/>
          </w:tcPr>
          <w:p w14:paraId="754B5792" w14:textId="77777777" w:rsidR="00CE7CD7" w:rsidRDefault="00CE7CD7" w:rsidP="00CE7CD7">
            <w:pPr>
              <w:spacing w:line="240" w:lineRule="auto"/>
              <w:jc w:val="right"/>
            </w:pPr>
            <w:r>
              <w:t>27.66</w:t>
            </w:r>
          </w:p>
        </w:tc>
        <w:tc>
          <w:tcPr>
            <w:tcW w:w="360" w:type="dxa"/>
            <w:tcBorders>
              <w:bottom w:val="single" w:sz="18" w:space="0" w:color="auto"/>
            </w:tcBorders>
            <w:vAlign w:val="center"/>
          </w:tcPr>
          <w:p w14:paraId="666B65D6" w14:textId="77777777" w:rsidR="00CE7CD7" w:rsidRDefault="00CE7CD7" w:rsidP="00CE7CD7">
            <w:pPr>
              <w:spacing w:line="240" w:lineRule="auto"/>
              <w:jc w:val="center"/>
            </w:pPr>
            <w:r>
              <w:t>±</w:t>
            </w:r>
          </w:p>
        </w:tc>
        <w:tc>
          <w:tcPr>
            <w:tcW w:w="871" w:type="dxa"/>
            <w:tcBorders>
              <w:bottom w:val="single" w:sz="18" w:space="0" w:color="auto"/>
              <w:right w:val="single" w:sz="6" w:space="0" w:color="auto"/>
            </w:tcBorders>
            <w:vAlign w:val="center"/>
          </w:tcPr>
          <w:p w14:paraId="412EAEDD" w14:textId="77777777" w:rsidR="00CE7CD7" w:rsidRDefault="00CE7CD7" w:rsidP="00CE7CD7">
            <w:pPr>
              <w:spacing w:line="240" w:lineRule="auto"/>
              <w:jc w:val="left"/>
            </w:pPr>
            <w:r>
              <w:t>0.46</w:t>
            </w:r>
          </w:p>
        </w:tc>
        <w:tc>
          <w:tcPr>
            <w:tcW w:w="872" w:type="dxa"/>
            <w:tcBorders>
              <w:left w:val="single" w:sz="6" w:space="0" w:color="auto"/>
              <w:bottom w:val="single" w:sz="18" w:space="0" w:color="auto"/>
            </w:tcBorders>
            <w:vAlign w:val="center"/>
          </w:tcPr>
          <w:p w14:paraId="36F7323F" w14:textId="77777777" w:rsidR="00CE7CD7" w:rsidRDefault="00CE7CD7" w:rsidP="00CE7CD7">
            <w:pPr>
              <w:spacing w:line="240" w:lineRule="auto"/>
              <w:jc w:val="right"/>
            </w:pPr>
            <w:r>
              <w:t>51.76</w:t>
            </w:r>
          </w:p>
        </w:tc>
        <w:tc>
          <w:tcPr>
            <w:tcW w:w="360" w:type="dxa"/>
            <w:tcBorders>
              <w:bottom w:val="single" w:sz="18" w:space="0" w:color="auto"/>
            </w:tcBorders>
            <w:vAlign w:val="center"/>
          </w:tcPr>
          <w:p w14:paraId="444F6C2F" w14:textId="77777777" w:rsidR="00CE7CD7" w:rsidRDefault="00CE7CD7" w:rsidP="00CE7CD7">
            <w:pPr>
              <w:spacing w:line="240" w:lineRule="auto"/>
              <w:jc w:val="center"/>
            </w:pPr>
            <w:r>
              <w:t>±</w:t>
            </w:r>
          </w:p>
        </w:tc>
        <w:tc>
          <w:tcPr>
            <w:tcW w:w="872" w:type="dxa"/>
            <w:tcBorders>
              <w:bottom w:val="single" w:sz="18" w:space="0" w:color="auto"/>
              <w:right w:val="single" w:sz="6" w:space="0" w:color="auto"/>
            </w:tcBorders>
            <w:vAlign w:val="center"/>
          </w:tcPr>
          <w:p w14:paraId="35F623FC" w14:textId="77777777" w:rsidR="00CE7CD7" w:rsidRDefault="00CE7CD7" w:rsidP="00CE7CD7">
            <w:pPr>
              <w:spacing w:line="240" w:lineRule="auto"/>
              <w:jc w:val="left"/>
            </w:pPr>
            <w:r>
              <w:t>1.59</w:t>
            </w:r>
          </w:p>
        </w:tc>
      </w:tr>
    </w:tbl>
    <w:p w14:paraId="343E1C1E" w14:textId="77777777" w:rsidR="00CE7CD7" w:rsidRPr="00F66D28" w:rsidRDefault="00CE7CD7" w:rsidP="00CE7CD7"/>
    <w:p w14:paraId="6E831B6C" w14:textId="337F256E" w:rsidR="00CE7CD7" w:rsidRDefault="00CE7CD7" w:rsidP="00CE7CD7">
      <w:pPr>
        <w:spacing w:after="240" w:line="240" w:lineRule="auto"/>
        <w:jc w:val="center"/>
      </w:pPr>
      <w:r>
        <w:br w:type="page"/>
      </w:r>
    </w:p>
    <w:p w14:paraId="2FCBC899" w14:textId="77777777" w:rsidR="00C241A0" w:rsidRDefault="00C241A0" w:rsidP="009309E3">
      <w:pPr>
        <w:jc w:val="center"/>
      </w:pPr>
    </w:p>
    <w:p w14:paraId="45404E97" w14:textId="2ADA26D8" w:rsidR="00CD4606" w:rsidRPr="00936D78" w:rsidRDefault="00CD4606" w:rsidP="00CD4606">
      <w:pPr>
        <w:pStyle w:val="Caption"/>
        <w:keepNext/>
        <w:spacing w:after="120" w:line="240" w:lineRule="auto"/>
        <w:jc w:val="center"/>
        <w:rPr>
          <w:sz w:val="24"/>
        </w:rPr>
      </w:pPr>
      <w:bookmarkStart w:id="334" w:name="_Toc346310864"/>
      <w:r w:rsidRPr="00936D78">
        <w:rPr>
          <w:sz w:val="24"/>
        </w:rPr>
        <w:t xml:space="preserve">Table </w:t>
      </w:r>
      <w:r>
        <w:rPr>
          <w:sz w:val="24"/>
        </w:rPr>
        <w:t>A</w:t>
      </w:r>
      <w:r w:rsidR="00707D23">
        <w:rPr>
          <w:sz w:val="24"/>
        </w:rPr>
        <w:t>.</w:t>
      </w:r>
      <w:r w:rsidR="00707D23">
        <w:rPr>
          <w:sz w:val="24"/>
        </w:rPr>
        <w:fldChar w:fldCharType="begin"/>
      </w:r>
      <w:r w:rsidR="00707D23">
        <w:rPr>
          <w:sz w:val="24"/>
        </w:rPr>
        <w:instrText xml:space="preserve"> SEQ Table \* ARABIC \s 1 </w:instrText>
      </w:r>
      <w:r w:rsidR="00707D23">
        <w:rPr>
          <w:sz w:val="24"/>
        </w:rPr>
        <w:fldChar w:fldCharType="separate"/>
      </w:r>
      <w:r w:rsidR="008A1992">
        <w:rPr>
          <w:noProof/>
          <w:sz w:val="24"/>
        </w:rPr>
        <w:t>4</w:t>
      </w:r>
      <w:r w:rsidR="00707D23">
        <w:rPr>
          <w:sz w:val="24"/>
        </w:rPr>
        <w:fldChar w:fldCharType="end"/>
      </w:r>
      <w:r>
        <w:rPr>
          <w:sz w:val="24"/>
        </w:rPr>
        <w:t xml:space="preserve"> Average flexural</w:t>
      </w:r>
      <w:r w:rsidRPr="00936D78">
        <w:rPr>
          <w:sz w:val="24"/>
        </w:rPr>
        <w:t xml:space="preserve"> strength </w:t>
      </w:r>
      <w:r w:rsidRPr="00C16655">
        <w:rPr>
          <w:sz w:val="24"/>
        </w:rPr>
        <w:t>and 9</w:t>
      </w:r>
      <w:r>
        <w:rPr>
          <w:sz w:val="24"/>
        </w:rPr>
        <w:t>5</w:t>
      </w:r>
      <w:r w:rsidRPr="00C16655">
        <w:rPr>
          <w:sz w:val="24"/>
        </w:rPr>
        <w:t>% confidence interval for three composite prepreg materials</w:t>
      </w:r>
      <w:bookmarkEnd w:id="334"/>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
        <w:gridCol w:w="1310"/>
        <w:gridCol w:w="876"/>
        <w:gridCol w:w="360"/>
        <w:gridCol w:w="871"/>
        <w:gridCol w:w="876"/>
        <w:gridCol w:w="360"/>
        <w:gridCol w:w="871"/>
        <w:gridCol w:w="876"/>
        <w:gridCol w:w="360"/>
        <w:gridCol w:w="872"/>
      </w:tblGrid>
      <w:tr w:rsidR="00CD4606" w14:paraId="7E359C45" w14:textId="77777777" w:rsidTr="00CD4606">
        <w:trPr>
          <w:cantSplit/>
          <w:trHeight w:val="1584"/>
          <w:jc w:val="center"/>
        </w:trPr>
        <w:tc>
          <w:tcPr>
            <w:tcW w:w="2181" w:type="dxa"/>
            <w:gridSpan w:val="2"/>
            <w:tcBorders>
              <w:bottom w:val="single" w:sz="18" w:space="0" w:color="auto"/>
            </w:tcBorders>
            <w:vAlign w:val="bottom"/>
          </w:tcPr>
          <w:p w14:paraId="4F13C84D" w14:textId="77777777" w:rsidR="00CD4606" w:rsidRPr="00386413" w:rsidRDefault="00CD4606" w:rsidP="00CD4606">
            <w:pPr>
              <w:spacing w:line="240" w:lineRule="auto"/>
              <w:jc w:val="center"/>
              <w:rPr>
                <w:b/>
              </w:rPr>
            </w:pPr>
            <w:r w:rsidRPr="00386413">
              <w:rPr>
                <w:b/>
              </w:rPr>
              <w:t xml:space="preserve">Prepreg Conditioning </w:t>
            </w:r>
          </w:p>
          <w:p w14:paraId="44F81CD2" w14:textId="77777777" w:rsidR="00CD4606" w:rsidRDefault="00CD4606" w:rsidP="00CD4606">
            <w:pPr>
              <w:spacing w:line="240" w:lineRule="auto"/>
              <w:jc w:val="center"/>
            </w:pPr>
            <w:r w:rsidRPr="00386413">
              <w:rPr>
                <w:b/>
              </w:rPr>
              <w:t>(% RH) &amp; Fabrication Pressure (kPa)</w:t>
            </w:r>
          </w:p>
        </w:tc>
        <w:tc>
          <w:tcPr>
            <w:tcW w:w="2102" w:type="dxa"/>
            <w:gridSpan w:val="3"/>
            <w:tcBorders>
              <w:bottom w:val="single" w:sz="18" w:space="0" w:color="auto"/>
            </w:tcBorders>
            <w:vAlign w:val="bottom"/>
          </w:tcPr>
          <w:p w14:paraId="7D767EE0" w14:textId="77777777" w:rsidR="00CD4606" w:rsidRPr="00386413" w:rsidRDefault="00CD4606" w:rsidP="00CD4606">
            <w:pPr>
              <w:spacing w:line="240" w:lineRule="auto"/>
              <w:jc w:val="center"/>
              <w:rPr>
                <w:b/>
              </w:rPr>
            </w:pPr>
            <w:r w:rsidRPr="00386413">
              <w:rPr>
                <w:b/>
              </w:rPr>
              <w:t>Quartz / BMI</w:t>
            </w:r>
          </w:p>
        </w:tc>
        <w:tc>
          <w:tcPr>
            <w:tcW w:w="2102" w:type="dxa"/>
            <w:gridSpan w:val="3"/>
            <w:tcBorders>
              <w:bottom w:val="single" w:sz="18" w:space="0" w:color="auto"/>
            </w:tcBorders>
            <w:vAlign w:val="bottom"/>
          </w:tcPr>
          <w:p w14:paraId="45EE485E" w14:textId="77777777" w:rsidR="00CD4606" w:rsidRPr="00386413" w:rsidRDefault="00CD4606" w:rsidP="00CD4606">
            <w:pPr>
              <w:spacing w:line="240" w:lineRule="auto"/>
              <w:jc w:val="center"/>
              <w:rPr>
                <w:b/>
              </w:rPr>
            </w:pPr>
            <w:r w:rsidRPr="00386413">
              <w:rPr>
                <w:b/>
              </w:rPr>
              <w:t>Quartz / Epoxy</w:t>
            </w:r>
          </w:p>
        </w:tc>
        <w:tc>
          <w:tcPr>
            <w:tcW w:w="2104" w:type="dxa"/>
            <w:gridSpan w:val="3"/>
            <w:tcBorders>
              <w:bottom w:val="single" w:sz="18" w:space="0" w:color="auto"/>
            </w:tcBorders>
            <w:vAlign w:val="bottom"/>
          </w:tcPr>
          <w:p w14:paraId="615B14B0" w14:textId="77777777" w:rsidR="00CD4606" w:rsidRPr="00386413" w:rsidRDefault="00CD4606" w:rsidP="00CD4606">
            <w:pPr>
              <w:spacing w:line="240" w:lineRule="auto"/>
              <w:jc w:val="center"/>
              <w:rPr>
                <w:b/>
              </w:rPr>
            </w:pPr>
            <w:r w:rsidRPr="00386413">
              <w:rPr>
                <w:b/>
              </w:rPr>
              <w:t>Carbon / Epoxy</w:t>
            </w:r>
          </w:p>
        </w:tc>
      </w:tr>
      <w:tr w:rsidR="00CD4606" w14:paraId="5D3EF430" w14:textId="77777777" w:rsidTr="00CD4606">
        <w:trPr>
          <w:cantSplit/>
          <w:trHeight w:val="360"/>
          <w:jc w:val="center"/>
        </w:trPr>
        <w:tc>
          <w:tcPr>
            <w:tcW w:w="871" w:type="dxa"/>
            <w:vMerge w:val="restart"/>
            <w:tcBorders>
              <w:top w:val="single" w:sz="18" w:space="0" w:color="auto"/>
              <w:left w:val="single" w:sz="6" w:space="0" w:color="auto"/>
            </w:tcBorders>
            <w:textDirection w:val="btLr"/>
            <w:vAlign w:val="center"/>
          </w:tcPr>
          <w:p w14:paraId="69B8F854" w14:textId="77777777" w:rsidR="00CD4606" w:rsidRDefault="00CD4606" w:rsidP="00CD4606">
            <w:pPr>
              <w:spacing w:line="240" w:lineRule="auto"/>
              <w:ind w:left="113" w:right="113"/>
              <w:jc w:val="center"/>
            </w:pPr>
            <w:r>
              <w:t>2% RH</w:t>
            </w:r>
          </w:p>
        </w:tc>
        <w:tc>
          <w:tcPr>
            <w:tcW w:w="1310" w:type="dxa"/>
            <w:tcBorders>
              <w:top w:val="single" w:sz="18" w:space="0" w:color="auto"/>
              <w:right w:val="single" w:sz="6" w:space="0" w:color="auto"/>
            </w:tcBorders>
            <w:vAlign w:val="center"/>
          </w:tcPr>
          <w:p w14:paraId="781B92B1" w14:textId="77777777" w:rsidR="00CD4606" w:rsidRDefault="00CD4606" w:rsidP="00CD4606">
            <w:pPr>
              <w:spacing w:line="240" w:lineRule="auto"/>
              <w:jc w:val="center"/>
            </w:pPr>
            <w:r>
              <w:t>68.9</w:t>
            </w:r>
          </w:p>
        </w:tc>
        <w:tc>
          <w:tcPr>
            <w:tcW w:w="871" w:type="dxa"/>
            <w:tcBorders>
              <w:top w:val="single" w:sz="18" w:space="0" w:color="auto"/>
              <w:left w:val="single" w:sz="6" w:space="0" w:color="auto"/>
            </w:tcBorders>
            <w:vAlign w:val="center"/>
          </w:tcPr>
          <w:p w14:paraId="54D78AE2" w14:textId="77777777" w:rsidR="00CD4606" w:rsidRDefault="00CD4606" w:rsidP="00CD4606">
            <w:pPr>
              <w:spacing w:line="240" w:lineRule="auto"/>
              <w:jc w:val="right"/>
            </w:pPr>
            <w:r>
              <w:t>482.32</w:t>
            </w:r>
          </w:p>
        </w:tc>
        <w:tc>
          <w:tcPr>
            <w:tcW w:w="360" w:type="dxa"/>
            <w:tcBorders>
              <w:top w:val="single" w:sz="18" w:space="0" w:color="auto"/>
            </w:tcBorders>
            <w:vAlign w:val="center"/>
          </w:tcPr>
          <w:p w14:paraId="6BF7E03B" w14:textId="77777777" w:rsidR="00CD4606" w:rsidRDefault="00CD4606" w:rsidP="00CD4606">
            <w:pPr>
              <w:spacing w:line="240" w:lineRule="auto"/>
              <w:jc w:val="center"/>
            </w:pPr>
            <w:r>
              <w:t>±</w:t>
            </w:r>
          </w:p>
        </w:tc>
        <w:tc>
          <w:tcPr>
            <w:tcW w:w="871" w:type="dxa"/>
            <w:tcBorders>
              <w:top w:val="single" w:sz="18" w:space="0" w:color="auto"/>
              <w:right w:val="single" w:sz="6" w:space="0" w:color="auto"/>
            </w:tcBorders>
            <w:vAlign w:val="center"/>
          </w:tcPr>
          <w:p w14:paraId="1F62395D" w14:textId="77777777" w:rsidR="00CD4606" w:rsidRDefault="00CD4606" w:rsidP="00CD4606">
            <w:pPr>
              <w:spacing w:line="240" w:lineRule="auto"/>
              <w:jc w:val="left"/>
            </w:pPr>
            <w:r>
              <w:t>33.32</w:t>
            </w:r>
          </w:p>
        </w:tc>
        <w:tc>
          <w:tcPr>
            <w:tcW w:w="871" w:type="dxa"/>
            <w:tcBorders>
              <w:top w:val="single" w:sz="18" w:space="0" w:color="auto"/>
              <w:left w:val="single" w:sz="6" w:space="0" w:color="auto"/>
            </w:tcBorders>
            <w:vAlign w:val="center"/>
          </w:tcPr>
          <w:p w14:paraId="163F5711" w14:textId="77777777" w:rsidR="00CD4606" w:rsidRDefault="00CD4606" w:rsidP="00CD4606">
            <w:pPr>
              <w:spacing w:line="240" w:lineRule="auto"/>
              <w:jc w:val="right"/>
            </w:pPr>
            <w:r>
              <w:t>721.94</w:t>
            </w:r>
          </w:p>
        </w:tc>
        <w:tc>
          <w:tcPr>
            <w:tcW w:w="360" w:type="dxa"/>
            <w:tcBorders>
              <w:top w:val="single" w:sz="18" w:space="0" w:color="auto"/>
            </w:tcBorders>
            <w:vAlign w:val="center"/>
          </w:tcPr>
          <w:p w14:paraId="16FBD615" w14:textId="77777777" w:rsidR="00CD4606" w:rsidRDefault="00CD4606" w:rsidP="00CD4606">
            <w:pPr>
              <w:spacing w:line="240" w:lineRule="auto"/>
              <w:jc w:val="center"/>
            </w:pPr>
            <w:r>
              <w:t>±</w:t>
            </w:r>
          </w:p>
        </w:tc>
        <w:tc>
          <w:tcPr>
            <w:tcW w:w="871" w:type="dxa"/>
            <w:tcBorders>
              <w:top w:val="single" w:sz="18" w:space="0" w:color="auto"/>
              <w:right w:val="single" w:sz="6" w:space="0" w:color="auto"/>
            </w:tcBorders>
            <w:vAlign w:val="center"/>
          </w:tcPr>
          <w:p w14:paraId="5650B23A" w14:textId="77777777" w:rsidR="00CD4606" w:rsidRDefault="00CD4606" w:rsidP="00CD4606">
            <w:pPr>
              <w:spacing w:line="240" w:lineRule="auto"/>
              <w:jc w:val="left"/>
            </w:pPr>
            <w:r>
              <w:t>28.44</w:t>
            </w:r>
          </w:p>
        </w:tc>
        <w:tc>
          <w:tcPr>
            <w:tcW w:w="872" w:type="dxa"/>
            <w:tcBorders>
              <w:top w:val="single" w:sz="18" w:space="0" w:color="auto"/>
              <w:left w:val="single" w:sz="6" w:space="0" w:color="auto"/>
            </w:tcBorders>
            <w:vAlign w:val="center"/>
          </w:tcPr>
          <w:p w14:paraId="70D249A9" w14:textId="77777777" w:rsidR="00CD4606" w:rsidRDefault="00CD4606" w:rsidP="00CD4606">
            <w:pPr>
              <w:spacing w:line="240" w:lineRule="auto"/>
              <w:jc w:val="right"/>
            </w:pPr>
            <w:r>
              <w:t>692.19</w:t>
            </w:r>
          </w:p>
        </w:tc>
        <w:tc>
          <w:tcPr>
            <w:tcW w:w="360" w:type="dxa"/>
            <w:tcBorders>
              <w:top w:val="single" w:sz="18" w:space="0" w:color="auto"/>
            </w:tcBorders>
            <w:vAlign w:val="center"/>
          </w:tcPr>
          <w:p w14:paraId="4E60DC7E" w14:textId="77777777" w:rsidR="00CD4606" w:rsidRDefault="00CD4606" w:rsidP="00CD4606">
            <w:pPr>
              <w:spacing w:line="240" w:lineRule="auto"/>
              <w:jc w:val="center"/>
            </w:pPr>
            <w:r>
              <w:t>±</w:t>
            </w:r>
          </w:p>
        </w:tc>
        <w:tc>
          <w:tcPr>
            <w:tcW w:w="872" w:type="dxa"/>
            <w:tcBorders>
              <w:top w:val="single" w:sz="18" w:space="0" w:color="auto"/>
              <w:right w:val="single" w:sz="6" w:space="0" w:color="auto"/>
            </w:tcBorders>
            <w:vAlign w:val="center"/>
          </w:tcPr>
          <w:p w14:paraId="74F7B09A" w14:textId="77777777" w:rsidR="00CD4606" w:rsidRDefault="00CD4606" w:rsidP="00CD4606">
            <w:pPr>
              <w:spacing w:line="240" w:lineRule="auto"/>
              <w:jc w:val="left"/>
            </w:pPr>
            <w:r>
              <w:t>53.51</w:t>
            </w:r>
          </w:p>
        </w:tc>
      </w:tr>
      <w:tr w:rsidR="00CD4606" w14:paraId="0B13821D" w14:textId="77777777" w:rsidTr="00CD4606">
        <w:trPr>
          <w:cantSplit/>
          <w:trHeight w:val="360"/>
          <w:jc w:val="center"/>
        </w:trPr>
        <w:tc>
          <w:tcPr>
            <w:tcW w:w="871" w:type="dxa"/>
            <w:vMerge/>
            <w:tcBorders>
              <w:left w:val="single" w:sz="6" w:space="0" w:color="auto"/>
            </w:tcBorders>
            <w:vAlign w:val="center"/>
          </w:tcPr>
          <w:p w14:paraId="532AB32C" w14:textId="77777777" w:rsidR="00CD4606" w:rsidRDefault="00CD4606" w:rsidP="00CD4606">
            <w:pPr>
              <w:spacing w:line="240" w:lineRule="auto"/>
              <w:jc w:val="center"/>
            </w:pPr>
          </w:p>
        </w:tc>
        <w:tc>
          <w:tcPr>
            <w:tcW w:w="1310" w:type="dxa"/>
            <w:tcBorders>
              <w:right w:val="single" w:sz="6" w:space="0" w:color="auto"/>
            </w:tcBorders>
            <w:vAlign w:val="center"/>
          </w:tcPr>
          <w:p w14:paraId="282881BE" w14:textId="77777777" w:rsidR="00CD4606" w:rsidRDefault="00CD4606" w:rsidP="00CD4606">
            <w:pPr>
              <w:spacing w:line="240" w:lineRule="auto"/>
              <w:jc w:val="center"/>
            </w:pPr>
            <w:r>
              <w:t>206.8</w:t>
            </w:r>
          </w:p>
        </w:tc>
        <w:tc>
          <w:tcPr>
            <w:tcW w:w="871" w:type="dxa"/>
            <w:tcBorders>
              <w:left w:val="single" w:sz="6" w:space="0" w:color="auto"/>
            </w:tcBorders>
            <w:vAlign w:val="center"/>
          </w:tcPr>
          <w:p w14:paraId="350618EF" w14:textId="77777777" w:rsidR="00CD4606" w:rsidRDefault="00CD4606" w:rsidP="00CD4606">
            <w:pPr>
              <w:spacing w:line="240" w:lineRule="auto"/>
              <w:jc w:val="right"/>
            </w:pPr>
            <w:r>
              <w:t>596.79</w:t>
            </w:r>
          </w:p>
        </w:tc>
        <w:tc>
          <w:tcPr>
            <w:tcW w:w="360" w:type="dxa"/>
            <w:vAlign w:val="center"/>
          </w:tcPr>
          <w:p w14:paraId="45F76A88" w14:textId="77777777" w:rsidR="00CD4606" w:rsidRDefault="00CD4606" w:rsidP="00CD4606">
            <w:pPr>
              <w:spacing w:line="240" w:lineRule="auto"/>
              <w:jc w:val="center"/>
            </w:pPr>
            <w:r>
              <w:t>±</w:t>
            </w:r>
          </w:p>
        </w:tc>
        <w:tc>
          <w:tcPr>
            <w:tcW w:w="871" w:type="dxa"/>
            <w:tcBorders>
              <w:right w:val="single" w:sz="6" w:space="0" w:color="auto"/>
            </w:tcBorders>
            <w:vAlign w:val="center"/>
          </w:tcPr>
          <w:p w14:paraId="3FBEB7DA" w14:textId="77777777" w:rsidR="00CD4606" w:rsidRDefault="00CD4606" w:rsidP="00CD4606">
            <w:pPr>
              <w:spacing w:line="240" w:lineRule="auto"/>
              <w:jc w:val="left"/>
            </w:pPr>
            <w:r>
              <w:t>34.98</w:t>
            </w:r>
          </w:p>
        </w:tc>
        <w:tc>
          <w:tcPr>
            <w:tcW w:w="871" w:type="dxa"/>
            <w:tcBorders>
              <w:left w:val="single" w:sz="6" w:space="0" w:color="auto"/>
            </w:tcBorders>
            <w:vAlign w:val="center"/>
          </w:tcPr>
          <w:p w14:paraId="129FF4E0" w14:textId="77777777" w:rsidR="00CD4606" w:rsidRDefault="00CD4606" w:rsidP="00CD4606">
            <w:pPr>
              <w:spacing w:line="240" w:lineRule="auto"/>
              <w:jc w:val="right"/>
            </w:pPr>
            <w:r>
              <w:t>763.16</w:t>
            </w:r>
          </w:p>
        </w:tc>
        <w:tc>
          <w:tcPr>
            <w:tcW w:w="360" w:type="dxa"/>
            <w:vAlign w:val="center"/>
          </w:tcPr>
          <w:p w14:paraId="1D81DE37" w14:textId="77777777" w:rsidR="00CD4606" w:rsidRDefault="00CD4606" w:rsidP="00CD4606">
            <w:pPr>
              <w:spacing w:line="240" w:lineRule="auto"/>
              <w:jc w:val="center"/>
            </w:pPr>
            <w:r>
              <w:t>±</w:t>
            </w:r>
          </w:p>
        </w:tc>
        <w:tc>
          <w:tcPr>
            <w:tcW w:w="871" w:type="dxa"/>
            <w:tcBorders>
              <w:right w:val="single" w:sz="6" w:space="0" w:color="auto"/>
            </w:tcBorders>
            <w:vAlign w:val="center"/>
          </w:tcPr>
          <w:p w14:paraId="1A36973C" w14:textId="77777777" w:rsidR="00CD4606" w:rsidRDefault="00CD4606" w:rsidP="00CD4606">
            <w:pPr>
              <w:spacing w:line="240" w:lineRule="auto"/>
              <w:jc w:val="left"/>
            </w:pPr>
            <w:r>
              <w:t>14.32</w:t>
            </w:r>
          </w:p>
        </w:tc>
        <w:tc>
          <w:tcPr>
            <w:tcW w:w="872" w:type="dxa"/>
            <w:tcBorders>
              <w:left w:val="single" w:sz="6" w:space="0" w:color="auto"/>
            </w:tcBorders>
            <w:vAlign w:val="center"/>
          </w:tcPr>
          <w:p w14:paraId="3B549590" w14:textId="77777777" w:rsidR="00CD4606" w:rsidRDefault="00CD4606" w:rsidP="00CD4606">
            <w:pPr>
              <w:spacing w:line="240" w:lineRule="auto"/>
              <w:jc w:val="right"/>
            </w:pPr>
            <w:r>
              <w:t>784.38</w:t>
            </w:r>
          </w:p>
        </w:tc>
        <w:tc>
          <w:tcPr>
            <w:tcW w:w="360" w:type="dxa"/>
            <w:vAlign w:val="center"/>
          </w:tcPr>
          <w:p w14:paraId="36FA9B11" w14:textId="77777777" w:rsidR="00CD4606" w:rsidRDefault="00CD4606" w:rsidP="00CD4606">
            <w:pPr>
              <w:spacing w:line="240" w:lineRule="auto"/>
              <w:jc w:val="center"/>
            </w:pPr>
            <w:r>
              <w:t>±</w:t>
            </w:r>
          </w:p>
        </w:tc>
        <w:tc>
          <w:tcPr>
            <w:tcW w:w="872" w:type="dxa"/>
            <w:tcBorders>
              <w:right w:val="single" w:sz="6" w:space="0" w:color="auto"/>
            </w:tcBorders>
            <w:vAlign w:val="center"/>
          </w:tcPr>
          <w:p w14:paraId="471BA847" w14:textId="77777777" w:rsidR="00CD4606" w:rsidRDefault="00CD4606" w:rsidP="00CD4606">
            <w:pPr>
              <w:spacing w:line="240" w:lineRule="auto"/>
              <w:jc w:val="left"/>
            </w:pPr>
            <w:r>
              <w:t>32.17</w:t>
            </w:r>
          </w:p>
        </w:tc>
      </w:tr>
      <w:tr w:rsidR="00CD4606" w14:paraId="051B0D4A" w14:textId="77777777" w:rsidTr="00CD4606">
        <w:trPr>
          <w:cantSplit/>
          <w:trHeight w:val="360"/>
          <w:jc w:val="center"/>
        </w:trPr>
        <w:tc>
          <w:tcPr>
            <w:tcW w:w="871" w:type="dxa"/>
            <w:vMerge/>
            <w:tcBorders>
              <w:left w:val="single" w:sz="6" w:space="0" w:color="auto"/>
            </w:tcBorders>
            <w:vAlign w:val="center"/>
          </w:tcPr>
          <w:p w14:paraId="06734F9B" w14:textId="77777777" w:rsidR="00CD4606" w:rsidRDefault="00CD4606" w:rsidP="00CD4606">
            <w:pPr>
              <w:spacing w:line="240" w:lineRule="auto"/>
              <w:jc w:val="center"/>
            </w:pPr>
          </w:p>
        </w:tc>
        <w:tc>
          <w:tcPr>
            <w:tcW w:w="1310" w:type="dxa"/>
            <w:tcBorders>
              <w:right w:val="single" w:sz="6" w:space="0" w:color="auto"/>
            </w:tcBorders>
            <w:vAlign w:val="center"/>
          </w:tcPr>
          <w:p w14:paraId="10C1A236" w14:textId="77777777" w:rsidR="00CD4606" w:rsidRDefault="00CD4606" w:rsidP="00CD4606">
            <w:pPr>
              <w:spacing w:line="240" w:lineRule="auto"/>
              <w:jc w:val="center"/>
            </w:pPr>
            <w:r>
              <w:t>344.7</w:t>
            </w:r>
          </w:p>
        </w:tc>
        <w:tc>
          <w:tcPr>
            <w:tcW w:w="871" w:type="dxa"/>
            <w:tcBorders>
              <w:left w:val="single" w:sz="6" w:space="0" w:color="auto"/>
            </w:tcBorders>
            <w:vAlign w:val="center"/>
          </w:tcPr>
          <w:p w14:paraId="6F78AE3B" w14:textId="77777777" w:rsidR="00CD4606" w:rsidRDefault="00CD4606" w:rsidP="00CD4606">
            <w:pPr>
              <w:spacing w:line="240" w:lineRule="auto"/>
              <w:jc w:val="right"/>
            </w:pPr>
            <w:r>
              <w:t>568.87</w:t>
            </w:r>
          </w:p>
        </w:tc>
        <w:tc>
          <w:tcPr>
            <w:tcW w:w="360" w:type="dxa"/>
            <w:vAlign w:val="center"/>
          </w:tcPr>
          <w:p w14:paraId="03C10B9E" w14:textId="77777777" w:rsidR="00CD4606" w:rsidRDefault="00CD4606" w:rsidP="00CD4606">
            <w:pPr>
              <w:spacing w:line="240" w:lineRule="auto"/>
              <w:jc w:val="center"/>
            </w:pPr>
            <w:r>
              <w:t>±</w:t>
            </w:r>
          </w:p>
        </w:tc>
        <w:tc>
          <w:tcPr>
            <w:tcW w:w="871" w:type="dxa"/>
            <w:tcBorders>
              <w:right w:val="single" w:sz="6" w:space="0" w:color="auto"/>
            </w:tcBorders>
            <w:vAlign w:val="center"/>
          </w:tcPr>
          <w:p w14:paraId="1FE75B61" w14:textId="77777777" w:rsidR="00CD4606" w:rsidRDefault="00CD4606" w:rsidP="00CD4606">
            <w:pPr>
              <w:spacing w:line="240" w:lineRule="auto"/>
              <w:jc w:val="left"/>
            </w:pPr>
            <w:r>
              <w:t>7.96</w:t>
            </w:r>
          </w:p>
        </w:tc>
        <w:tc>
          <w:tcPr>
            <w:tcW w:w="871" w:type="dxa"/>
            <w:tcBorders>
              <w:left w:val="single" w:sz="6" w:space="0" w:color="auto"/>
            </w:tcBorders>
            <w:vAlign w:val="center"/>
          </w:tcPr>
          <w:p w14:paraId="09A96DCF" w14:textId="77777777" w:rsidR="00CD4606" w:rsidRDefault="00CD4606" w:rsidP="00CD4606">
            <w:pPr>
              <w:spacing w:line="240" w:lineRule="auto"/>
              <w:jc w:val="right"/>
            </w:pPr>
            <w:r>
              <w:t>797.86</w:t>
            </w:r>
          </w:p>
        </w:tc>
        <w:tc>
          <w:tcPr>
            <w:tcW w:w="360" w:type="dxa"/>
            <w:vAlign w:val="center"/>
          </w:tcPr>
          <w:p w14:paraId="43E6624F" w14:textId="77777777" w:rsidR="00CD4606" w:rsidRDefault="00CD4606" w:rsidP="00CD4606">
            <w:pPr>
              <w:spacing w:line="240" w:lineRule="auto"/>
              <w:jc w:val="center"/>
            </w:pPr>
            <w:r>
              <w:t>±</w:t>
            </w:r>
          </w:p>
        </w:tc>
        <w:tc>
          <w:tcPr>
            <w:tcW w:w="871" w:type="dxa"/>
            <w:tcBorders>
              <w:right w:val="single" w:sz="6" w:space="0" w:color="auto"/>
            </w:tcBorders>
            <w:vAlign w:val="center"/>
          </w:tcPr>
          <w:p w14:paraId="78564ECE" w14:textId="77777777" w:rsidR="00CD4606" w:rsidRDefault="00CD4606" w:rsidP="00CD4606">
            <w:pPr>
              <w:spacing w:line="240" w:lineRule="auto"/>
              <w:jc w:val="left"/>
            </w:pPr>
            <w:r>
              <w:t>17.30</w:t>
            </w:r>
          </w:p>
        </w:tc>
        <w:tc>
          <w:tcPr>
            <w:tcW w:w="872" w:type="dxa"/>
            <w:tcBorders>
              <w:left w:val="single" w:sz="6" w:space="0" w:color="auto"/>
            </w:tcBorders>
            <w:vAlign w:val="center"/>
          </w:tcPr>
          <w:p w14:paraId="221A3A6F" w14:textId="77777777" w:rsidR="00CD4606" w:rsidRDefault="00CD4606" w:rsidP="00CD4606">
            <w:pPr>
              <w:spacing w:line="240" w:lineRule="auto"/>
              <w:jc w:val="right"/>
            </w:pPr>
            <w:r>
              <w:t>722.97</w:t>
            </w:r>
          </w:p>
        </w:tc>
        <w:tc>
          <w:tcPr>
            <w:tcW w:w="360" w:type="dxa"/>
            <w:vAlign w:val="center"/>
          </w:tcPr>
          <w:p w14:paraId="63408911" w14:textId="77777777" w:rsidR="00CD4606" w:rsidRDefault="00CD4606" w:rsidP="00CD4606">
            <w:pPr>
              <w:spacing w:line="240" w:lineRule="auto"/>
              <w:jc w:val="center"/>
            </w:pPr>
            <w:r>
              <w:t>±</w:t>
            </w:r>
          </w:p>
        </w:tc>
        <w:tc>
          <w:tcPr>
            <w:tcW w:w="872" w:type="dxa"/>
            <w:tcBorders>
              <w:right w:val="single" w:sz="6" w:space="0" w:color="auto"/>
            </w:tcBorders>
            <w:vAlign w:val="center"/>
          </w:tcPr>
          <w:p w14:paraId="3DD73BB9" w14:textId="77777777" w:rsidR="00CD4606" w:rsidRDefault="00CD4606" w:rsidP="00CD4606">
            <w:pPr>
              <w:spacing w:line="240" w:lineRule="auto"/>
              <w:jc w:val="left"/>
            </w:pPr>
            <w:r>
              <w:t>92.38</w:t>
            </w:r>
          </w:p>
        </w:tc>
      </w:tr>
      <w:tr w:rsidR="00CD4606" w14:paraId="70142DAC" w14:textId="77777777" w:rsidTr="00CD4606">
        <w:trPr>
          <w:cantSplit/>
          <w:trHeight w:val="360"/>
          <w:jc w:val="center"/>
        </w:trPr>
        <w:tc>
          <w:tcPr>
            <w:tcW w:w="871" w:type="dxa"/>
            <w:vMerge/>
            <w:tcBorders>
              <w:left w:val="single" w:sz="6" w:space="0" w:color="auto"/>
              <w:bottom w:val="single" w:sz="6" w:space="0" w:color="auto"/>
            </w:tcBorders>
            <w:vAlign w:val="center"/>
          </w:tcPr>
          <w:p w14:paraId="79D984A1" w14:textId="77777777" w:rsidR="00CD4606" w:rsidRDefault="00CD4606" w:rsidP="00CD4606">
            <w:pPr>
              <w:spacing w:line="240" w:lineRule="auto"/>
              <w:jc w:val="center"/>
            </w:pPr>
          </w:p>
        </w:tc>
        <w:tc>
          <w:tcPr>
            <w:tcW w:w="1310" w:type="dxa"/>
            <w:tcBorders>
              <w:bottom w:val="single" w:sz="6" w:space="0" w:color="auto"/>
              <w:right w:val="single" w:sz="6" w:space="0" w:color="auto"/>
            </w:tcBorders>
            <w:vAlign w:val="center"/>
          </w:tcPr>
          <w:p w14:paraId="28C20FE6" w14:textId="77777777" w:rsidR="00CD4606" w:rsidRDefault="00CD4606" w:rsidP="00CD4606">
            <w:pPr>
              <w:spacing w:line="240" w:lineRule="auto"/>
              <w:jc w:val="center"/>
            </w:pPr>
            <w:r>
              <w:t>482.6</w:t>
            </w:r>
          </w:p>
        </w:tc>
        <w:tc>
          <w:tcPr>
            <w:tcW w:w="871" w:type="dxa"/>
            <w:tcBorders>
              <w:left w:val="single" w:sz="6" w:space="0" w:color="auto"/>
              <w:bottom w:val="single" w:sz="6" w:space="0" w:color="auto"/>
            </w:tcBorders>
            <w:vAlign w:val="center"/>
          </w:tcPr>
          <w:p w14:paraId="37E8A453" w14:textId="77777777" w:rsidR="00CD4606" w:rsidRDefault="00CD4606" w:rsidP="00CD4606">
            <w:pPr>
              <w:spacing w:line="240" w:lineRule="auto"/>
              <w:jc w:val="right"/>
            </w:pPr>
            <w:r>
              <w:t>602.85</w:t>
            </w:r>
          </w:p>
        </w:tc>
        <w:tc>
          <w:tcPr>
            <w:tcW w:w="360" w:type="dxa"/>
            <w:tcBorders>
              <w:bottom w:val="single" w:sz="6" w:space="0" w:color="auto"/>
            </w:tcBorders>
            <w:vAlign w:val="center"/>
          </w:tcPr>
          <w:p w14:paraId="72F4DFB6" w14:textId="77777777" w:rsidR="00CD4606" w:rsidRDefault="00CD4606" w:rsidP="00CD4606">
            <w:pPr>
              <w:spacing w:line="240" w:lineRule="auto"/>
              <w:jc w:val="center"/>
            </w:pPr>
            <w:r>
              <w:t>±</w:t>
            </w:r>
          </w:p>
        </w:tc>
        <w:tc>
          <w:tcPr>
            <w:tcW w:w="871" w:type="dxa"/>
            <w:tcBorders>
              <w:bottom w:val="single" w:sz="6" w:space="0" w:color="auto"/>
              <w:right w:val="single" w:sz="6" w:space="0" w:color="auto"/>
            </w:tcBorders>
            <w:vAlign w:val="center"/>
          </w:tcPr>
          <w:p w14:paraId="373747F9" w14:textId="77777777" w:rsidR="00CD4606" w:rsidRDefault="00CD4606" w:rsidP="00CD4606">
            <w:pPr>
              <w:spacing w:line="240" w:lineRule="auto"/>
              <w:jc w:val="left"/>
            </w:pPr>
            <w:r>
              <w:t>15.84</w:t>
            </w:r>
          </w:p>
        </w:tc>
        <w:tc>
          <w:tcPr>
            <w:tcW w:w="871" w:type="dxa"/>
            <w:tcBorders>
              <w:left w:val="single" w:sz="6" w:space="0" w:color="auto"/>
              <w:bottom w:val="single" w:sz="6" w:space="0" w:color="auto"/>
            </w:tcBorders>
            <w:vAlign w:val="center"/>
          </w:tcPr>
          <w:p w14:paraId="5ED0E2DD" w14:textId="77777777" w:rsidR="00CD4606" w:rsidRDefault="00CD4606" w:rsidP="00CD4606">
            <w:pPr>
              <w:spacing w:line="240" w:lineRule="auto"/>
              <w:jc w:val="right"/>
            </w:pPr>
            <w:r>
              <w:t>818.05</w:t>
            </w:r>
          </w:p>
        </w:tc>
        <w:tc>
          <w:tcPr>
            <w:tcW w:w="360" w:type="dxa"/>
            <w:tcBorders>
              <w:bottom w:val="single" w:sz="6" w:space="0" w:color="auto"/>
            </w:tcBorders>
            <w:vAlign w:val="center"/>
          </w:tcPr>
          <w:p w14:paraId="0E9C1619" w14:textId="77777777" w:rsidR="00CD4606" w:rsidRDefault="00CD4606" w:rsidP="00CD4606">
            <w:pPr>
              <w:spacing w:line="240" w:lineRule="auto"/>
              <w:jc w:val="center"/>
            </w:pPr>
            <w:r>
              <w:t>±</w:t>
            </w:r>
          </w:p>
        </w:tc>
        <w:tc>
          <w:tcPr>
            <w:tcW w:w="871" w:type="dxa"/>
            <w:tcBorders>
              <w:bottom w:val="single" w:sz="6" w:space="0" w:color="auto"/>
              <w:right w:val="single" w:sz="6" w:space="0" w:color="auto"/>
            </w:tcBorders>
            <w:vAlign w:val="center"/>
          </w:tcPr>
          <w:p w14:paraId="15088072" w14:textId="77777777" w:rsidR="00CD4606" w:rsidRDefault="00CD4606" w:rsidP="00CD4606">
            <w:pPr>
              <w:spacing w:line="240" w:lineRule="auto"/>
              <w:jc w:val="left"/>
            </w:pPr>
            <w:r>
              <w:t>28.03</w:t>
            </w:r>
          </w:p>
        </w:tc>
        <w:tc>
          <w:tcPr>
            <w:tcW w:w="872" w:type="dxa"/>
            <w:tcBorders>
              <w:left w:val="single" w:sz="6" w:space="0" w:color="auto"/>
              <w:bottom w:val="single" w:sz="6" w:space="0" w:color="auto"/>
            </w:tcBorders>
            <w:vAlign w:val="center"/>
          </w:tcPr>
          <w:p w14:paraId="02345435" w14:textId="77777777" w:rsidR="00CD4606" w:rsidRDefault="00CD4606" w:rsidP="00CD4606">
            <w:pPr>
              <w:spacing w:line="240" w:lineRule="auto"/>
              <w:jc w:val="right"/>
            </w:pPr>
            <w:r>
              <w:t>847.21</w:t>
            </w:r>
          </w:p>
        </w:tc>
        <w:tc>
          <w:tcPr>
            <w:tcW w:w="360" w:type="dxa"/>
            <w:tcBorders>
              <w:bottom w:val="single" w:sz="6" w:space="0" w:color="auto"/>
            </w:tcBorders>
            <w:vAlign w:val="center"/>
          </w:tcPr>
          <w:p w14:paraId="2C8F30F9" w14:textId="77777777" w:rsidR="00CD4606" w:rsidRDefault="00CD4606" w:rsidP="00CD4606">
            <w:pPr>
              <w:spacing w:line="240" w:lineRule="auto"/>
              <w:jc w:val="center"/>
            </w:pPr>
            <w:r>
              <w:t>±</w:t>
            </w:r>
          </w:p>
        </w:tc>
        <w:tc>
          <w:tcPr>
            <w:tcW w:w="872" w:type="dxa"/>
            <w:tcBorders>
              <w:bottom w:val="single" w:sz="6" w:space="0" w:color="auto"/>
              <w:right w:val="single" w:sz="6" w:space="0" w:color="auto"/>
            </w:tcBorders>
            <w:vAlign w:val="center"/>
          </w:tcPr>
          <w:p w14:paraId="0C569163" w14:textId="77777777" w:rsidR="00CD4606" w:rsidRDefault="00CD4606" w:rsidP="00CD4606">
            <w:pPr>
              <w:spacing w:line="240" w:lineRule="auto"/>
              <w:jc w:val="left"/>
            </w:pPr>
            <w:r>
              <w:t>93.35</w:t>
            </w:r>
          </w:p>
        </w:tc>
      </w:tr>
      <w:tr w:rsidR="00CD4606" w14:paraId="38E260A4" w14:textId="77777777" w:rsidTr="00CD4606">
        <w:trPr>
          <w:cantSplit/>
          <w:trHeight w:val="360"/>
          <w:jc w:val="center"/>
        </w:trPr>
        <w:tc>
          <w:tcPr>
            <w:tcW w:w="871" w:type="dxa"/>
            <w:vMerge w:val="restart"/>
            <w:tcBorders>
              <w:top w:val="single" w:sz="6" w:space="0" w:color="auto"/>
              <w:left w:val="single" w:sz="6" w:space="0" w:color="auto"/>
            </w:tcBorders>
            <w:textDirection w:val="btLr"/>
            <w:vAlign w:val="center"/>
          </w:tcPr>
          <w:p w14:paraId="51290DDA" w14:textId="77777777" w:rsidR="00CD4606" w:rsidRDefault="00CD4606" w:rsidP="00CD4606">
            <w:pPr>
              <w:spacing w:before="120" w:after="120" w:line="240" w:lineRule="auto"/>
              <w:ind w:left="113" w:right="113"/>
              <w:jc w:val="center"/>
            </w:pPr>
            <w:r>
              <w:t>40 % RH</w:t>
            </w:r>
          </w:p>
        </w:tc>
        <w:tc>
          <w:tcPr>
            <w:tcW w:w="1310" w:type="dxa"/>
            <w:tcBorders>
              <w:top w:val="single" w:sz="6" w:space="0" w:color="auto"/>
              <w:right w:val="single" w:sz="6" w:space="0" w:color="auto"/>
            </w:tcBorders>
            <w:vAlign w:val="center"/>
          </w:tcPr>
          <w:p w14:paraId="2F055377" w14:textId="77777777" w:rsidR="00CD4606" w:rsidRDefault="00CD4606" w:rsidP="00CD4606">
            <w:pPr>
              <w:spacing w:line="240" w:lineRule="auto"/>
              <w:jc w:val="center"/>
            </w:pPr>
            <w:r>
              <w:t>68.9</w:t>
            </w:r>
          </w:p>
        </w:tc>
        <w:tc>
          <w:tcPr>
            <w:tcW w:w="871" w:type="dxa"/>
            <w:tcBorders>
              <w:top w:val="single" w:sz="6" w:space="0" w:color="auto"/>
              <w:left w:val="single" w:sz="6" w:space="0" w:color="auto"/>
            </w:tcBorders>
            <w:vAlign w:val="center"/>
          </w:tcPr>
          <w:p w14:paraId="7A5FCBF3" w14:textId="77777777" w:rsidR="00CD4606" w:rsidRDefault="00CD4606" w:rsidP="00CD4606">
            <w:pPr>
              <w:spacing w:line="240" w:lineRule="auto"/>
              <w:jc w:val="right"/>
            </w:pPr>
            <w:r>
              <w:t>463.28</w:t>
            </w:r>
          </w:p>
        </w:tc>
        <w:tc>
          <w:tcPr>
            <w:tcW w:w="360" w:type="dxa"/>
            <w:tcBorders>
              <w:top w:val="single" w:sz="6" w:space="0" w:color="auto"/>
            </w:tcBorders>
            <w:vAlign w:val="center"/>
          </w:tcPr>
          <w:p w14:paraId="482033AB" w14:textId="77777777" w:rsidR="00CD4606" w:rsidRDefault="00CD4606" w:rsidP="00CD4606">
            <w:pPr>
              <w:spacing w:line="240" w:lineRule="auto"/>
              <w:jc w:val="center"/>
            </w:pPr>
            <w:r>
              <w:t>±</w:t>
            </w:r>
          </w:p>
        </w:tc>
        <w:tc>
          <w:tcPr>
            <w:tcW w:w="871" w:type="dxa"/>
            <w:tcBorders>
              <w:top w:val="single" w:sz="6" w:space="0" w:color="auto"/>
              <w:right w:val="single" w:sz="6" w:space="0" w:color="auto"/>
            </w:tcBorders>
            <w:vAlign w:val="center"/>
          </w:tcPr>
          <w:p w14:paraId="166B13D8" w14:textId="77777777" w:rsidR="00CD4606" w:rsidRDefault="00CD4606" w:rsidP="00CD4606">
            <w:pPr>
              <w:spacing w:line="240" w:lineRule="auto"/>
              <w:jc w:val="left"/>
            </w:pPr>
            <w:r>
              <w:t>13.75</w:t>
            </w:r>
          </w:p>
        </w:tc>
        <w:tc>
          <w:tcPr>
            <w:tcW w:w="871" w:type="dxa"/>
            <w:tcBorders>
              <w:top w:val="single" w:sz="6" w:space="0" w:color="auto"/>
              <w:left w:val="single" w:sz="6" w:space="0" w:color="auto"/>
            </w:tcBorders>
            <w:vAlign w:val="center"/>
          </w:tcPr>
          <w:p w14:paraId="24E50E73" w14:textId="77777777" w:rsidR="00CD4606" w:rsidRDefault="00CD4606" w:rsidP="00CD4606">
            <w:pPr>
              <w:spacing w:line="240" w:lineRule="auto"/>
              <w:jc w:val="right"/>
            </w:pPr>
            <w:r>
              <w:t>670.77</w:t>
            </w:r>
          </w:p>
        </w:tc>
        <w:tc>
          <w:tcPr>
            <w:tcW w:w="360" w:type="dxa"/>
            <w:tcBorders>
              <w:top w:val="single" w:sz="6" w:space="0" w:color="auto"/>
            </w:tcBorders>
            <w:vAlign w:val="center"/>
          </w:tcPr>
          <w:p w14:paraId="02682879" w14:textId="77777777" w:rsidR="00CD4606" w:rsidRDefault="00CD4606" w:rsidP="00CD4606">
            <w:pPr>
              <w:spacing w:line="240" w:lineRule="auto"/>
              <w:jc w:val="center"/>
            </w:pPr>
            <w:r>
              <w:t>±</w:t>
            </w:r>
          </w:p>
        </w:tc>
        <w:tc>
          <w:tcPr>
            <w:tcW w:w="871" w:type="dxa"/>
            <w:tcBorders>
              <w:top w:val="single" w:sz="6" w:space="0" w:color="auto"/>
              <w:right w:val="single" w:sz="6" w:space="0" w:color="auto"/>
            </w:tcBorders>
            <w:vAlign w:val="center"/>
          </w:tcPr>
          <w:p w14:paraId="70E56380" w14:textId="77777777" w:rsidR="00CD4606" w:rsidRDefault="00CD4606" w:rsidP="00CD4606">
            <w:pPr>
              <w:spacing w:line="240" w:lineRule="auto"/>
              <w:jc w:val="left"/>
            </w:pPr>
            <w:r>
              <w:t>40.64</w:t>
            </w:r>
          </w:p>
        </w:tc>
        <w:tc>
          <w:tcPr>
            <w:tcW w:w="872" w:type="dxa"/>
            <w:tcBorders>
              <w:top w:val="single" w:sz="6" w:space="0" w:color="auto"/>
              <w:left w:val="single" w:sz="6" w:space="0" w:color="auto"/>
            </w:tcBorders>
            <w:vAlign w:val="center"/>
          </w:tcPr>
          <w:p w14:paraId="2B271286" w14:textId="77777777" w:rsidR="00CD4606" w:rsidRDefault="00CD4606" w:rsidP="00CD4606">
            <w:pPr>
              <w:spacing w:line="240" w:lineRule="auto"/>
              <w:jc w:val="right"/>
            </w:pPr>
            <w:r>
              <w:t>665.69</w:t>
            </w:r>
          </w:p>
        </w:tc>
        <w:tc>
          <w:tcPr>
            <w:tcW w:w="360" w:type="dxa"/>
            <w:tcBorders>
              <w:top w:val="single" w:sz="6" w:space="0" w:color="auto"/>
            </w:tcBorders>
            <w:vAlign w:val="center"/>
          </w:tcPr>
          <w:p w14:paraId="14FE742D" w14:textId="77777777" w:rsidR="00CD4606" w:rsidRDefault="00CD4606" w:rsidP="00CD4606">
            <w:pPr>
              <w:spacing w:line="240" w:lineRule="auto"/>
              <w:jc w:val="center"/>
            </w:pPr>
            <w:r>
              <w:t>±</w:t>
            </w:r>
          </w:p>
        </w:tc>
        <w:tc>
          <w:tcPr>
            <w:tcW w:w="872" w:type="dxa"/>
            <w:tcBorders>
              <w:top w:val="single" w:sz="6" w:space="0" w:color="auto"/>
              <w:right w:val="single" w:sz="6" w:space="0" w:color="auto"/>
            </w:tcBorders>
            <w:vAlign w:val="center"/>
          </w:tcPr>
          <w:p w14:paraId="00BB9F7E" w14:textId="77777777" w:rsidR="00CD4606" w:rsidRDefault="00CD4606" w:rsidP="00CD4606">
            <w:pPr>
              <w:spacing w:line="240" w:lineRule="auto"/>
              <w:jc w:val="left"/>
            </w:pPr>
            <w:r>
              <w:t>34.29</w:t>
            </w:r>
          </w:p>
        </w:tc>
      </w:tr>
      <w:tr w:rsidR="00CD4606" w14:paraId="4E5811BC" w14:textId="77777777" w:rsidTr="00CD4606">
        <w:trPr>
          <w:cantSplit/>
          <w:trHeight w:val="360"/>
          <w:jc w:val="center"/>
        </w:trPr>
        <w:tc>
          <w:tcPr>
            <w:tcW w:w="871" w:type="dxa"/>
            <w:vMerge/>
            <w:tcBorders>
              <w:left w:val="single" w:sz="6" w:space="0" w:color="auto"/>
            </w:tcBorders>
            <w:vAlign w:val="center"/>
          </w:tcPr>
          <w:p w14:paraId="5FA25270" w14:textId="77777777" w:rsidR="00CD4606" w:rsidRDefault="00CD4606" w:rsidP="00CD4606">
            <w:pPr>
              <w:spacing w:before="120" w:after="120" w:line="240" w:lineRule="auto"/>
              <w:jc w:val="center"/>
            </w:pPr>
          </w:p>
        </w:tc>
        <w:tc>
          <w:tcPr>
            <w:tcW w:w="1310" w:type="dxa"/>
            <w:tcBorders>
              <w:right w:val="single" w:sz="6" w:space="0" w:color="auto"/>
            </w:tcBorders>
            <w:vAlign w:val="center"/>
          </w:tcPr>
          <w:p w14:paraId="71417657" w14:textId="77777777" w:rsidR="00CD4606" w:rsidRDefault="00CD4606" w:rsidP="00CD4606">
            <w:pPr>
              <w:spacing w:line="240" w:lineRule="auto"/>
              <w:jc w:val="center"/>
            </w:pPr>
            <w:r>
              <w:t>206.8</w:t>
            </w:r>
          </w:p>
        </w:tc>
        <w:tc>
          <w:tcPr>
            <w:tcW w:w="871" w:type="dxa"/>
            <w:tcBorders>
              <w:left w:val="single" w:sz="6" w:space="0" w:color="auto"/>
            </w:tcBorders>
            <w:vAlign w:val="center"/>
          </w:tcPr>
          <w:p w14:paraId="7765D7C5" w14:textId="77777777" w:rsidR="00CD4606" w:rsidRDefault="00CD4606" w:rsidP="00CD4606">
            <w:pPr>
              <w:spacing w:line="240" w:lineRule="auto"/>
              <w:jc w:val="right"/>
            </w:pPr>
            <w:r>
              <w:t>536.74</w:t>
            </w:r>
          </w:p>
        </w:tc>
        <w:tc>
          <w:tcPr>
            <w:tcW w:w="360" w:type="dxa"/>
            <w:vAlign w:val="center"/>
          </w:tcPr>
          <w:p w14:paraId="19139DA0" w14:textId="77777777" w:rsidR="00CD4606" w:rsidRDefault="00CD4606" w:rsidP="00CD4606">
            <w:pPr>
              <w:spacing w:line="240" w:lineRule="auto"/>
              <w:jc w:val="center"/>
            </w:pPr>
            <w:r>
              <w:t>±</w:t>
            </w:r>
          </w:p>
        </w:tc>
        <w:tc>
          <w:tcPr>
            <w:tcW w:w="871" w:type="dxa"/>
            <w:tcBorders>
              <w:right w:val="single" w:sz="6" w:space="0" w:color="auto"/>
            </w:tcBorders>
            <w:vAlign w:val="center"/>
          </w:tcPr>
          <w:p w14:paraId="2092BCBF" w14:textId="77777777" w:rsidR="00CD4606" w:rsidRDefault="00CD4606" w:rsidP="00CD4606">
            <w:pPr>
              <w:spacing w:line="240" w:lineRule="auto"/>
              <w:jc w:val="left"/>
            </w:pPr>
            <w:r>
              <w:t>33.04</w:t>
            </w:r>
          </w:p>
        </w:tc>
        <w:tc>
          <w:tcPr>
            <w:tcW w:w="871" w:type="dxa"/>
            <w:tcBorders>
              <w:left w:val="single" w:sz="6" w:space="0" w:color="auto"/>
            </w:tcBorders>
            <w:vAlign w:val="center"/>
          </w:tcPr>
          <w:p w14:paraId="385FB903" w14:textId="77777777" w:rsidR="00CD4606" w:rsidRDefault="00CD4606" w:rsidP="00CD4606">
            <w:pPr>
              <w:spacing w:line="240" w:lineRule="auto"/>
              <w:jc w:val="right"/>
            </w:pPr>
            <w:r>
              <w:t>868.07</w:t>
            </w:r>
          </w:p>
        </w:tc>
        <w:tc>
          <w:tcPr>
            <w:tcW w:w="360" w:type="dxa"/>
            <w:vAlign w:val="center"/>
          </w:tcPr>
          <w:p w14:paraId="4B4988D2" w14:textId="77777777" w:rsidR="00CD4606" w:rsidRDefault="00CD4606" w:rsidP="00CD4606">
            <w:pPr>
              <w:spacing w:line="240" w:lineRule="auto"/>
              <w:jc w:val="center"/>
            </w:pPr>
            <w:r>
              <w:t>±</w:t>
            </w:r>
          </w:p>
        </w:tc>
        <w:tc>
          <w:tcPr>
            <w:tcW w:w="871" w:type="dxa"/>
            <w:tcBorders>
              <w:right w:val="single" w:sz="6" w:space="0" w:color="auto"/>
            </w:tcBorders>
            <w:vAlign w:val="center"/>
          </w:tcPr>
          <w:p w14:paraId="5F12CD3C" w14:textId="77777777" w:rsidR="00CD4606" w:rsidRDefault="00CD4606" w:rsidP="00CD4606">
            <w:pPr>
              <w:spacing w:line="240" w:lineRule="auto"/>
              <w:jc w:val="left"/>
            </w:pPr>
            <w:r>
              <w:t>42.30</w:t>
            </w:r>
          </w:p>
        </w:tc>
        <w:tc>
          <w:tcPr>
            <w:tcW w:w="872" w:type="dxa"/>
            <w:tcBorders>
              <w:left w:val="single" w:sz="6" w:space="0" w:color="auto"/>
            </w:tcBorders>
            <w:vAlign w:val="center"/>
          </w:tcPr>
          <w:p w14:paraId="6F5854AE" w14:textId="77777777" w:rsidR="00CD4606" w:rsidRDefault="00CD4606" w:rsidP="00CD4606">
            <w:pPr>
              <w:spacing w:line="240" w:lineRule="auto"/>
              <w:jc w:val="right"/>
            </w:pPr>
            <w:r>
              <w:t>781.01</w:t>
            </w:r>
          </w:p>
        </w:tc>
        <w:tc>
          <w:tcPr>
            <w:tcW w:w="360" w:type="dxa"/>
            <w:vAlign w:val="center"/>
          </w:tcPr>
          <w:p w14:paraId="2AB587E8" w14:textId="77777777" w:rsidR="00CD4606" w:rsidRDefault="00CD4606" w:rsidP="00CD4606">
            <w:pPr>
              <w:spacing w:line="240" w:lineRule="auto"/>
              <w:jc w:val="center"/>
            </w:pPr>
            <w:r>
              <w:t>±</w:t>
            </w:r>
          </w:p>
        </w:tc>
        <w:tc>
          <w:tcPr>
            <w:tcW w:w="872" w:type="dxa"/>
            <w:tcBorders>
              <w:right w:val="single" w:sz="6" w:space="0" w:color="auto"/>
            </w:tcBorders>
            <w:vAlign w:val="center"/>
          </w:tcPr>
          <w:p w14:paraId="112B89F4" w14:textId="77777777" w:rsidR="00CD4606" w:rsidRDefault="00CD4606" w:rsidP="00CD4606">
            <w:pPr>
              <w:spacing w:line="240" w:lineRule="auto"/>
              <w:jc w:val="left"/>
            </w:pPr>
            <w:r>
              <w:t>48.76</w:t>
            </w:r>
          </w:p>
        </w:tc>
      </w:tr>
      <w:tr w:rsidR="00CD4606" w14:paraId="72DB25E5" w14:textId="77777777" w:rsidTr="00CD4606">
        <w:trPr>
          <w:cantSplit/>
          <w:trHeight w:val="360"/>
          <w:jc w:val="center"/>
        </w:trPr>
        <w:tc>
          <w:tcPr>
            <w:tcW w:w="871" w:type="dxa"/>
            <w:vMerge/>
            <w:tcBorders>
              <w:left w:val="single" w:sz="6" w:space="0" w:color="auto"/>
            </w:tcBorders>
            <w:vAlign w:val="center"/>
          </w:tcPr>
          <w:p w14:paraId="23AD26B3" w14:textId="77777777" w:rsidR="00CD4606" w:rsidRDefault="00CD4606" w:rsidP="00CD4606">
            <w:pPr>
              <w:spacing w:before="120" w:after="120" w:line="240" w:lineRule="auto"/>
              <w:jc w:val="center"/>
            </w:pPr>
          </w:p>
        </w:tc>
        <w:tc>
          <w:tcPr>
            <w:tcW w:w="1310" w:type="dxa"/>
            <w:tcBorders>
              <w:right w:val="single" w:sz="6" w:space="0" w:color="auto"/>
            </w:tcBorders>
            <w:vAlign w:val="center"/>
          </w:tcPr>
          <w:p w14:paraId="44B26CDB" w14:textId="77777777" w:rsidR="00CD4606" w:rsidRDefault="00CD4606" w:rsidP="00CD4606">
            <w:pPr>
              <w:spacing w:line="240" w:lineRule="auto"/>
              <w:jc w:val="center"/>
            </w:pPr>
            <w:r>
              <w:t>344.7</w:t>
            </w:r>
          </w:p>
        </w:tc>
        <w:tc>
          <w:tcPr>
            <w:tcW w:w="871" w:type="dxa"/>
            <w:tcBorders>
              <w:left w:val="single" w:sz="6" w:space="0" w:color="auto"/>
            </w:tcBorders>
            <w:vAlign w:val="center"/>
          </w:tcPr>
          <w:p w14:paraId="0C06E082" w14:textId="77777777" w:rsidR="00CD4606" w:rsidRDefault="00CD4606" w:rsidP="00CD4606">
            <w:pPr>
              <w:spacing w:line="240" w:lineRule="auto"/>
              <w:jc w:val="right"/>
            </w:pPr>
            <w:r>
              <w:t>526.25</w:t>
            </w:r>
          </w:p>
        </w:tc>
        <w:tc>
          <w:tcPr>
            <w:tcW w:w="360" w:type="dxa"/>
            <w:vAlign w:val="center"/>
          </w:tcPr>
          <w:p w14:paraId="7EDF919F" w14:textId="77777777" w:rsidR="00CD4606" w:rsidRDefault="00CD4606" w:rsidP="00CD4606">
            <w:pPr>
              <w:spacing w:line="240" w:lineRule="auto"/>
              <w:jc w:val="center"/>
            </w:pPr>
            <w:r>
              <w:t>±</w:t>
            </w:r>
          </w:p>
        </w:tc>
        <w:tc>
          <w:tcPr>
            <w:tcW w:w="871" w:type="dxa"/>
            <w:tcBorders>
              <w:right w:val="single" w:sz="6" w:space="0" w:color="auto"/>
            </w:tcBorders>
            <w:vAlign w:val="center"/>
          </w:tcPr>
          <w:p w14:paraId="61E27C04" w14:textId="77777777" w:rsidR="00CD4606" w:rsidRDefault="00CD4606" w:rsidP="00CD4606">
            <w:pPr>
              <w:spacing w:line="240" w:lineRule="auto"/>
              <w:jc w:val="left"/>
            </w:pPr>
            <w:r>
              <w:t>19.57</w:t>
            </w:r>
          </w:p>
        </w:tc>
        <w:tc>
          <w:tcPr>
            <w:tcW w:w="871" w:type="dxa"/>
            <w:tcBorders>
              <w:left w:val="single" w:sz="6" w:space="0" w:color="auto"/>
            </w:tcBorders>
            <w:vAlign w:val="center"/>
          </w:tcPr>
          <w:p w14:paraId="48BC9E03" w14:textId="77777777" w:rsidR="00CD4606" w:rsidRDefault="00CD4606" w:rsidP="00CD4606">
            <w:pPr>
              <w:spacing w:line="240" w:lineRule="auto"/>
              <w:jc w:val="right"/>
            </w:pPr>
            <w:r>
              <w:t>779.78</w:t>
            </w:r>
          </w:p>
        </w:tc>
        <w:tc>
          <w:tcPr>
            <w:tcW w:w="360" w:type="dxa"/>
            <w:vAlign w:val="center"/>
          </w:tcPr>
          <w:p w14:paraId="0706BCE6" w14:textId="77777777" w:rsidR="00CD4606" w:rsidRDefault="00CD4606" w:rsidP="00CD4606">
            <w:pPr>
              <w:spacing w:line="240" w:lineRule="auto"/>
              <w:jc w:val="center"/>
            </w:pPr>
            <w:r>
              <w:t>±</w:t>
            </w:r>
          </w:p>
        </w:tc>
        <w:tc>
          <w:tcPr>
            <w:tcW w:w="871" w:type="dxa"/>
            <w:tcBorders>
              <w:right w:val="single" w:sz="6" w:space="0" w:color="auto"/>
            </w:tcBorders>
            <w:vAlign w:val="center"/>
          </w:tcPr>
          <w:p w14:paraId="288974EF" w14:textId="77777777" w:rsidR="00CD4606" w:rsidRDefault="00CD4606" w:rsidP="00CD4606">
            <w:pPr>
              <w:spacing w:line="240" w:lineRule="auto"/>
              <w:jc w:val="left"/>
            </w:pPr>
            <w:r>
              <w:t>25.55</w:t>
            </w:r>
          </w:p>
        </w:tc>
        <w:tc>
          <w:tcPr>
            <w:tcW w:w="872" w:type="dxa"/>
            <w:tcBorders>
              <w:left w:val="single" w:sz="6" w:space="0" w:color="auto"/>
            </w:tcBorders>
            <w:vAlign w:val="center"/>
          </w:tcPr>
          <w:p w14:paraId="3C57C333" w14:textId="77777777" w:rsidR="00CD4606" w:rsidRDefault="00CD4606" w:rsidP="00CD4606">
            <w:pPr>
              <w:spacing w:line="240" w:lineRule="auto"/>
              <w:jc w:val="right"/>
            </w:pPr>
            <w:r>
              <w:t>690.29</w:t>
            </w:r>
          </w:p>
        </w:tc>
        <w:tc>
          <w:tcPr>
            <w:tcW w:w="360" w:type="dxa"/>
            <w:vAlign w:val="center"/>
          </w:tcPr>
          <w:p w14:paraId="0DE85538" w14:textId="77777777" w:rsidR="00CD4606" w:rsidRDefault="00CD4606" w:rsidP="00CD4606">
            <w:pPr>
              <w:spacing w:line="240" w:lineRule="auto"/>
              <w:jc w:val="center"/>
            </w:pPr>
            <w:r>
              <w:t>±</w:t>
            </w:r>
          </w:p>
        </w:tc>
        <w:tc>
          <w:tcPr>
            <w:tcW w:w="872" w:type="dxa"/>
            <w:tcBorders>
              <w:right w:val="single" w:sz="6" w:space="0" w:color="auto"/>
            </w:tcBorders>
            <w:vAlign w:val="center"/>
          </w:tcPr>
          <w:p w14:paraId="251A0915" w14:textId="77777777" w:rsidR="00CD4606" w:rsidRDefault="00CD4606" w:rsidP="00CD4606">
            <w:pPr>
              <w:spacing w:line="240" w:lineRule="auto"/>
              <w:jc w:val="left"/>
            </w:pPr>
            <w:r>
              <w:t>78.89</w:t>
            </w:r>
          </w:p>
        </w:tc>
      </w:tr>
      <w:tr w:rsidR="00CD4606" w14:paraId="0F3D239D" w14:textId="77777777" w:rsidTr="00CD4606">
        <w:trPr>
          <w:cantSplit/>
          <w:trHeight w:val="360"/>
          <w:jc w:val="center"/>
        </w:trPr>
        <w:tc>
          <w:tcPr>
            <w:tcW w:w="871" w:type="dxa"/>
            <w:vMerge/>
            <w:tcBorders>
              <w:left w:val="single" w:sz="6" w:space="0" w:color="auto"/>
              <w:bottom w:val="single" w:sz="6" w:space="0" w:color="auto"/>
            </w:tcBorders>
            <w:vAlign w:val="center"/>
          </w:tcPr>
          <w:p w14:paraId="5C49B607" w14:textId="77777777" w:rsidR="00CD4606" w:rsidRDefault="00CD4606" w:rsidP="00CD4606">
            <w:pPr>
              <w:spacing w:before="120" w:after="120" w:line="240" w:lineRule="auto"/>
              <w:jc w:val="center"/>
            </w:pPr>
          </w:p>
        </w:tc>
        <w:tc>
          <w:tcPr>
            <w:tcW w:w="1310" w:type="dxa"/>
            <w:tcBorders>
              <w:bottom w:val="single" w:sz="6" w:space="0" w:color="auto"/>
              <w:right w:val="single" w:sz="6" w:space="0" w:color="auto"/>
            </w:tcBorders>
            <w:vAlign w:val="center"/>
          </w:tcPr>
          <w:p w14:paraId="12D923DB" w14:textId="77777777" w:rsidR="00CD4606" w:rsidRDefault="00CD4606" w:rsidP="00CD4606">
            <w:pPr>
              <w:spacing w:line="240" w:lineRule="auto"/>
              <w:jc w:val="center"/>
            </w:pPr>
            <w:r>
              <w:t>482.6</w:t>
            </w:r>
          </w:p>
        </w:tc>
        <w:tc>
          <w:tcPr>
            <w:tcW w:w="871" w:type="dxa"/>
            <w:tcBorders>
              <w:left w:val="single" w:sz="6" w:space="0" w:color="auto"/>
              <w:bottom w:val="single" w:sz="6" w:space="0" w:color="auto"/>
            </w:tcBorders>
            <w:vAlign w:val="center"/>
          </w:tcPr>
          <w:p w14:paraId="2F413EF5" w14:textId="77777777" w:rsidR="00CD4606" w:rsidRDefault="00CD4606" w:rsidP="00CD4606">
            <w:pPr>
              <w:spacing w:line="240" w:lineRule="auto"/>
              <w:jc w:val="right"/>
            </w:pPr>
            <w:r>
              <w:t>545.67</w:t>
            </w:r>
          </w:p>
        </w:tc>
        <w:tc>
          <w:tcPr>
            <w:tcW w:w="360" w:type="dxa"/>
            <w:tcBorders>
              <w:bottom w:val="single" w:sz="6" w:space="0" w:color="auto"/>
            </w:tcBorders>
            <w:vAlign w:val="center"/>
          </w:tcPr>
          <w:p w14:paraId="751911E5" w14:textId="77777777" w:rsidR="00CD4606" w:rsidRDefault="00CD4606" w:rsidP="00CD4606">
            <w:pPr>
              <w:spacing w:line="240" w:lineRule="auto"/>
              <w:jc w:val="center"/>
            </w:pPr>
            <w:r>
              <w:t>±</w:t>
            </w:r>
          </w:p>
        </w:tc>
        <w:tc>
          <w:tcPr>
            <w:tcW w:w="871" w:type="dxa"/>
            <w:tcBorders>
              <w:bottom w:val="single" w:sz="6" w:space="0" w:color="auto"/>
              <w:right w:val="single" w:sz="6" w:space="0" w:color="auto"/>
            </w:tcBorders>
            <w:vAlign w:val="center"/>
          </w:tcPr>
          <w:p w14:paraId="5DD076AD" w14:textId="77777777" w:rsidR="00CD4606" w:rsidRDefault="00CD4606" w:rsidP="00CD4606">
            <w:pPr>
              <w:spacing w:line="240" w:lineRule="auto"/>
              <w:jc w:val="left"/>
            </w:pPr>
            <w:r>
              <w:t>16.61</w:t>
            </w:r>
          </w:p>
        </w:tc>
        <w:tc>
          <w:tcPr>
            <w:tcW w:w="871" w:type="dxa"/>
            <w:tcBorders>
              <w:left w:val="single" w:sz="6" w:space="0" w:color="auto"/>
              <w:bottom w:val="single" w:sz="6" w:space="0" w:color="auto"/>
            </w:tcBorders>
            <w:vAlign w:val="center"/>
          </w:tcPr>
          <w:p w14:paraId="2165A7B0" w14:textId="77777777" w:rsidR="00CD4606" w:rsidRDefault="00CD4606" w:rsidP="00CD4606">
            <w:pPr>
              <w:spacing w:line="240" w:lineRule="auto"/>
              <w:jc w:val="right"/>
            </w:pPr>
            <w:r>
              <w:t>967.33</w:t>
            </w:r>
          </w:p>
        </w:tc>
        <w:tc>
          <w:tcPr>
            <w:tcW w:w="360" w:type="dxa"/>
            <w:tcBorders>
              <w:bottom w:val="single" w:sz="6" w:space="0" w:color="auto"/>
            </w:tcBorders>
            <w:vAlign w:val="center"/>
          </w:tcPr>
          <w:p w14:paraId="53DEC06F" w14:textId="77777777" w:rsidR="00CD4606" w:rsidRDefault="00CD4606" w:rsidP="00CD4606">
            <w:pPr>
              <w:spacing w:line="240" w:lineRule="auto"/>
              <w:jc w:val="center"/>
            </w:pPr>
            <w:r>
              <w:t>±</w:t>
            </w:r>
          </w:p>
        </w:tc>
        <w:tc>
          <w:tcPr>
            <w:tcW w:w="871" w:type="dxa"/>
            <w:tcBorders>
              <w:bottom w:val="single" w:sz="6" w:space="0" w:color="auto"/>
              <w:right w:val="single" w:sz="6" w:space="0" w:color="auto"/>
            </w:tcBorders>
            <w:vAlign w:val="center"/>
          </w:tcPr>
          <w:p w14:paraId="238956B1" w14:textId="77777777" w:rsidR="00CD4606" w:rsidRDefault="00CD4606" w:rsidP="00CD4606">
            <w:pPr>
              <w:spacing w:line="240" w:lineRule="auto"/>
              <w:jc w:val="left"/>
            </w:pPr>
            <w:r>
              <w:t>26.62</w:t>
            </w:r>
          </w:p>
        </w:tc>
        <w:tc>
          <w:tcPr>
            <w:tcW w:w="872" w:type="dxa"/>
            <w:tcBorders>
              <w:left w:val="single" w:sz="6" w:space="0" w:color="auto"/>
              <w:bottom w:val="single" w:sz="6" w:space="0" w:color="auto"/>
            </w:tcBorders>
            <w:vAlign w:val="center"/>
          </w:tcPr>
          <w:p w14:paraId="66CF7B25" w14:textId="77777777" w:rsidR="00CD4606" w:rsidRDefault="00CD4606" w:rsidP="00CD4606">
            <w:pPr>
              <w:spacing w:line="240" w:lineRule="auto"/>
              <w:jc w:val="right"/>
            </w:pPr>
            <w:r>
              <w:t>607.56</w:t>
            </w:r>
          </w:p>
        </w:tc>
        <w:tc>
          <w:tcPr>
            <w:tcW w:w="360" w:type="dxa"/>
            <w:tcBorders>
              <w:bottom w:val="single" w:sz="6" w:space="0" w:color="auto"/>
            </w:tcBorders>
            <w:vAlign w:val="center"/>
          </w:tcPr>
          <w:p w14:paraId="40B43925" w14:textId="77777777" w:rsidR="00CD4606" w:rsidRDefault="00CD4606" w:rsidP="00CD4606">
            <w:pPr>
              <w:spacing w:line="240" w:lineRule="auto"/>
              <w:jc w:val="center"/>
            </w:pPr>
            <w:r>
              <w:t>±</w:t>
            </w:r>
          </w:p>
        </w:tc>
        <w:tc>
          <w:tcPr>
            <w:tcW w:w="872" w:type="dxa"/>
            <w:tcBorders>
              <w:bottom w:val="single" w:sz="6" w:space="0" w:color="auto"/>
              <w:right w:val="single" w:sz="6" w:space="0" w:color="auto"/>
            </w:tcBorders>
            <w:vAlign w:val="center"/>
          </w:tcPr>
          <w:p w14:paraId="5D012033" w14:textId="77777777" w:rsidR="00CD4606" w:rsidRDefault="00CD4606" w:rsidP="00CD4606">
            <w:pPr>
              <w:spacing w:line="240" w:lineRule="auto"/>
              <w:jc w:val="left"/>
            </w:pPr>
            <w:r>
              <w:t>69.23</w:t>
            </w:r>
          </w:p>
        </w:tc>
      </w:tr>
      <w:tr w:rsidR="00CD4606" w14:paraId="040E26D4" w14:textId="77777777" w:rsidTr="00CD4606">
        <w:trPr>
          <w:cantSplit/>
          <w:trHeight w:val="360"/>
          <w:jc w:val="center"/>
        </w:trPr>
        <w:tc>
          <w:tcPr>
            <w:tcW w:w="871" w:type="dxa"/>
            <w:vMerge w:val="restart"/>
            <w:tcBorders>
              <w:top w:val="single" w:sz="6" w:space="0" w:color="auto"/>
              <w:left w:val="single" w:sz="6" w:space="0" w:color="auto"/>
            </w:tcBorders>
            <w:textDirection w:val="btLr"/>
            <w:vAlign w:val="center"/>
          </w:tcPr>
          <w:p w14:paraId="378C04C5" w14:textId="77777777" w:rsidR="00CD4606" w:rsidRDefault="00CD4606" w:rsidP="00CD4606">
            <w:pPr>
              <w:spacing w:before="120" w:after="120" w:line="240" w:lineRule="auto"/>
              <w:ind w:left="113" w:right="113"/>
              <w:jc w:val="center"/>
            </w:pPr>
            <w:r>
              <w:t>70% RH</w:t>
            </w:r>
          </w:p>
        </w:tc>
        <w:tc>
          <w:tcPr>
            <w:tcW w:w="1310" w:type="dxa"/>
            <w:tcBorders>
              <w:top w:val="single" w:sz="6" w:space="0" w:color="auto"/>
              <w:right w:val="single" w:sz="6" w:space="0" w:color="auto"/>
            </w:tcBorders>
            <w:vAlign w:val="center"/>
          </w:tcPr>
          <w:p w14:paraId="119FBF07" w14:textId="77777777" w:rsidR="00CD4606" w:rsidRDefault="00CD4606" w:rsidP="00CD4606">
            <w:pPr>
              <w:spacing w:line="240" w:lineRule="auto"/>
              <w:jc w:val="center"/>
            </w:pPr>
            <w:r>
              <w:t>68.9</w:t>
            </w:r>
          </w:p>
        </w:tc>
        <w:tc>
          <w:tcPr>
            <w:tcW w:w="871" w:type="dxa"/>
            <w:tcBorders>
              <w:top w:val="single" w:sz="6" w:space="0" w:color="auto"/>
              <w:left w:val="single" w:sz="6" w:space="0" w:color="auto"/>
            </w:tcBorders>
            <w:vAlign w:val="center"/>
          </w:tcPr>
          <w:p w14:paraId="387031A1" w14:textId="77777777" w:rsidR="00CD4606" w:rsidRDefault="00CD4606" w:rsidP="00CD4606">
            <w:pPr>
              <w:spacing w:line="240" w:lineRule="auto"/>
              <w:jc w:val="right"/>
            </w:pPr>
            <w:r>
              <w:t>425.04</w:t>
            </w:r>
          </w:p>
        </w:tc>
        <w:tc>
          <w:tcPr>
            <w:tcW w:w="360" w:type="dxa"/>
            <w:tcBorders>
              <w:top w:val="single" w:sz="6" w:space="0" w:color="auto"/>
            </w:tcBorders>
            <w:vAlign w:val="center"/>
          </w:tcPr>
          <w:p w14:paraId="432CCF45" w14:textId="77777777" w:rsidR="00CD4606" w:rsidRDefault="00CD4606" w:rsidP="00CD4606">
            <w:pPr>
              <w:spacing w:line="240" w:lineRule="auto"/>
              <w:jc w:val="center"/>
            </w:pPr>
            <w:r>
              <w:t>±</w:t>
            </w:r>
          </w:p>
        </w:tc>
        <w:tc>
          <w:tcPr>
            <w:tcW w:w="871" w:type="dxa"/>
            <w:tcBorders>
              <w:top w:val="single" w:sz="6" w:space="0" w:color="auto"/>
              <w:right w:val="single" w:sz="6" w:space="0" w:color="auto"/>
            </w:tcBorders>
            <w:vAlign w:val="center"/>
          </w:tcPr>
          <w:p w14:paraId="2918657B" w14:textId="77777777" w:rsidR="00CD4606" w:rsidRDefault="00CD4606" w:rsidP="00CD4606">
            <w:pPr>
              <w:spacing w:line="240" w:lineRule="auto"/>
              <w:jc w:val="left"/>
            </w:pPr>
            <w:r>
              <w:t>16.22</w:t>
            </w:r>
          </w:p>
        </w:tc>
        <w:tc>
          <w:tcPr>
            <w:tcW w:w="871" w:type="dxa"/>
            <w:tcBorders>
              <w:top w:val="single" w:sz="6" w:space="0" w:color="auto"/>
              <w:left w:val="single" w:sz="6" w:space="0" w:color="auto"/>
            </w:tcBorders>
            <w:vAlign w:val="center"/>
          </w:tcPr>
          <w:p w14:paraId="27F9EA3D" w14:textId="77777777" w:rsidR="00CD4606" w:rsidRDefault="00CD4606" w:rsidP="00CD4606">
            <w:pPr>
              <w:spacing w:line="240" w:lineRule="auto"/>
              <w:jc w:val="right"/>
            </w:pPr>
            <w:r>
              <w:t>619.12</w:t>
            </w:r>
          </w:p>
        </w:tc>
        <w:tc>
          <w:tcPr>
            <w:tcW w:w="360" w:type="dxa"/>
            <w:tcBorders>
              <w:top w:val="single" w:sz="6" w:space="0" w:color="auto"/>
            </w:tcBorders>
            <w:vAlign w:val="center"/>
          </w:tcPr>
          <w:p w14:paraId="399BF5BC" w14:textId="77777777" w:rsidR="00CD4606" w:rsidRDefault="00CD4606" w:rsidP="00CD4606">
            <w:pPr>
              <w:spacing w:line="240" w:lineRule="auto"/>
              <w:jc w:val="center"/>
            </w:pPr>
            <w:r>
              <w:t>±</w:t>
            </w:r>
          </w:p>
        </w:tc>
        <w:tc>
          <w:tcPr>
            <w:tcW w:w="871" w:type="dxa"/>
            <w:tcBorders>
              <w:top w:val="single" w:sz="6" w:space="0" w:color="auto"/>
              <w:right w:val="single" w:sz="6" w:space="0" w:color="auto"/>
            </w:tcBorders>
            <w:vAlign w:val="center"/>
          </w:tcPr>
          <w:p w14:paraId="2F2F0364" w14:textId="77777777" w:rsidR="00CD4606" w:rsidRDefault="00CD4606" w:rsidP="00CD4606">
            <w:pPr>
              <w:spacing w:line="240" w:lineRule="auto"/>
              <w:jc w:val="left"/>
            </w:pPr>
            <w:r>
              <w:t>59.67</w:t>
            </w:r>
          </w:p>
        </w:tc>
        <w:tc>
          <w:tcPr>
            <w:tcW w:w="872" w:type="dxa"/>
            <w:tcBorders>
              <w:top w:val="single" w:sz="6" w:space="0" w:color="auto"/>
              <w:left w:val="single" w:sz="6" w:space="0" w:color="auto"/>
            </w:tcBorders>
            <w:vAlign w:val="center"/>
          </w:tcPr>
          <w:p w14:paraId="39A1E1DB" w14:textId="77777777" w:rsidR="00CD4606" w:rsidRDefault="00CD4606" w:rsidP="00CD4606">
            <w:pPr>
              <w:spacing w:line="240" w:lineRule="auto"/>
              <w:jc w:val="right"/>
            </w:pPr>
            <w:r>
              <w:t>653.18</w:t>
            </w:r>
          </w:p>
        </w:tc>
        <w:tc>
          <w:tcPr>
            <w:tcW w:w="360" w:type="dxa"/>
            <w:tcBorders>
              <w:top w:val="single" w:sz="6" w:space="0" w:color="auto"/>
            </w:tcBorders>
            <w:vAlign w:val="center"/>
          </w:tcPr>
          <w:p w14:paraId="12624FD3" w14:textId="77777777" w:rsidR="00CD4606" w:rsidRDefault="00CD4606" w:rsidP="00CD4606">
            <w:pPr>
              <w:spacing w:line="240" w:lineRule="auto"/>
              <w:jc w:val="center"/>
            </w:pPr>
            <w:r>
              <w:t>±</w:t>
            </w:r>
          </w:p>
        </w:tc>
        <w:tc>
          <w:tcPr>
            <w:tcW w:w="872" w:type="dxa"/>
            <w:tcBorders>
              <w:top w:val="single" w:sz="6" w:space="0" w:color="auto"/>
              <w:right w:val="single" w:sz="6" w:space="0" w:color="auto"/>
            </w:tcBorders>
            <w:vAlign w:val="center"/>
          </w:tcPr>
          <w:p w14:paraId="609D0D25" w14:textId="77777777" w:rsidR="00CD4606" w:rsidRDefault="00CD4606" w:rsidP="00CD4606">
            <w:pPr>
              <w:spacing w:line="240" w:lineRule="auto"/>
              <w:jc w:val="left"/>
            </w:pPr>
            <w:r>
              <w:t>53.89</w:t>
            </w:r>
          </w:p>
        </w:tc>
      </w:tr>
      <w:tr w:rsidR="00CD4606" w14:paraId="2DDCFAE9" w14:textId="77777777" w:rsidTr="00CD4606">
        <w:trPr>
          <w:cantSplit/>
          <w:trHeight w:val="360"/>
          <w:jc w:val="center"/>
        </w:trPr>
        <w:tc>
          <w:tcPr>
            <w:tcW w:w="871" w:type="dxa"/>
            <w:vMerge/>
            <w:tcBorders>
              <w:left w:val="single" w:sz="6" w:space="0" w:color="auto"/>
            </w:tcBorders>
            <w:vAlign w:val="center"/>
          </w:tcPr>
          <w:p w14:paraId="2DF43316" w14:textId="77777777" w:rsidR="00CD4606" w:rsidRDefault="00CD4606" w:rsidP="00CD4606">
            <w:pPr>
              <w:spacing w:before="120" w:after="120" w:line="240" w:lineRule="auto"/>
              <w:jc w:val="center"/>
            </w:pPr>
          </w:p>
        </w:tc>
        <w:tc>
          <w:tcPr>
            <w:tcW w:w="1310" w:type="dxa"/>
            <w:tcBorders>
              <w:right w:val="single" w:sz="6" w:space="0" w:color="auto"/>
            </w:tcBorders>
            <w:vAlign w:val="center"/>
          </w:tcPr>
          <w:p w14:paraId="0C58A2F2" w14:textId="77777777" w:rsidR="00CD4606" w:rsidRDefault="00CD4606" w:rsidP="00CD4606">
            <w:pPr>
              <w:spacing w:line="240" w:lineRule="auto"/>
              <w:jc w:val="center"/>
            </w:pPr>
            <w:r>
              <w:t>206.8</w:t>
            </w:r>
          </w:p>
        </w:tc>
        <w:tc>
          <w:tcPr>
            <w:tcW w:w="871" w:type="dxa"/>
            <w:tcBorders>
              <w:left w:val="single" w:sz="6" w:space="0" w:color="auto"/>
            </w:tcBorders>
            <w:vAlign w:val="center"/>
          </w:tcPr>
          <w:p w14:paraId="3F6FCA1F" w14:textId="77777777" w:rsidR="00CD4606" w:rsidRDefault="00CD4606" w:rsidP="00CD4606">
            <w:pPr>
              <w:spacing w:line="240" w:lineRule="auto"/>
              <w:jc w:val="right"/>
            </w:pPr>
            <w:r>
              <w:t>488.61</w:t>
            </w:r>
          </w:p>
        </w:tc>
        <w:tc>
          <w:tcPr>
            <w:tcW w:w="360" w:type="dxa"/>
            <w:vAlign w:val="center"/>
          </w:tcPr>
          <w:p w14:paraId="3EA9E78C" w14:textId="77777777" w:rsidR="00CD4606" w:rsidRDefault="00CD4606" w:rsidP="00CD4606">
            <w:pPr>
              <w:spacing w:line="240" w:lineRule="auto"/>
              <w:jc w:val="center"/>
            </w:pPr>
            <w:r>
              <w:t>±</w:t>
            </w:r>
          </w:p>
        </w:tc>
        <w:tc>
          <w:tcPr>
            <w:tcW w:w="871" w:type="dxa"/>
            <w:tcBorders>
              <w:right w:val="single" w:sz="6" w:space="0" w:color="auto"/>
            </w:tcBorders>
            <w:vAlign w:val="center"/>
          </w:tcPr>
          <w:p w14:paraId="1724A8FF" w14:textId="77777777" w:rsidR="00CD4606" w:rsidRDefault="00CD4606" w:rsidP="00CD4606">
            <w:pPr>
              <w:spacing w:line="240" w:lineRule="auto"/>
              <w:jc w:val="left"/>
            </w:pPr>
            <w:r>
              <w:t>10.28</w:t>
            </w:r>
          </w:p>
        </w:tc>
        <w:tc>
          <w:tcPr>
            <w:tcW w:w="871" w:type="dxa"/>
            <w:tcBorders>
              <w:left w:val="single" w:sz="6" w:space="0" w:color="auto"/>
            </w:tcBorders>
            <w:vAlign w:val="center"/>
          </w:tcPr>
          <w:p w14:paraId="74740EE2" w14:textId="77777777" w:rsidR="00CD4606" w:rsidRDefault="00CD4606" w:rsidP="00CD4606">
            <w:pPr>
              <w:spacing w:line="240" w:lineRule="auto"/>
              <w:jc w:val="right"/>
            </w:pPr>
            <w:r>
              <w:t>773.84</w:t>
            </w:r>
          </w:p>
        </w:tc>
        <w:tc>
          <w:tcPr>
            <w:tcW w:w="360" w:type="dxa"/>
            <w:vAlign w:val="center"/>
          </w:tcPr>
          <w:p w14:paraId="236BE28C" w14:textId="77777777" w:rsidR="00CD4606" w:rsidRDefault="00CD4606" w:rsidP="00CD4606">
            <w:pPr>
              <w:spacing w:line="240" w:lineRule="auto"/>
              <w:jc w:val="center"/>
            </w:pPr>
            <w:r>
              <w:t>±</w:t>
            </w:r>
          </w:p>
        </w:tc>
        <w:tc>
          <w:tcPr>
            <w:tcW w:w="871" w:type="dxa"/>
            <w:tcBorders>
              <w:right w:val="single" w:sz="6" w:space="0" w:color="auto"/>
            </w:tcBorders>
            <w:vAlign w:val="center"/>
          </w:tcPr>
          <w:p w14:paraId="7CDEE4CE" w14:textId="77777777" w:rsidR="00CD4606" w:rsidRDefault="00CD4606" w:rsidP="00CD4606">
            <w:pPr>
              <w:spacing w:line="240" w:lineRule="auto"/>
              <w:jc w:val="left"/>
            </w:pPr>
            <w:r>
              <w:t>61.85</w:t>
            </w:r>
          </w:p>
        </w:tc>
        <w:tc>
          <w:tcPr>
            <w:tcW w:w="872" w:type="dxa"/>
            <w:tcBorders>
              <w:left w:val="single" w:sz="6" w:space="0" w:color="auto"/>
            </w:tcBorders>
            <w:vAlign w:val="center"/>
          </w:tcPr>
          <w:p w14:paraId="0DFCABC6" w14:textId="77777777" w:rsidR="00CD4606" w:rsidRDefault="00CD4606" w:rsidP="00CD4606">
            <w:pPr>
              <w:spacing w:line="240" w:lineRule="auto"/>
              <w:jc w:val="right"/>
            </w:pPr>
            <w:r>
              <w:t>733.73</w:t>
            </w:r>
          </w:p>
        </w:tc>
        <w:tc>
          <w:tcPr>
            <w:tcW w:w="360" w:type="dxa"/>
            <w:vAlign w:val="center"/>
          </w:tcPr>
          <w:p w14:paraId="31568500" w14:textId="77777777" w:rsidR="00CD4606" w:rsidRDefault="00CD4606" w:rsidP="00CD4606">
            <w:pPr>
              <w:spacing w:line="240" w:lineRule="auto"/>
              <w:jc w:val="center"/>
            </w:pPr>
            <w:r>
              <w:t>±</w:t>
            </w:r>
          </w:p>
        </w:tc>
        <w:tc>
          <w:tcPr>
            <w:tcW w:w="872" w:type="dxa"/>
            <w:tcBorders>
              <w:right w:val="single" w:sz="6" w:space="0" w:color="auto"/>
            </w:tcBorders>
            <w:vAlign w:val="center"/>
          </w:tcPr>
          <w:p w14:paraId="5F392212" w14:textId="77777777" w:rsidR="00CD4606" w:rsidRDefault="00CD4606" w:rsidP="00CD4606">
            <w:pPr>
              <w:spacing w:line="240" w:lineRule="auto"/>
              <w:jc w:val="left"/>
            </w:pPr>
            <w:r>
              <w:t>34.26</w:t>
            </w:r>
          </w:p>
        </w:tc>
      </w:tr>
      <w:tr w:rsidR="00CD4606" w14:paraId="732E2C66" w14:textId="77777777" w:rsidTr="00CD4606">
        <w:trPr>
          <w:cantSplit/>
          <w:trHeight w:val="360"/>
          <w:jc w:val="center"/>
        </w:trPr>
        <w:tc>
          <w:tcPr>
            <w:tcW w:w="871" w:type="dxa"/>
            <w:vMerge/>
            <w:tcBorders>
              <w:left w:val="single" w:sz="6" w:space="0" w:color="auto"/>
            </w:tcBorders>
            <w:vAlign w:val="center"/>
          </w:tcPr>
          <w:p w14:paraId="1192857A" w14:textId="77777777" w:rsidR="00CD4606" w:rsidRDefault="00CD4606" w:rsidP="00CD4606">
            <w:pPr>
              <w:spacing w:before="120" w:after="120" w:line="240" w:lineRule="auto"/>
              <w:jc w:val="center"/>
            </w:pPr>
          </w:p>
        </w:tc>
        <w:tc>
          <w:tcPr>
            <w:tcW w:w="1310" w:type="dxa"/>
            <w:tcBorders>
              <w:right w:val="single" w:sz="6" w:space="0" w:color="auto"/>
            </w:tcBorders>
            <w:vAlign w:val="center"/>
          </w:tcPr>
          <w:p w14:paraId="3D176214" w14:textId="77777777" w:rsidR="00CD4606" w:rsidRDefault="00CD4606" w:rsidP="00CD4606">
            <w:pPr>
              <w:spacing w:line="240" w:lineRule="auto"/>
              <w:jc w:val="center"/>
            </w:pPr>
            <w:r>
              <w:t>344.7</w:t>
            </w:r>
          </w:p>
        </w:tc>
        <w:tc>
          <w:tcPr>
            <w:tcW w:w="871" w:type="dxa"/>
            <w:tcBorders>
              <w:left w:val="single" w:sz="6" w:space="0" w:color="auto"/>
            </w:tcBorders>
            <w:vAlign w:val="center"/>
          </w:tcPr>
          <w:p w14:paraId="451A5B0D" w14:textId="77777777" w:rsidR="00CD4606" w:rsidRDefault="00CD4606" w:rsidP="00CD4606">
            <w:pPr>
              <w:spacing w:line="240" w:lineRule="auto"/>
              <w:jc w:val="right"/>
            </w:pPr>
            <w:r>
              <w:t>507.71</w:t>
            </w:r>
          </w:p>
        </w:tc>
        <w:tc>
          <w:tcPr>
            <w:tcW w:w="360" w:type="dxa"/>
            <w:vAlign w:val="center"/>
          </w:tcPr>
          <w:p w14:paraId="1F23EDFF" w14:textId="77777777" w:rsidR="00CD4606" w:rsidRDefault="00CD4606" w:rsidP="00CD4606">
            <w:pPr>
              <w:spacing w:line="240" w:lineRule="auto"/>
              <w:jc w:val="center"/>
            </w:pPr>
            <w:r>
              <w:t>±</w:t>
            </w:r>
          </w:p>
        </w:tc>
        <w:tc>
          <w:tcPr>
            <w:tcW w:w="871" w:type="dxa"/>
            <w:tcBorders>
              <w:right w:val="single" w:sz="6" w:space="0" w:color="auto"/>
            </w:tcBorders>
            <w:vAlign w:val="center"/>
          </w:tcPr>
          <w:p w14:paraId="406E152C" w14:textId="77777777" w:rsidR="00CD4606" w:rsidRDefault="00CD4606" w:rsidP="00CD4606">
            <w:pPr>
              <w:spacing w:line="240" w:lineRule="auto"/>
              <w:jc w:val="left"/>
            </w:pPr>
            <w:r>
              <w:t>13.04</w:t>
            </w:r>
          </w:p>
        </w:tc>
        <w:tc>
          <w:tcPr>
            <w:tcW w:w="871" w:type="dxa"/>
            <w:tcBorders>
              <w:left w:val="single" w:sz="6" w:space="0" w:color="auto"/>
            </w:tcBorders>
            <w:vAlign w:val="center"/>
          </w:tcPr>
          <w:p w14:paraId="5A2F020A" w14:textId="77777777" w:rsidR="00CD4606" w:rsidRDefault="00CD4606" w:rsidP="00CD4606">
            <w:pPr>
              <w:spacing w:line="240" w:lineRule="auto"/>
              <w:jc w:val="right"/>
            </w:pPr>
            <w:r>
              <w:t>852.99</w:t>
            </w:r>
          </w:p>
        </w:tc>
        <w:tc>
          <w:tcPr>
            <w:tcW w:w="360" w:type="dxa"/>
            <w:vAlign w:val="center"/>
          </w:tcPr>
          <w:p w14:paraId="586E174B" w14:textId="77777777" w:rsidR="00CD4606" w:rsidRDefault="00CD4606" w:rsidP="00CD4606">
            <w:pPr>
              <w:spacing w:line="240" w:lineRule="auto"/>
              <w:jc w:val="center"/>
            </w:pPr>
            <w:r>
              <w:t>±</w:t>
            </w:r>
          </w:p>
        </w:tc>
        <w:tc>
          <w:tcPr>
            <w:tcW w:w="871" w:type="dxa"/>
            <w:tcBorders>
              <w:right w:val="single" w:sz="6" w:space="0" w:color="auto"/>
            </w:tcBorders>
            <w:vAlign w:val="center"/>
          </w:tcPr>
          <w:p w14:paraId="12807409" w14:textId="77777777" w:rsidR="00CD4606" w:rsidRDefault="00CD4606" w:rsidP="00CD4606">
            <w:pPr>
              <w:spacing w:line="240" w:lineRule="auto"/>
              <w:jc w:val="left"/>
            </w:pPr>
            <w:r>
              <w:t>26.19</w:t>
            </w:r>
          </w:p>
        </w:tc>
        <w:tc>
          <w:tcPr>
            <w:tcW w:w="872" w:type="dxa"/>
            <w:tcBorders>
              <w:left w:val="single" w:sz="6" w:space="0" w:color="auto"/>
            </w:tcBorders>
            <w:vAlign w:val="center"/>
          </w:tcPr>
          <w:p w14:paraId="64F0444D" w14:textId="77777777" w:rsidR="00CD4606" w:rsidRDefault="00CD4606" w:rsidP="00CD4606">
            <w:pPr>
              <w:spacing w:line="240" w:lineRule="auto"/>
              <w:jc w:val="right"/>
            </w:pPr>
            <w:r>
              <w:t>774.24</w:t>
            </w:r>
          </w:p>
        </w:tc>
        <w:tc>
          <w:tcPr>
            <w:tcW w:w="360" w:type="dxa"/>
            <w:vAlign w:val="center"/>
          </w:tcPr>
          <w:p w14:paraId="70791F4D" w14:textId="77777777" w:rsidR="00CD4606" w:rsidRDefault="00CD4606" w:rsidP="00CD4606">
            <w:pPr>
              <w:spacing w:line="240" w:lineRule="auto"/>
              <w:jc w:val="center"/>
            </w:pPr>
            <w:r>
              <w:t>±</w:t>
            </w:r>
          </w:p>
        </w:tc>
        <w:tc>
          <w:tcPr>
            <w:tcW w:w="872" w:type="dxa"/>
            <w:tcBorders>
              <w:right w:val="single" w:sz="6" w:space="0" w:color="auto"/>
            </w:tcBorders>
            <w:vAlign w:val="center"/>
          </w:tcPr>
          <w:p w14:paraId="71B2CB4D" w14:textId="77777777" w:rsidR="00CD4606" w:rsidRDefault="00CD4606" w:rsidP="00CD4606">
            <w:pPr>
              <w:spacing w:line="240" w:lineRule="auto"/>
              <w:jc w:val="left"/>
            </w:pPr>
            <w:r>
              <w:t>71.65</w:t>
            </w:r>
          </w:p>
        </w:tc>
      </w:tr>
      <w:tr w:rsidR="00CD4606" w14:paraId="4F691EEF" w14:textId="77777777" w:rsidTr="00CD4606">
        <w:trPr>
          <w:cantSplit/>
          <w:trHeight w:val="360"/>
          <w:jc w:val="center"/>
        </w:trPr>
        <w:tc>
          <w:tcPr>
            <w:tcW w:w="871" w:type="dxa"/>
            <w:vMerge/>
            <w:tcBorders>
              <w:left w:val="single" w:sz="6" w:space="0" w:color="auto"/>
              <w:bottom w:val="single" w:sz="6" w:space="0" w:color="auto"/>
            </w:tcBorders>
            <w:vAlign w:val="center"/>
          </w:tcPr>
          <w:p w14:paraId="4D6A46C1" w14:textId="77777777" w:rsidR="00CD4606" w:rsidRDefault="00CD4606" w:rsidP="00CD4606">
            <w:pPr>
              <w:spacing w:before="120" w:after="120" w:line="240" w:lineRule="auto"/>
              <w:jc w:val="center"/>
            </w:pPr>
          </w:p>
        </w:tc>
        <w:tc>
          <w:tcPr>
            <w:tcW w:w="1310" w:type="dxa"/>
            <w:tcBorders>
              <w:bottom w:val="single" w:sz="6" w:space="0" w:color="auto"/>
              <w:right w:val="single" w:sz="6" w:space="0" w:color="auto"/>
            </w:tcBorders>
            <w:vAlign w:val="center"/>
          </w:tcPr>
          <w:p w14:paraId="01294424" w14:textId="77777777" w:rsidR="00CD4606" w:rsidRDefault="00CD4606" w:rsidP="00CD4606">
            <w:pPr>
              <w:spacing w:line="240" w:lineRule="auto"/>
              <w:jc w:val="center"/>
            </w:pPr>
            <w:r>
              <w:t>482.6</w:t>
            </w:r>
          </w:p>
        </w:tc>
        <w:tc>
          <w:tcPr>
            <w:tcW w:w="871" w:type="dxa"/>
            <w:tcBorders>
              <w:left w:val="single" w:sz="6" w:space="0" w:color="auto"/>
              <w:bottom w:val="single" w:sz="6" w:space="0" w:color="auto"/>
            </w:tcBorders>
            <w:vAlign w:val="center"/>
          </w:tcPr>
          <w:p w14:paraId="2727CD61" w14:textId="77777777" w:rsidR="00CD4606" w:rsidRDefault="00CD4606" w:rsidP="00CD4606">
            <w:pPr>
              <w:spacing w:line="240" w:lineRule="auto"/>
              <w:jc w:val="right"/>
            </w:pPr>
            <w:r>
              <w:t>524.81</w:t>
            </w:r>
          </w:p>
        </w:tc>
        <w:tc>
          <w:tcPr>
            <w:tcW w:w="360" w:type="dxa"/>
            <w:tcBorders>
              <w:bottom w:val="single" w:sz="6" w:space="0" w:color="auto"/>
            </w:tcBorders>
            <w:vAlign w:val="center"/>
          </w:tcPr>
          <w:p w14:paraId="3CFED3D6" w14:textId="77777777" w:rsidR="00CD4606" w:rsidRDefault="00CD4606" w:rsidP="00CD4606">
            <w:pPr>
              <w:spacing w:line="240" w:lineRule="auto"/>
              <w:jc w:val="center"/>
            </w:pPr>
            <w:r>
              <w:t>±</w:t>
            </w:r>
          </w:p>
        </w:tc>
        <w:tc>
          <w:tcPr>
            <w:tcW w:w="871" w:type="dxa"/>
            <w:tcBorders>
              <w:bottom w:val="single" w:sz="6" w:space="0" w:color="auto"/>
              <w:right w:val="single" w:sz="6" w:space="0" w:color="auto"/>
            </w:tcBorders>
            <w:vAlign w:val="center"/>
          </w:tcPr>
          <w:p w14:paraId="171196AB" w14:textId="77777777" w:rsidR="00CD4606" w:rsidRDefault="00CD4606" w:rsidP="00CD4606">
            <w:pPr>
              <w:spacing w:line="240" w:lineRule="auto"/>
              <w:jc w:val="left"/>
            </w:pPr>
            <w:r>
              <w:t>11.40</w:t>
            </w:r>
          </w:p>
        </w:tc>
        <w:tc>
          <w:tcPr>
            <w:tcW w:w="871" w:type="dxa"/>
            <w:tcBorders>
              <w:left w:val="single" w:sz="6" w:space="0" w:color="auto"/>
              <w:bottom w:val="single" w:sz="6" w:space="0" w:color="auto"/>
            </w:tcBorders>
            <w:vAlign w:val="center"/>
          </w:tcPr>
          <w:p w14:paraId="18CDD8B8" w14:textId="77777777" w:rsidR="00CD4606" w:rsidRDefault="00CD4606" w:rsidP="00CD4606">
            <w:pPr>
              <w:spacing w:line="240" w:lineRule="auto"/>
              <w:jc w:val="right"/>
            </w:pPr>
            <w:r>
              <w:t>872.99</w:t>
            </w:r>
          </w:p>
        </w:tc>
        <w:tc>
          <w:tcPr>
            <w:tcW w:w="360" w:type="dxa"/>
            <w:tcBorders>
              <w:bottom w:val="single" w:sz="6" w:space="0" w:color="auto"/>
            </w:tcBorders>
            <w:vAlign w:val="center"/>
          </w:tcPr>
          <w:p w14:paraId="2BFFBFF8" w14:textId="77777777" w:rsidR="00CD4606" w:rsidRDefault="00CD4606" w:rsidP="00CD4606">
            <w:pPr>
              <w:spacing w:line="240" w:lineRule="auto"/>
              <w:jc w:val="center"/>
            </w:pPr>
            <w:r>
              <w:t>±</w:t>
            </w:r>
          </w:p>
        </w:tc>
        <w:tc>
          <w:tcPr>
            <w:tcW w:w="871" w:type="dxa"/>
            <w:tcBorders>
              <w:bottom w:val="single" w:sz="6" w:space="0" w:color="auto"/>
              <w:right w:val="single" w:sz="6" w:space="0" w:color="auto"/>
            </w:tcBorders>
            <w:vAlign w:val="center"/>
          </w:tcPr>
          <w:p w14:paraId="0D745E9F" w14:textId="77777777" w:rsidR="00CD4606" w:rsidRDefault="00CD4606" w:rsidP="00CD4606">
            <w:pPr>
              <w:spacing w:line="240" w:lineRule="auto"/>
              <w:jc w:val="left"/>
            </w:pPr>
            <w:r>
              <w:t>48.63</w:t>
            </w:r>
          </w:p>
        </w:tc>
        <w:tc>
          <w:tcPr>
            <w:tcW w:w="872" w:type="dxa"/>
            <w:tcBorders>
              <w:left w:val="single" w:sz="6" w:space="0" w:color="auto"/>
              <w:bottom w:val="single" w:sz="6" w:space="0" w:color="auto"/>
            </w:tcBorders>
            <w:vAlign w:val="center"/>
          </w:tcPr>
          <w:p w14:paraId="445E9EDA" w14:textId="77777777" w:rsidR="00CD4606" w:rsidRDefault="00CD4606" w:rsidP="00CD4606">
            <w:pPr>
              <w:spacing w:line="240" w:lineRule="auto"/>
              <w:jc w:val="right"/>
            </w:pPr>
            <w:r>
              <w:t>793.83</w:t>
            </w:r>
          </w:p>
        </w:tc>
        <w:tc>
          <w:tcPr>
            <w:tcW w:w="360" w:type="dxa"/>
            <w:tcBorders>
              <w:bottom w:val="single" w:sz="6" w:space="0" w:color="auto"/>
            </w:tcBorders>
            <w:vAlign w:val="center"/>
          </w:tcPr>
          <w:p w14:paraId="7D00E7A9" w14:textId="77777777" w:rsidR="00CD4606" w:rsidRDefault="00CD4606" w:rsidP="00CD4606">
            <w:pPr>
              <w:spacing w:line="240" w:lineRule="auto"/>
              <w:jc w:val="center"/>
            </w:pPr>
            <w:r>
              <w:t>±</w:t>
            </w:r>
          </w:p>
        </w:tc>
        <w:tc>
          <w:tcPr>
            <w:tcW w:w="872" w:type="dxa"/>
            <w:tcBorders>
              <w:bottom w:val="single" w:sz="6" w:space="0" w:color="auto"/>
              <w:right w:val="single" w:sz="6" w:space="0" w:color="auto"/>
            </w:tcBorders>
            <w:vAlign w:val="center"/>
          </w:tcPr>
          <w:p w14:paraId="26C42FC3" w14:textId="77777777" w:rsidR="00CD4606" w:rsidRDefault="00CD4606" w:rsidP="00CD4606">
            <w:pPr>
              <w:spacing w:line="240" w:lineRule="auto"/>
              <w:jc w:val="left"/>
            </w:pPr>
            <w:r>
              <w:t>93.63</w:t>
            </w:r>
          </w:p>
        </w:tc>
      </w:tr>
      <w:tr w:rsidR="00CD4606" w14:paraId="5B3CB536" w14:textId="77777777" w:rsidTr="00CD4606">
        <w:trPr>
          <w:cantSplit/>
          <w:trHeight w:val="360"/>
          <w:jc w:val="center"/>
        </w:trPr>
        <w:tc>
          <w:tcPr>
            <w:tcW w:w="871" w:type="dxa"/>
            <w:vMerge w:val="restart"/>
            <w:tcBorders>
              <w:top w:val="single" w:sz="6" w:space="0" w:color="auto"/>
              <w:left w:val="single" w:sz="6" w:space="0" w:color="auto"/>
            </w:tcBorders>
            <w:textDirection w:val="btLr"/>
            <w:vAlign w:val="center"/>
          </w:tcPr>
          <w:p w14:paraId="0ED4A187" w14:textId="77777777" w:rsidR="00CD4606" w:rsidRDefault="00CD4606" w:rsidP="00CD4606">
            <w:pPr>
              <w:spacing w:before="120" w:after="120" w:line="240" w:lineRule="auto"/>
              <w:ind w:left="113" w:right="113"/>
              <w:jc w:val="center"/>
            </w:pPr>
            <w:r>
              <w:t>99% RH</w:t>
            </w:r>
          </w:p>
        </w:tc>
        <w:tc>
          <w:tcPr>
            <w:tcW w:w="1310" w:type="dxa"/>
            <w:tcBorders>
              <w:top w:val="single" w:sz="6" w:space="0" w:color="auto"/>
              <w:right w:val="single" w:sz="6" w:space="0" w:color="auto"/>
            </w:tcBorders>
            <w:vAlign w:val="center"/>
          </w:tcPr>
          <w:p w14:paraId="0E455E56" w14:textId="77777777" w:rsidR="00CD4606" w:rsidRDefault="00CD4606" w:rsidP="00CD4606">
            <w:pPr>
              <w:spacing w:line="240" w:lineRule="auto"/>
              <w:jc w:val="center"/>
            </w:pPr>
            <w:r>
              <w:t>68.9</w:t>
            </w:r>
          </w:p>
        </w:tc>
        <w:tc>
          <w:tcPr>
            <w:tcW w:w="871" w:type="dxa"/>
            <w:tcBorders>
              <w:top w:val="single" w:sz="6" w:space="0" w:color="auto"/>
              <w:left w:val="single" w:sz="6" w:space="0" w:color="auto"/>
            </w:tcBorders>
            <w:vAlign w:val="center"/>
          </w:tcPr>
          <w:p w14:paraId="1640B5C1" w14:textId="77777777" w:rsidR="00CD4606" w:rsidRDefault="00CD4606" w:rsidP="00CD4606">
            <w:pPr>
              <w:spacing w:line="240" w:lineRule="auto"/>
              <w:jc w:val="right"/>
            </w:pPr>
            <w:r>
              <w:t>450.96</w:t>
            </w:r>
          </w:p>
        </w:tc>
        <w:tc>
          <w:tcPr>
            <w:tcW w:w="360" w:type="dxa"/>
            <w:tcBorders>
              <w:top w:val="single" w:sz="6" w:space="0" w:color="auto"/>
            </w:tcBorders>
            <w:vAlign w:val="center"/>
          </w:tcPr>
          <w:p w14:paraId="4B895C8B" w14:textId="77777777" w:rsidR="00CD4606" w:rsidRDefault="00CD4606" w:rsidP="00CD4606">
            <w:pPr>
              <w:spacing w:line="240" w:lineRule="auto"/>
              <w:jc w:val="center"/>
            </w:pPr>
            <w:r>
              <w:t>±</w:t>
            </w:r>
          </w:p>
        </w:tc>
        <w:tc>
          <w:tcPr>
            <w:tcW w:w="871" w:type="dxa"/>
            <w:tcBorders>
              <w:top w:val="single" w:sz="6" w:space="0" w:color="auto"/>
              <w:right w:val="single" w:sz="6" w:space="0" w:color="auto"/>
            </w:tcBorders>
            <w:vAlign w:val="center"/>
          </w:tcPr>
          <w:p w14:paraId="6FB01982" w14:textId="77777777" w:rsidR="00CD4606" w:rsidRDefault="00CD4606" w:rsidP="00CD4606">
            <w:pPr>
              <w:spacing w:line="240" w:lineRule="auto"/>
              <w:jc w:val="left"/>
            </w:pPr>
            <w:r>
              <w:t>13.74</w:t>
            </w:r>
          </w:p>
        </w:tc>
        <w:tc>
          <w:tcPr>
            <w:tcW w:w="871" w:type="dxa"/>
            <w:tcBorders>
              <w:top w:val="single" w:sz="6" w:space="0" w:color="auto"/>
              <w:left w:val="single" w:sz="6" w:space="0" w:color="auto"/>
            </w:tcBorders>
            <w:vAlign w:val="center"/>
          </w:tcPr>
          <w:p w14:paraId="51CF8856" w14:textId="77777777" w:rsidR="00CD4606" w:rsidRDefault="00CD4606" w:rsidP="00CD4606">
            <w:pPr>
              <w:spacing w:line="240" w:lineRule="auto"/>
              <w:jc w:val="right"/>
            </w:pPr>
            <w:r>
              <w:t>562.19</w:t>
            </w:r>
          </w:p>
        </w:tc>
        <w:tc>
          <w:tcPr>
            <w:tcW w:w="360" w:type="dxa"/>
            <w:tcBorders>
              <w:top w:val="single" w:sz="6" w:space="0" w:color="auto"/>
            </w:tcBorders>
            <w:vAlign w:val="center"/>
          </w:tcPr>
          <w:p w14:paraId="21AE2BAD" w14:textId="77777777" w:rsidR="00CD4606" w:rsidRDefault="00CD4606" w:rsidP="00CD4606">
            <w:pPr>
              <w:spacing w:line="240" w:lineRule="auto"/>
              <w:jc w:val="center"/>
            </w:pPr>
            <w:r>
              <w:t>±</w:t>
            </w:r>
          </w:p>
        </w:tc>
        <w:tc>
          <w:tcPr>
            <w:tcW w:w="871" w:type="dxa"/>
            <w:tcBorders>
              <w:top w:val="single" w:sz="6" w:space="0" w:color="auto"/>
              <w:right w:val="single" w:sz="6" w:space="0" w:color="auto"/>
            </w:tcBorders>
            <w:vAlign w:val="center"/>
          </w:tcPr>
          <w:p w14:paraId="31CE5CEC" w14:textId="77777777" w:rsidR="00CD4606" w:rsidRDefault="00CD4606" w:rsidP="00CD4606">
            <w:pPr>
              <w:spacing w:line="240" w:lineRule="auto"/>
              <w:jc w:val="left"/>
            </w:pPr>
            <w:r>
              <w:t>46.51</w:t>
            </w:r>
          </w:p>
        </w:tc>
        <w:tc>
          <w:tcPr>
            <w:tcW w:w="872" w:type="dxa"/>
            <w:tcBorders>
              <w:top w:val="single" w:sz="6" w:space="0" w:color="auto"/>
              <w:left w:val="single" w:sz="6" w:space="0" w:color="auto"/>
            </w:tcBorders>
            <w:vAlign w:val="center"/>
          </w:tcPr>
          <w:p w14:paraId="54CF91BD" w14:textId="77777777" w:rsidR="00CD4606" w:rsidRDefault="00CD4606" w:rsidP="00CD4606">
            <w:pPr>
              <w:spacing w:line="240" w:lineRule="auto"/>
              <w:jc w:val="right"/>
            </w:pPr>
            <w:r>
              <w:t>689.36</w:t>
            </w:r>
          </w:p>
        </w:tc>
        <w:tc>
          <w:tcPr>
            <w:tcW w:w="360" w:type="dxa"/>
            <w:tcBorders>
              <w:top w:val="single" w:sz="6" w:space="0" w:color="auto"/>
            </w:tcBorders>
            <w:vAlign w:val="center"/>
          </w:tcPr>
          <w:p w14:paraId="3A16EEDB" w14:textId="77777777" w:rsidR="00CD4606" w:rsidRDefault="00CD4606" w:rsidP="00CD4606">
            <w:pPr>
              <w:spacing w:line="240" w:lineRule="auto"/>
              <w:jc w:val="center"/>
            </w:pPr>
            <w:r>
              <w:t>±</w:t>
            </w:r>
          </w:p>
        </w:tc>
        <w:tc>
          <w:tcPr>
            <w:tcW w:w="872" w:type="dxa"/>
            <w:tcBorders>
              <w:top w:val="single" w:sz="6" w:space="0" w:color="auto"/>
              <w:right w:val="single" w:sz="6" w:space="0" w:color="auto"/>
            </w:tcBorders>
            <w:vAlign w:val="center"/>
          </w:tcPr>
          <w:p w14:paraId="1CD61051" w14:textId="77777777" w:rsidR="00CD4606" w:rsidRDefault="00CD4606" w:rsidP="00CD4606">
            <w:pPr>
              <w:spacing w:line="240" w:lineRule="auto"/>
              <w:jc w:val="left"/>
            </w:pPr>
            <w:r>
              <w:t>42.11</w:t>
            </w:r>
          </w:p>
        </w:tc>
      </w:tr>
      <w:tr w:rsidR="00CD4606" w14:paraId="0A4569E5" w14:textId="77777777" w:rsidTr="00CD4606">
        <w:trPr>
          <w:cantSplit/>
          <w:trHeight w:val="360"/>
          <w:jc w:val="center"/>
        </w:trPr>
        <w:tc>
          <w:tcPr>
            <w:tcW w:w="871" w:type="dxa"/>
            <w:vMerge/>
            <w:tcBorders>
              <w:left w:val="single" w:sz="6" w:space="0" w:color="auto"/>
            </w:tcBorders>
            <w:vAlign w:val="center"/>
          </w:tcPr>
          <w:p w14:paraId="4300C4E4" w14:textId="77777777" w:rsidR="00CD4606" w:rsidRDefault="00CD4606" w:rsidP="00CD4606">
            <w:pPr>
              <w:spacing w:before="120" w:after="120" w:line="240" w:lineRule="auto"/>
              <w:jc w:val="center"/>
            </w:pPr>
          </w:p>
        </w:tc>
        <w:tc>
          <w:tcPr>
            <w:tcW w:w="1310" w:type="dxa"/>
            <w:tcBorders>
              <w:right w:val="single" w:sz="6" w:space="0" w:color="auto"/>
            </w:tcBorders>
            <w:vAlign w:val="center"/>
          </w:tcPr>
          <w:p w14:paraId="0F8E245D" w14:textId="77777777" w:rsidR="00CD4606" w:rsidRDefault="00CD4606" w:rsidP="00CD4606">
            <w:pPr>
              <w:spacing w:line="240" w:lineRule="auto"/>
              <w:jc w:val="center"/>
            </w:pPr>
            <w:r>
              <w:t>206.8</w:t>
            </w:r>
          </w:p>
        </w:tc>
        <w:tc>
          <w:tcPr>
            <w:tcW w:w="871" w:type="dxa"/>
            <w:tcBorders>
              <w:left w:val="single" w:sz="6" w:space="0" w:color="auto"/>
            </w:tcBorders>
            <w:vAlign w:val="center"/>
          </w:tcPr>
          <w:p w14:paraId="5B15CCD7" w14:textId="77777777" w:rsidR="00CD4606" w:rsidRDefault="00CD4606" w:rsidP="00CD4606">
            <w:pPr>
              <w:spacing w:line="240" w:lineRule="auto"/>
              <w:jc w:val="right"/>
            </w:pPr>
            <w:r>
              <w:t>521.82</w:t>
            </w:r>
          </w:p>
        </w:tc>
        <w:tc>
          <w:tcPr>
            <w:tcW w:w="360" w:type="dxa"/>
            <w:vAlign w:val="center"/>
          </w:tcPr>
          <w:p w14:paraId="6E6031C3" w14:textId="77777777" w:rsidR="00CD4606" w:rsidRDefault="00CD4606" w:rsidP="00CD4606">
            <w:pPr>
              <w:spacing w:line="240" w:lineRule="auto"/>
              <w:jc w:val="center"/>
            </w:pPr>
            <w:r>
              <w:t>±</w:t>
            </w:r>
          </w:p>
        </w:tc>
        <w:tc>
          <w:tcPr>
            <w:tcW w:w="871" w:type="dxa"/>
            <w:tcBorders>
              <w:right w:val="single" w:sz="6" w:space="0" w:color="auto"/>
            </w:tcBorders>
            <w:vAlign w:val="center"/>
          </w:tcPr>
          <w:p w14:paraId="7B6207FD" w14:textId="77777777" w:rsidR="00CD4606" w:rsidRDefault="00CD4606" w:rsidP="00CD4606">
            <w:pPr>
              <w:spacing w:line="240" w:lineRule="auto"/>
              <w:jc w:val="left"/>
            </w:pPr>
            <w:r>
              <w:t>18.93</w:t>
            </w:r>
          </w:p>
        </w:tc>
        <w:tc>
          <w:tcPr>
            <w:tcW w:w="871" w:type="dxa"/>
            <w:tcBorders>
              <w:left w:val="single" w:sz="6" w:space="0" w:color="auto"/>
            </w:tcBorders>
            <w:vAlign w:val="center"/>
          </w:tcPr>
          <w:p w14:paraId="7AD96261" w14:textId="77777777" w:rsidR="00CD4606" w:rsidRDefault="00CD4606" w:rsidP="00CD4606">
            <w:pPr>
              <w:spacing w:line="240" w:lineRule="auto"/>
              <w:jc w:val="right"/>
            </w:pPr>
            <w:r>
              <w:t>683.90</w:t>
            </w:r>
          </w:p>
        </w:tc>
        <w:tc>
          <w:tcPr>
            <w:tcW w:w="360" w:type="dxa"/>
            <w:vAlign w:val="center"/>
          </w:tcPr>
          <w:p w14:paraId="00A00B9E" w14:textId="77777777" w:rsidR="00CD4606" w:rsidRDefault="00CD4606" w:rsidP="00CD4606">
            <w:pPr>
              <w:spacing w:line="240" w:lineRule="auto"/>
              <w:jc w:val="center"/>
            </w:pPr>
            <w:r>
              <w:t>±</w:t>
            </w:r>
          </w:p>
        </w:tc>
        <w:tc>
          <w:tcPr>
            <w:tcW w:w="871" w:type="dxa"/>
            <w:tcBorders>
              <w:right w:val="single" w:sz="6" w:space="0" w:color="auto"/>
            </w:tcBorders>
            <w:vAlign w:val="center"/>
          </w:tcPr>
          <w:p w14:paraId="16EA60ED" w14:textId="77777777" w:rsidR="00CD4606" w:rsidRDefault="00CD4606" w:rsidP="00CD4606">
            <w:pPr>
              <w:spacing w:line="240" w:lineRule="auto"/>
              <w:jc w:val="left"/>
            </w:pPr>
            <w:r>
              <w:t>23.26</w:t>
            </w:r>
          </w:p>
        </w:tc>
        <w:tc>
          <w:tcPr>
            <w:tcW w:w="872" w:type="dxa"/>
            <w:tcBorders>
              <w:left w:val="single" w:sz="6" w:space="0" w:color="auto"/>
            </w:tcBorders>
            <w:vAlign w:val="center"/>
          </w:tcPr>
          <w:p w14:paraId="3895243D" w14:textId="77777777" w:rsidR="00CD4606" w:rsidRDefault="00CD4606" w:rsidP="00CD4606">
            <w:pPr>
              <w:spacing w:line="240" w:lineRule="auto"/>
              <w:jc w:val="right"/>
            </w:pPr>
            <w:r>
              <w:t>720.31</w:t>
            </w:r>
          </w:p>
        </w:tc>
        <w:tc>
          <w:tcPr>
            <w:tcW w:w="360" w:type="dxa"/>
            <w:vAlign w:val="center"/>
          </w:tcPr>
          <w:p w14:paraId="4C9C09B8" w14:textId="77777777" w:rsidR="00CD4606" w:rsidRDefault="00CD4606" w:rsidP="00CD4606">
            <w:pPr>
              <w:spacing w:line="240" w:lineRule="auto"/>
              <w:jc w:val="center"/>
            </w:pPr>
            <w:r>
              <w:t>±</w:t>
            </w:r>
          </w:p>
        </w:tc>
        <w:tc>
          <w:tcPr>
            <w:tcW w:w="872" w:type="dxa"/>
            <w:tcBorders>
              <w:right w:val="single" w:sz="6" w:space="0" w:color="auto"/>
            </w:tcBorders>
            <w:vAlign w:val="center"/>
          </w:tcPr>
          <w:p w14:paraId="192DBA01" w14:textId="77777777" w:rsidR="00CD4606" w:rsidRDefault="00CD4606" w:rsidP="00CD4606">
            <w:pPr>
              <w:spacing w:line="240" w:lineRule="auto"/>
              <w:jc w:val="left"/>
            </w:pPr>
            <w:r>
              <w:t>67.30</w:t>
            </w:r>
          </w:p>
        </w:tc>
      </w:tr>
      <w:tr w:rsidR="00CD4606" w14:paraId="48214446" w14:textId="77777777" w:rsidTr="00CD4606">
        <w:trPr>
          <w:cantSplit/>
          <w:trHeight w:val="360"/>
          <w:jc w:val="center"/>
        </w:trPr>
        <w:tc>
          <w:tcPr>
            <w:tcW w:w="871" w:type="dxa"/>
            <w:vMerge/>
            <w:tcBorders>
              <w:left w:val="single" w:sz="6" w:space="0" w:color="auto"/>
            </w:tcBorders>
            <w:vAlign w:val="center"/>
          </w:tcPr>
          <w:p w14:paraId="23FC2C24" w14:textId="77777777" w:rsidR="00CD4606" w:rsidRDefault="00CD4606" w:rsidP="00CD4606">
            <w:pPr>
              <w:spacing w:before="120" w:after="120" w:line="240" w:lineRule="auto"/>
              <w:jc w:val="center"/>
            </w:pPr>
          </w:p>
        </w:tc>
        <w:tc>
          <w:tcPr>
            <w:tcW w:w="1310" w:type="dxa"/>
            <w:tcBorders>
              <w:right w:val="single" w:sz="6" w:space="0" w:color="auto"/>
            </w:tcBorders>
            <w:vAlign w:val="center"/>
          </w:tcPr>
          <w:p w14:paraId="1C363287" w14:textId="77777777" w:rsidR="00CD4606" w:rsidRDefault="00CD4606" w:rsidP="00CD4606">
            <w:pPr>
              <w:spacing w:line="240" w:lineRule="auto"/>
              <w:jc w:val="center"/>
            </w:pPr>
            <w:r>
              <w:t>344.7</w:t>
            </w:r>
          </w:p>
        </w:tc>
        <w:tc>
          <w:tcPr>
            <w:tcW w:w="871" w:type="dxa"/>
            <w:tcBorders>
              <w:left w:val="single" w:sz="6" w:space="0" w:color="auto"/>
            </w:tcBorders>
            <w:vAlign w:val="center"/>
          </w:tcPr>
          <w:p w14:paraId="663D2987" w14:textId="77777777" w:rsidR="00CD4606" w:rsidRDefault="00CD4606" w:rsidP="00CD4606">
            <w:pPr>
              <w:spacing w:line="240" w:lineRule="auto"/>
              <w:jc w:val="right"/>
            </w:pPr>
            <w:r>
              <w:t>542.24</w:t>
            </w:r>
          </w:p>
        </w:tc>
        <w:tc>
          <w:tcPr>
            <w:tcW w:w="360" w:type="dxa"/>
            <w:vAlign w:val="center"/>
          </w:tcPr>
          <w:p w14:paraId="536EFAA1" w14:textId="77777777" w:rsidR="00CD4606" w:rsidRDefault="00CD4606" w:rsidP="00CD4606">
            <w:pPr>
              <w:spacing w:line="240" w:lineRule="auto"/>
              <w:jc w:val="center"/>
            </w:pPr>
            <w:r>
              <w:t>±</w:t>
            </w:r>
          </w:p>
        </w:tc>
        <w:tc>
          <w:tcPr>
            <w:tcW w:w="871" w:type="dxa"/>
            <w:tcBorders>
              <w:right w:val="single" w:sz="6" w:space="0" w:color="auto"/>
            </w:tcBorders>
            <w:vAlign w:val="center"/>
          </w:tcPr>
          <w:p w14:paraId="6391E37A" w14:textId="77777777" w:rsidR="00CD4606" w:rsidRDefault="00CD4606" w:rsidP="00CD4606">
            <w:pPr>
              <w:spacing w:line="240" w:lineRule="auto"/>
              <w:jc w:val="left"/>
            </w:pPr>
            <w:r>
              <w:t>10.31</w:t>
            </w:r>
          </w:p>
        </w:tc>
        <w:tc>
          <w:tcPr>
            <w:tcW w:w="871" w:type="dxa"/>
            <w:tcBorders>
              <w:left w:val="single" w:sz="6" w:space="0" w:color="auto"/>
            </w:tcBorders>
            <w:vAlign w:val="center"/>
          </w:tcPr>
          <w:p w14:paraId="6ED0BC39" w14:textId="77777777" w:rsidR="00CD4606" w:rsidRDefault="00CD4606" w:rsidP="00CD4606">
            <w:pPr>
              <w:spacing w:line="240" w:lineRule="auto"/>
              <w:jc w:val="right"/>
            </w:pPr>
            <w:r>
              <w:t>741.68</w:t>
            </w:r>
          </w:p>
        </w:tc>
        <w:tc>
          <w:tcPr>
            <w:tcW w:w="360" w:type="dxa"/>
            <w:vAlign w:val="center"/>
          </w:tcPr>
          <w:p w14:paraId="58D1CF0A" w14:textId="77777777" w:rsidR="00CD4606" w:rsidRDefault="00CD4606" w:rsidP="00CD4606">
            <w:pPr>
              <w:spacing w:line="240" w:lineRule="auto"/>
              <w:jc w:val="center"/>
            </w:pPr>
            <w:r>
              <w:t>±</w:t>
            </w:r>
          </w:p>
        </w:tc>
        <w:tc>
          <w:tcPr>
            <w:tcW w:w="871" w:type="dxa"/>
            <w:tcBorders>
              <w:right w:val="single" w:sz="6" w:space="0" w:color="auto"/>
            </w:tcBorders>
            <w:vAlign w:val="center"/>
          </w:tcPr>
          <w:p w14:paraId="0400A80D" w14:textId="77777777" w:rsidR="00CD4606" w:rsidRDefault="00CD4606" w:rsidP="00CD4606">
            <w:pPr>
              <w:spacing w:line="240" w:lineRule="auto"/>
              <w:jc w:val="left"/>
            </w:pPr>
            <w:r>
              <w:t>28.37</w:t>
            </w:r>
          </w:p>
        </w:tc>
        <w:tc>
          <w:tcPr>
            <w:tcW w:w="872" w:type="dxa"/>
            <w:tcBorders>
              <w:left w:val="single" w:sz="6" w:space="0" w:color="auto"/>
            </w:tcBorders>
            <w:vAlign w:val="center"/>
          </w:tcPr>
          <w:p w14:paraId="283BA00A" w14:textId="77777777" w:rsidR="00CD4606" w:rsidRDefault="00CD4606" w:rsidP="00CD4606">
            <w:pPr>
              <w:spacing w:line="240" w:lineRule="auto"/>
              <w:jc w:val="right"/>
            </w:pPr>
            <w:r>
              <w:t>741.84</w:t>
            </w:r>
          </w:p>
        </w:tc>
        <w:tc>
          <w:tcPr>
            <w:tcW w:w="360" w:type="dxa"/>
            <w:vAlign w:val="center"/>
          </w:tcPr>
          <w:p w14:paraId="127764A5" w14:textId="77777777" w:rsidR="00CD4606" w:rsidRDefault="00CD4606" w:rsidP="00CD4606">
            <w:pPr>
              <w:spacing w:line="240" w:lineRule="auto"/>
              <w:jc w:val="center"/>
            </w:pPr>
            <w:r>
              <w:t>±</w:t>
            </w:r>
          </w:p>
        </w:tc>
        <w:tc>
          <w:tcPr>
            <w:tcW w:w="872" w:type="dxa"/>
            <w:tcBorders>
              <w:right w:val="single" w:sz="6" w:space="0" w:color="auto"/>
            </w:tcBorders>
            <w:vAlign w:val="center"/>
          </w:tcPr>
          <w:p w14:paraId="095CCC96" w14:textId="77777777" w:rsidR="00CD4606" w:rsidRDefault="00CD4606" w:rsidP="00CD4606">
            <w:pPr>
              <w:spacing w:line="240" w:lineRule="auto"/>
              <w:jc w:val="left"/>
            </w:pPr>
            <w:r>
              <w:t>83.50</w:t>
            </w:r>
          </w:p>
        </w:tc>
      </w:tr>
      <w:tr w:rsidR="00CD4606" w14:paraId="7D3CF7FA" w14:textId="77777777" w:rsidTr="00CD4606">
        <w:trPr>
          <w:cantSplit/>
          <w:trHeight w:val="360"/>
          <w:jc w:val="center"/>
        </w:trPr>
        <w:tc>
          <w:tcPr>
            <w:tcW w:w="871" w:type="dxa"/>
            <w:vMerge/>
            <w:tcBorders>
              <w:left w:val="single" w:sz="6" w:space="0" w:color="auto"/>
              <w:bottom w:val="single" w:sz="18" w:space="0" w:color="auto"/>
            </w:tcBorders>
            <w:vAlign w:val="center"/>
          </w:tcPr>
          <w:p w14:paraId="3F450A98" w14:textId="77777777" w:rsidR="00CD4606" w:rsidRDefault="00CD4606" w:rsidP="00CD4606">
            <w:pPr>
              <w:spacing w:before="120" w:after="120" w:line="240" w:lineRule="auto"/>
              <w:jc w:val="center"/>
            </w:pPr>
          </w:p>
        </w:tc>
        <w:tc>
          <w:tcPr>
            <w:tcW w:w="1310" w:type="dxa"/>
            <w:tcBorders>
              <w:bottom w:val="single" w:sz="18" w:space="0" w:color="auto"/>
              <w:right w:val="single" w:sz="6" w:space="0" w:color="auto"/>
            </w:tcBorders>
            <w:vAlign w:val="center"/>
          </w:tcPr>
          <w:p w14:paraId="56B448E7" w14:textId="77777777" w:rsidR="00CD4606" w:rsidRDefault="00CD4606" w:rsidP="00CD4606">
            <w:pPr>
              <w:spacing w:line="240" w:lineRule="auto"/>
              <w:jc w:val="center"/>
            </w:pPr>
            <w:r>
              <w:t>482.6</w:t>
            </w:r>
          </w:p>
        </w:tc>
        <w:tc>
          <w:tcPr>
            <w:tcW w:w="871" w:type="dxa"/>
            <w:tcBorders>
              <w:left w:val="single" w:sz="6" w:space="0" w:color="auto"/>
              <w:bottom w:val="single" w:sz="18" w:space="0" w:color="auto"/>
            </w:tcBorders>
            <w:vAlign w:val="center"/>
          </w:tcPr>
          <w:p w14:paraId="5D5D9E08" w14:textId="77777777" w:rsidR="00CD4606" w:rsidRDefault="00CD4606" w:rsidP="00CD4606">
            <w:pPr>
              <w:spacing w:line="240" w:lineRule="auto"/>
              <w:jc w:val="right"/>
            </w:pPr>
            <w:r>
              <w:t>550.10</w:t>
            </w:r>
          </w:p>
        </w:tc>
        <w:tc>
          <w:tcPr>
            <w:tcW w:w="360" w:type="dxa"/>
            <w:tcBorders>
              <w:bottom w:val="single" w:sz="18" w:space="0" w:color="auto"/>
            </w:tcBorders>
            <w:vAlign w:val="center"/>
          </w:tcPr>
          <w:p w14:paraId="6B848A1F" w14:textId="77777777" w:rsidR="00CD4606" w:rsidRDefault="00CD4606" w:rsidP="00CD4606">
            <w:pPr>
              <w:spacing w:line="240" w:lineRule="auto"/>
              <w:jc w:val="center"/>
            </w:pPr>
            <w:r>
              <w:t>±</w:t>
            </w:r>
          </w:p>
        </w:tc>
        <w:tc>
          <w:tcPr>
            <w:tcW w:w="871" w:type="dxa"/>
            <w:tcBorders>
              <w:bottom w:val="single" w:sz="18" w:space="0" w:color="auto"/>
              <w:right w:val="single" w:sz="6" w:space="0" w:color="auto"/>
            </w:tcBorders>
            <w:vAlign w:val="center"/>
          </w:tcPr>
          <w:p w14:paraId="56B3B2B5" w14:textId="77777777" w:rsidR="00CD4606" w:rsidRDefault="00CD4606" w:rsidP="00CD4606">
            <w:pPr>
              <w:spacing w:line="240" w:lineRule="auto"/>
              <w:jc w:val="left"/>
            </w:pPr>
            <w:r>
              <w:t>11.71</w:t>
            </w:r>
          </w:p>
        </w:tc>
        <w:tc>
          <w:tcPr>
            <w:tcW w:w="871" w:type="dxa"/>
            <w:tcBorders>
              <w:left w:val="single" w:sz="6" w:space="0" w:color="auto"/>
              <w:bottom w:val="single" w:sz="18" w:space="0" w:color="auto"/>
            </w:tcBorders>
            <w:vAlign w:val="center"/>
          </w:tcPr>
          <w:p w14:paraId="46DBB5E0" w14:textId="77777777" w:rsidR="00CD4606" w:rsidRDefault="00CD4606" w:rsidP="00CD4606">
            <w:pPr>
              <w:spacing w:line="240" w:lineRule="auto"/>
              <w:jc w:val="right"/>
            </w:pPr>
            <w:r>
              <w:t>772.77</w:t>
            </w:r>
          </w:p>
        </w:tc>
        <w:tc>
          <w:tcPr>
            <w:tcW w:w="360" w:type="dxa"/>
            <w:tcBorders>
              <w:bottom w:val="single" w:sz="18" w:space="0" w:color="auto"/>
            </w:tcBorders>
            <w:vAlign w:val="center"/>
          </w:tcPr>
          <w:p w14:paraId="75DD3055" w14:textId="77777777" w:rsidR="00CD4606" w:rsidRDefault="00CD4606" w:rsidP="00CD4606">
            <w:pPr>
              <w:spacing w:line="240" w:lineRule="auto"/>
              <w:jc w:val="center"/>
            </w:pPr>
            <w:r>
              <w:t>±</w:t>
            </w:r>
          </w:p>
        </w:tc>
        <w:tc>
          <w:tcPr>
            <w:tcW w:w="871" w:type="dxa"/>
            <w:tcBorders>
              <w:bottom w:val="single" w:sz="18" w:space="0" w:color="auto"/>
              <w:right w:val="single" w:sz="6" w:space="0" w:color="auto"/>
            </w:tcBorders>
            <w:vAlign w:val="center"/>
          </w:tcPr>
          <w:p w14:paraId="4194248A" w14:textId="77777777" w:rsidR="00CD4606" w:rsidRDefault="00CD4606" w:rsidP="00CD4606">
            <w:pPr>
              <w:spacing w:line="240" w:lineRule="auto"/>
              <w:jc w:val="left"/>
            </w:pPr>
            <w:r>
              <w:t>56.02</w:t>
            </w:r>
          </w:p>
        </w:tc>
        <w:tc>
          <w:tcPr>
            <w:tcW w:w="872" w:type="dxa"/>
            <w:tcBorders>
              <w:left w:val="single" w:sz="6" w:space="0" w:color="auto"/>
              <w:bottom w:val="single" w:sz="18" w:space="0" w:color="auto"/>
            </w:tcBorders>
            <w:vAlign w:val="center"/>
          </w:tcPr>
          <w:p w14:paraId="6B4A9F1E" w14:textId="77777777" w:rsidR="00CD4606" w:rsidRDefault="00CD4606" w:rsidP="00CD4606">
            <w:pPr>
              <w:spacing w:line="240" w:lineRule="auto"/>
              <w:jc w:val="right"/>
            </w:pPr>
            <w:r>
              <w:t>787.59</w:t>
            </w:r>
          </w:p>
        </w:tc>
        <w:tc>
          <w:tcPr>
            <w:tcW w:w="360" w:type="dxa"/>
            <w:tcBorders>
              <w:bottom w:val="single" w:sz="18" w:space="0" w:color="auto"/>
            </w:tcBorders>
            <w:vAlign w:val="center"/>
          </w:tcPr>
          <w:p w14:paraId="28C72BB3" w14:textId="77777777" w:rsidR="00CD4606" w:rsidRDefault="00CD4606" w:rsidP="00CD4606">
            <w:pPr>
              <w:spacing w:line="240" w:lineRule="auto"/>
              <w:jc w:val="center"/>
            </w:pPr>
            <w:r>
              <w:t>±</w:t>
            </w:r>
          </w:p>
        </w:tc>
        <w:tc>
          <w:tcPr>
            <w:tcW w:w="872" w:type="dxa"/>
            <w:tcBorders>
              <w:bottom w:val="single" w:sz="18" w:space="0" w:color="auto"/>
              <w:right w:val="single" w:sz="6" w:space="0" w:color="auto"/>
            </w:tcBorders>
            <w:vAlign w:val="center"/>
          </w:tcPr>
          <w:p w14:paraId="7BE437C8" w14:textId="77777777" w:rsidR="00CD4606" w:rsidRDefault="00CD4606" w:rsidP="00CD4606">
            <w:pPr>
              <w:spacing w:line="240" w:lineRule="auto"/>
              <w:jc w:val="left"/>
            </w:pPr>
            <w:r>
              <w:t>51.47</w:t>
            </w:r>
          </w:p>
        </w:tc>
      </w:tr>
    </w:tbl>
    <w:p w14:paraId="270229A2" w14:textId="4076F906" w:rsidR="009309E3" w:rsidRDefault="009309E3" w:rsidP="00CD4606">
      <w:pPr>
        <w:pStyle w:val="Caption"/>
        <w:rPr>
          <w:sz w:val="24"/>
        </w:rPr>
      </w:pPr>
      <w:r>
        <w:rPr>
          <w:sz w:val="24"/>
        </w:rPr>
        <w:br w:type="page"/>
      </w:r>
    </w:p>
    <w:p w14:paraId="324D9BA1" w14:textId="77777777" w:rsidR="009309E3" w:rsidRDefault="009309E3" w:rsidP="009309E3">
      <w:pPr>
        <w:pStyle w:val="Caption"/>
        <w:keepNext/>
        <w:jc w:val="center"/>
        <w:rPr>
          <w:sz w:val="24"/>
        </w:rPr>
      </w:pPr>
    </w:p>
    <w:p w14:paraId="3864AB16" w14:textId="0B0D7654" w:rsidR="009309E3" w:rsidRPr="000F4330" w:rsidRDefault="009309E3" w:rsidP="009309E3">
      <w:pPr>
        <w:pStyle w:val="Caption"/>
        <w:keepNext/>
        <w:spacing w:after="240" w:line="240" w:lineRule="auto"/>
        <w:jc w:val="center"/>
        <w:rPr>
          <w:sz w:val="24"/>
        </w:rPr>
      </w:pPr>
      <w:bookmarkStart w:id="335" w:name="_Toc346310865"/>
      <w:r w:rsidRPr="000F4330">
        <w:rPr>
          <w:sz w:val="24"/>
        </w:rPr>
        <w:t xml:space="preserve">Table </w:t>
      </w:r>
      <w:r>
        <w:rPr>
          <w:sz w:val="24"/>
        </w:rPr>
        <w:t>A.</w:t>
      </w:r>
      <w:r>
        <w:rPr>
          <w:sz w:val="24"/>
        </w:rPr>
        <w:fldChar w:fldCharType="begin"/>
      </w:r>
      <w:r>
        <w:rPr>
          <w:sz w:val="24"/>
        </w:rPr>
        <w:instrText xml:space="preserve"> SEQ Table \* ARABIC \s 1 </w:instrText>
      </w:r>
      <w:r>
        <w:rPr>
          <w:sz w:val="24"/>
        </w:rPr>
        <w:fldChar w:fldCharType="separate"/>
      </w:r>
      <w:r w:rsidR="008A1992">
        <w:rPr>
          <w:noProof/>
          <w:sz w:val="24"/>
        </w:rPr>
        <w:t>5</w:t>
      </w:r>
      <w:r>
        <w:rPr>
          <w:sz w:val="24"/>
        </w:rPr>
        <w:fldChar w:fldCharType="end"/>
      </w:r>
      <w:r w:rsidRPr="000F4330">
        <w:rPr>
          <w:sz w:val="24"/>
        </w:rPr>
        <w:t xml:space="preserve"> Average </w:t>
      </w:r>
      <w:r w:rsidRPr="00F66D28">
        <w:rPr>
          <w:sz w:val="24"/>
        </w:rPr>
        <w:t>flexur</w:t>
      </w:r>
      <w:r>
        <w:rPr>
          <w:sz w:val="24"/>
        </w:rPr>
        <w:t>al</w:t>
      </w:r>
      <w:r w:rsidRPr="00F66D28">
        <w:rPr>
          <w:sz w:val="24"/>
        </w:rPr>
        <w:t xml:space="preserve"> stiffness </w:t>
      </w:r>
      <w:r>
        <w:rPr>
          <w:sz w:val="24"/>
        </w:rPr>
        <w:t xml:space="preserve">for hydraulic fluid contaminated specimens </w:t>
      </w:r>
      <w:r w:rsidRPr="00C16655">
        <w:rPr>
          <w:sz w:val="24"/>
        </w:rPr>
        <w:t>and 9</w:t>
      </w:r>
      <w:r>
        <w:rPr>
          <w:sz w:val="24"/>
        </w:rPr>
        <w:t>5</w:t>
      </w:r>
      <w:r w:rsidRPr="00C16655">
        <w:rPr>
          <w:sz w:val="24"/>
        </w:rPr>
        <w:t xml:space="preserve">% confidence interval for </w:t>
      </w:r>
      <w:r>
        <w:rPr>
          <w:sz w:val="24"/>
        </w:rPr>
        <w:t>two quartz-reinforced</w:t>
      </w:r>
      <w:r w:rsidRPr="00C16655">
        <w:rPr>
          <w:sz w:val="24"/>
        </w:rPr>
        <w:t xml:space="preserve"> prepreg</w:t>
      </w:r>
      <w:r>
        <w:rPr>
          <w:sz w:val="24"/>
        </w:rPr>
        <w:t>s. Percent reduction determined from dry flexural results</w:t>
      </w:r>
      <w:bookmarkEnd w:id="335"/>
    </w:p>
    <w:tbl>
      <w:tblPr>
        <w:tblStyle w:val="TableGrid"/>
        <w:tblW w:w="0" w:type="auto"/>
        <w:tblLook w:val="04A0" w:firstRow="1" w:lastRow="0" w:firstColumn="1" w:lastColumn="0" w:noHBand="0" w:noVBand="1"/>
      </w:tblPr>
      <w:tblGrid>
        <w:gridCol w:w="572"/>
        <w:gridCol w:w="1258"/>
        <w:gridCol w:w="856"/>
        <w:gridCol w:w="359"/>
        <w:gridCol w:w="848"/>
        <w:gridCol w:w="1203"/>
        <w:gridCol w:w="350"/>
        <w:gridCol w:w="856"/>
        <w:gridCol w:w="359"/>
        <w:gridCol w:w="848"/>
        <w:gridCol w:w="1203"/>
      </w:tblGrid>
      <w:tr w:rsidR="009309E3" w14:paraId="35F94434" w14:textId="77777777" w:rsidTr="009309E3">
        <w:trPr>
          <w:trHeight w:val="360"/>
        </w:trPr>
        <w:tc>
          <w:tcPr>
            <w:tcW w:w="1830" w:type="dxa"/>
            <w:gridSpan w:val="2"/>
            <w:tcBorders>
              <w:top w:val="nil"/>
              <w:left w:val="nil"/>
              <w:bottom w:val="single" w:sz="18" w:space="0" w:color="auto"/>
              <w:right w:val="nil"/>
            </w:tcBorders>
            <w:vAlign w:val="bottom"/>
          </w:tcPr>
          <w:p w14:paraId="09043E04" w14:textId="77777777" w:rsidR="009309E3" w:rsidRPr="00E12D71" w:rsidRDefault="009309E3" w:rsidP="009309E3">
            <w:pPr>
              <w:spacing w:line="240" w:lineRule="auto"/>
              <w:jc w:val="center"/>
              <w:rPr>
                <w:b/>
              </w:rPr>
            </w:pPr>
            <w:r w:rsidRPr="00E12D71">
              <w:rPr>
                <w:b/>
              </w:rPr>
              <w:t xml:space="preserve">Relative Humidity </w:t>
            </w:r>
          </w:p>
          <w:p w14:paraId="02CBDCD3" w14:textId="77777777" w:rsidR="009309E3" w:rsidRDefault="009309E3" w:rsidP="009309E3">
            <w:pPr>
              <w:spacing w:line="240" w:lineRule="auto"/>
              <w:jc w:val="center"/>
            </w:pPr>
            <w:r w:rsidRPr="00E12D71">
              <w:rPr>
                <w:b/>
              </w:rPr>
              <w:t>(% RH) &amp; Fabrication Pressure (kPa)</w:t>
            </w:r>
          </w:p>
        </w:tc>
        <w:tc>
          <w:tcPr>
            <w:tcW w:w="2063" w:type="dxa"/>
            <w:gridSpan w:val="3"/>
            <w:tcBorders>
              <w:top w:val="nil"/>
              <w:left w:val="nil"/>
              <w:bottom w:val="single" w:sz="18" w:space="0" w:color="auto"/>
              <w:right w:val="nil"/>
            </w:tcBorders>
            <w:vAlign w:val="bottom"/>
          </w:tcPr>
          <w:p w14:paraId="61E3350F" w14:textId="77777777" w:rsidR="009309E3" w:rsidRPr="00E12D71" w:rsidRDefault="009309E3" w:rsidP="009309E3">
            <w:pPr>
              <w:spacing w:line="240" w:lineRule="auto"/>
              <w:jc w:val="center"/>
              <w:rPr>
                <w:b/>
              </w:rPr>
            </w:pPr>
            <w:r w:rsidRPr="00E12D71">
              <w:rPr>
                <w:b/>
              </w:rPr>
              <w:t>Quartz / BMI</w:t>
            </w:r>
          </w:p>
        </w:tc>
        <w:tc>
          <w:tcPr>
            <w:tcW w:w="1203" w:type="dxa"/>
            <w:tcBorders>
              <w:top w:val="nil"/>
              <w:left w:val="nil"/>
              <w:bottom w:val="single" w:sz="18" w:space="0" w:color="auto"/>
              <w:right w:val="nil"/>
            </w:tcBorders>
            <w:vAlign w:val="bottom"/>
          </w:tcPr>
          <w:p w14:paraId="6477794F" w14:textId="77777777" w:rsidR="009309E3" w:rsidRPr="00E12D71" w:rsidRDefault="009309E3" w:rsidP="009309E3">
            <w:pPr>
              <w:spacing w:line="240" w:lineRule="auto"/>
              <w:jc w:val="center"/>
              <w:rPr>
                <w:i/>
              </w:rPr>
            </w:pPr>
            <w:r w:rsidRPr="00E12D71">
              <w:rPr>
                <w:i/>
              </w:rPr>
              <w:t>Wet / Dry Reduction</w:t>
            </w:r>
          </w:p>
        </w:tc>
        <w:tc>
          <w:tcPr>
            <w:tcW w:w="350" w:type="dxa"/>
            <w:tcBorders>
              <w:top w:val="nil"/>
              <w:left w:val="nil"/>
              <w:bottom w:val="nil"/>
              <w:right w:val="nil"/>
            </w:tcBorders>
            <w:vAlign w:val="center"/>
          </w:tcPr>
          <w:p w14:paraId="5675BC04" w14:textId="77777777" w:rsidR="009309E3" w:rsidRDefault="009309E3" w:rsidP="009309E3">
            <w:pPr>
              <w:spacing w:line="240" w:lineRule="auto"/>
              <w:jc w:val="center"/>
            </w:pPr>
          </w:p>
        </w:tc>
        <w:tc>
          <w:tcPr>
            <w:tcW w:w="2063" w:type="dxa"/>
            <w:gridSpan w:val="3"/>
            <w:tcBorders>
              <w:top w:val="nil"/>
              <w:left w:val="nil"/>
              <w:bottom w:val="single" w:sz="18" w:space="0" w:color="auto"/>
              <w:right w:val="nil"/>
            </w:tcBorders>
            <w:vAlign w:val="bottom"/>
          </w:tcPr>
          <w:p w14:paraId="7DBACA01" w14:textId="77777777" w:rsidR="009309E3" w:rsidRPr="00E12D71" w:rsidRDefault="009309E3" w:rsidP="009309E3">
            <w:pPr>
              <w:spacing w:line="240" w:lineRule="auto"/>
              <w:jc w:val="center"/>
              <w:rPr>
                <w:b/>
              </w:rPr>
            </w:pPr>
            <w:r w:rsidRPr="00E12D71">
              <w:rPr>
                <w:b/>
              </w:rPr>
              <w:t>Quartz / Epoxy</w:t>
            </w:r>
          </w:p>
        </w:tc>
        <w:tc>
          <w:tcPr>
            <w:tcW w:w="1203" w:type="dxa"/>
            <w:tcBorders>
              <w:top w:val="nil"/>
              <w:left w:val="nil"/>
              <w:bottom w:val="single" w:sz="18" w:space="0" w:color="auto"/>
              <w:right w:val="nil"/>
            </w:tcBorders>
            <w:vAlign w:val="bottom"/>
          </w:tcPr>
          <w:p w14:paraId="01E47F6E" w14:textId="77777777" w:rsidR="009309E3" w:rsidRPr="00E12D71" w:rsidRDefault="009309E3" w:rsidP="009309E3">
            <w:pPr>
              <w:spacing w:line="240" w:lineRule="auto"/>
              <w:jc w:val="center"/>
              <w:rPr>
                <w:i/>
              </w:rPr>
            </w:pPr>
            <w:r w:rsidRPr="00E12D71">
              <w:rPr>
                <w:i/>
              </w:rPr>
              <w:t>Wet / Dry Reduction</w:t>
            </w:r>
          </w:p>
        </w:tc>
      </w:tr>
      <w:tr w:rsidR="009309E3" w14:paraId="273A6573" w14:textId="77777777" w:rsidTr="009309E3">
        <w:trPr>
          <w:trHeight w:val="360"/>
        </w:trPr>
        <w:tc>
          <w:tcPr>
            <w:tcW w:w="572" w:type="dxa"/>
            <w:vMerge w:val="restart"/>
            <w:tcBorders>
              <w:top w:val="single" w:sz="18" w:space="0" w:color="auto"/>
              <w:left w:val="single" w:sz="4" w:space="0" w:color="auto"/>
              <w:bottom w:val="nil"/>
              <w:right w:val="nil"/>
            </w:tcBorders>
            <w:textDirection w:val="btLr"/>
            <w:vAlign w:val="center"/>
          </w:tcPr>
          <w:p w14:paraId="36BA3CEF" w14:textId="77777777" w:rsidR="009309E3" w:rsidRDefault="009309E3" w:rsidP="009309E3">
            <w:pPr>
              <w:spacing w:line="240" w:lineRule="auto"/>
              <w:ind w:left="113" w:right="113"/>
              <w:jc w:val="center"/>
            </w:pPr>
            <w:r>
              <w:t>2% RH</w:t>
            </w:r>
          </w:p>
        </w:tc>
        <w:tc>
          <w:tcPr>
            <w:tcW w:w="1258" w:type="dxa"/>
            <w:tcBorders>
              <w:top w:val="single" w:sz="18" w:space="0" w:color="auto"/>
              <w:left w:val="nil"/>
              <w:bottom w:val="nil"/>
              <w:right w:val="single" w:sz="4" w:space="0" w:color="auto"/>
            </w:tcBorders>
            <w:vAlign w:val="center"/>
          </w:tcPr>
          <w:p w14:paraId="21C07697" w14:textId="77777777" w:rsidR="009309E3" w:rsidRDefault="009309E3" w:rsidP="009309E3">
            <w:pPr>
              <w:spacing w:line="240" w:lineRule="auto"/>
              <w:jc w:val="center"/>
            </w:pPr>
            <w:r>
              <w:t>68.9</w:t>
            </w:r>
          </w:p>
        </w:tc>
        <w:tc>
          <w:tcPr>
            <w:tcW w:w="856" w:type="dxa"/>
            <w:tcBorders>
              <w:top w:val="single" w:sz="18" w:space="0" w:color="auto"/>
              <w:left w:val="single" w:sz="4" w:space="0" w:color="auto"/>
              <w:bottom w:val="nil"/>
              <w:right w:val="nil"/>
            </w:tcBorders>
            <w:vAlign w:val="center"/>
          </w:tcPr>
          <w:p w14:paraId="6F92498E" w14:textId="77777777" w:rsidR="009309E3" w:rsidRDefault="009309E3" w:rsidP="009309E3">
            <w:pPr>
              <w:spacing w:line="240" w:lineRule="auto"/>
              <w:jc w:val="right"/>
            </w:pPr>
            <w:r>
              <w:t>21.37</w:t>
            </w:r>
          </w:p>
        </w:tc>
        <w:tc>
          <w:tcPr>
            <w:tcW w:w="359" w:type="dxa"/>
            <w:tcBorders>
              <w:top w:val="single" w:sz="18" w:space="0" w:color="auto"/>
              <w:left w:val="nil"/>
              <w:bottom w:val="nil"/>
              <w:right w:val="nil"/>
            </w:tcBorders>
            <w:vAlign w:val="center"/>
          </w:tcPr>
          <w:p w14:paraId="5A1CD075" w14:textId="77777777" w:rsidR="009309E3" w:rsidRDefault="009309E3" w:rsidP="009309E3">
            <w:pPr>
              <w:spacing w:line="240" w:lineRule="auto"/>
              <w:jc w:val="center"/>
            </w:pPr>
            <w:r>
              <w:t>±</w:t>
            </w:r>
          </w:p>
        </w:tc>
        <w:tc>
          <w:tcPr>
            <w:tcW w:w="848" w:type="dxa"/>
            <w:tcBorders>
              <w:top w:val="single" w:sz="18" w:space="0" w:color="auto"/>
              <w:left w:val="nil"/>
              <w:bottom w:val="nil"/>
              <w:right w:val="single" w:sz="4" w:space="0" w:color="auto"/>
            </w:tcBorders>
            <w:vAlign w:val="center"/>
          </w:tcPr>
          <w:p w14:paraId="1E760CB8" w14:textId="77777777" w:rsidR="009309E3" w:rsidRDefault="009309E3" w:rsidP="009309E3">
            <w:pPr>
              <w:spacing w:line="240" w:lineRule="auto"/>
              <w:jc w:val="left"/>
            </w:pPr>
            <w:r>
              <w:t>0.84</w:t>
            </w:r>
          </w:p>
        </w:tc>
        <w:tc>
          <w:tcPr>
            <w:tcW w:w="1203" w:type="dxa"/>
            <w:tcBorders>
              <w:top w:val="single" w:sz="18" w:space="0" w:color="auto"/>
              <w:left w:val="single" w:sz="4" w:space="0" w:color="auto"/>
              <w:bottom w:val="nil"/>
              <w:right w:val="single" w:sz="4" w:space="0" w:color="auto"/>
            </w:tcBorders>
            <w:vAlign w:val="center"/>
          </w:tcPr>
          <w:p w14:paraId="31D2BE1E" w14:textId="77777777" w:rsidR="009309E3" w:rsidRPr="00E12D71" w:rsidRDefault="009309E3" w:rsidP="009309E3">
            <w:pPr>
              <w:spacing w:line="240" w:lineRule="auto"/>
              <w:jc w:val="center"/>
              <w:rPr>
                <w:i/>
              </w:rPr>
            </w:pPr>
            <w:r>
              <w:rPr>
                <w:i/>
              </w:rPr>
              <w:t>8.8%</w:t>
            </w:r>
          </w:p>
        </w:tc>
        <w:tc>
          <w:tcPr>
            <w:tcW w:w="350" w:type="dxa"/>
            <w:tcBorders>
              <w:top w:val="nil"/>
              <w:left w:val="single" w:sz="4" w:space="0" w:color="auto"/>
              <w:bottom w:val="nil"/>
              <w:right w:val="single" w:sz="4" w:space="0" w:color="auto"/>
            </w:tcBorders>
            <w:vAlign w:val="center"/>
          </w:tcPr>
          <w:p w14:paraId="7CD4657A" w14:textId="77777777" w:rsidR="009309E3" w:rsidRDefault="009309E3" w:rsidP="009309E3">
            <w:pPr>
              <w:spacing w:line="240" w:lineRule="auto"/>
              <w:jc w:val="center"/>
            </w:pPr>
          </w:p>
        </w:tc>
        <w:tc>
          <w:tcPr>
            <w:tcW w:w="856" w:type="dxa"/>
            <w:tcBorders>
              <w:top w:val="single" w:sz="18" w:space="0" w:color="auto"/>
              <w:left w:val="single" w:sz="4" w:space="0" w:color="auto"/>
              <w:bottom w:val="nil"/>
              <w:right w:val="nil"/>
            </w:tcBorders>
            <w:vAlign w:val="center"/>
          </w:tcPr>
          <w:p w14:paraId="7B45FEB0" w14:textId="77777777" w:rsidR="009309E3" w:rsidRDefault="009309E3" w:rsidP="009309E3">
            <w:pPr>
              <w:spacing w:line="240" w:lineRule="auto"/>
              <w:jc w:val="right"/>
            </w:pPr>
            <w:r>
              <w:t>22.36</w:t>
            </w:r>
          </w:p>
        </w:tc>
        <w:tc>
          <w:tcPr>
            <w:tcW w:w="359" w:type="dxa"/>
            <w:tcBorders>
              <w:top w:val="single" w:sz="18" w:space="0" w:color="auto"/>
              <w:left w:val="nil"/>
              <w:bottom w:val="nil"/>
              <w:right w:val="nil"/>
            </w:tcBorders>
            <w:vAlign w:val="center"/>
          </w:tcPr>
          <w:p w14:paraId="4748B26E" w14:textId="77777777" w:rsidR="009309E3" w:rsidRDefault="009309E3" w:rsidP="009309E3">
            <w:pPr>
              <w:spacing w:line="240" w:lineRule="auto"/>
              <w:jc w:val="center"/>
            </w:pPr>
            <w:r>
              <w:t>±</w:t>
            </w:r>
          </w:p>
        </w:tc>
        <w:tc>
          <w:tcPr>
            <w:tcW w:w="848" w:type="dxa"/>
            <w:tcBorders>
              <w:top w:val="single" w:sz="18" w:space="0" w:color="auto"/>
              <w:left w:val="nil"/>
              <w:bottom w:val="nil"/>
              <w:right w:val="single" w:sz="4" w:space="0" w:color="auto"/>
            </w:tcBorders>
            <w:vAlign w:val="center"/>
          </w:tcPr>
          <w:p w14:paraId="4AF1EF9D" w14:textId="77777777" w:rsidR="009309E3" w:rsidRDefault="009309E3" w:rsidP="009309E3">
            <w:pPr>
              <w:spacing w:line="240" w:lineRule="auto"/>
              <w:jc w:val="left"/>
            </w:pPr>
            <w:r>
              <w:t>1.12</w:t>
            </w:r>
          </w:p>
        </w:tc>
        <w:tc>
          <w:tcPr>
            <w:tcW w:w="1203" w:type="dxa"/>
            <w:tcBorders>
              <w:top w:val="single" w:sz="18" w:space="0" w:color="auto"/>
              <w:left w:val="single" w:sz="4" w:space="0" w:color="auto"/>
              <w:bottom w:val="nil"/>
              <w:right w:val="single" w:sz="4" w:space="0" w:color="auto"/>
            </w:tcBorders>
            <w:vAlign w:val="center"/>
          </w:tcPr>
          <w:p w14:paraId="3E824914" w14:textId="77777777" w:rsidR="009309E3" w:rsidRPr="00E12D71" w:rsidRDefault="009309E3" w:rsidP="009309E3">
            <w:pPr>
              <w:spacing w:line="240" w:lineRule="auto"/>
              <w:jc w:val="center"/>
              <w:rPr>
                <w:i/>
              </w:rPr>
            </w:pPr>
            <w:r>
              <w:rPr>
                <w:i/>
              </w:rPr>
              <w:t>1.3%</w:t>
            </w:r>
          </w:p>
        </w:tc>
      </w:tr>
      <w:tr w:rsidR="009309E3" w14:paraId="72444AFA" w14:textId="77777777" w:rsidTr="009309E3">
        <w:trPr>
          <w:trHeight w:val="360"/>
        </w:trPr>
        <w:tc>
          <w:tcPr>
            <w:tcW w:w="572" w:type="dxa"/>
            <w:vMerge/>
            <w:tcBorders>
              <w:top w:val="nil"/>
              <w:left w:val="single" w:sz="4" w:space="0" w:color="auto"/>
              <w:bottom w:val="nil"/>
              <w:right w:val="nil"/>
            </w:tcBorders>
            <w:vAlign w:val="center"/>
          </w:tcPr>
          <w:p w14:paraId="0652B6CF" w14:textId="77777777" w:rsidR="009309E3" w:rsidRDefault="009309E3" w:rsidP="009309E3">
            <w:pPr>
              <w:spacing w:line="240" w:lineRule="auto"/>
              <w:jc w:val="center"/>
            </w:pPr>
          </w:p>
        </w:tc>
        <w:tc>
          <w:tcPr>
            <w:tcW w:w="1258" w:type="dxa"/>
            <w:tcBorders>
              <w:top w:val="nil"/>
              <w:left w:val="nil"/>
              <w:bottom w:val="nil"/>
              <w:right w:val="single" w:sz="4" w:space="0" w:color="auto"/>
            </w:tcBorders>
            <w:vAlign w:val="center"/>
          </w:tcPr>
          <w:p w14:paraId="2E3BE85C" w14:textId="77777777" w:rsidR="009309E3" w:rsidRDefault="009309E3" w:rsidP="009309E3">
            <w:pPr>
              <w:spacing w:line="240" w:lineRule="auto"/>
              <w:jc w:val="center"/>
            </w:pPr>
            <w:r>
              <w:t>206.8</w:t>
            </w:r>
          </w:p>
        </w:tc>
        <w:tc>
          <w:tcPr>
            <w:tcW w:w="856" w:type="dxa"/>
            <w:tcBorders>
              <w:top w:val="nil"/>
              <w:left w:val="single" w:sz="4" w:space="0" w:color="auto"/>
              <w:bottom w:val="nil"/>
              <w:right w:val="nil"/>
            </w:tcBorders>
            <w:vAlign w:val="center"/>
          </w:tcPr>
          <w:p w14:paraId="4B4DDE00" w14:textId="77777777" w:rsidR="009309E3" w:rsidRDefault="009309E3" w:rsidP="009309E3">
            <w:pPr>
              <w:spacing w:line="240" w:lineRule="auto"/>
              <w:jc w:val="right"/>
            </w:pPr>
            <w:r>
              <w:t>24.32</w:t>
            </w:r>
          </w:p>
        </w:tc>
        <w:tc>
          <w:tcPr>
            <w:tcW w:w="359" w:type="dxa"/>
            <w:tcBorders>
              <w:top w:val="nil"/>
              <w:left w:val="nil"/>
              <w:bottom w:val="nil"/>
              <w:right w:val="nil"/>
            </w:tcBorders>
            <w:vAlign w:val="center"/>
          </w:tcPr>
          <w:p w14:paraId="054A71E8" w14:textId="77777777" w:rsidR="009309E3" w:rsidRDefault="009309E3" w:rsidP="009309E3">
            <w:pPr>
              <w:spacing w:line="240" w:lineRule="auto"/>
              <w:jc w:val="center"/>
            </w:pPr>
            <w:r>
              <w:t>±</w:t>
            </w:r>
          </w:p>
        </w:tc>
        <w:tc>
          <w:tcPr>
            <w:tcW w:w="848" w:type="dxa"/>
            <w:tcBorders>
              <w:top w:val="nil"/>
              <w:left w:val="nil"/>
              <w:bottom w:val="nil"/>
              <w:right w:val="single" w:sz="4" w:space="0" w:color="auto"/>
            </w:tcBorders>
            <w:vAlign w:val="center"/>
          </w:tcPr>
          <w:p w14:paraId="140084D6" w14:textId="77777777" w:rsidR="009309E3" w:rsidRDefault="009309E3" w:rsidP="009309E3">
            <w:pPr>
              <w:spacing w:line="240" w:lineRule="auto"/>
              <w:jc w:val="left"/>
            </w:pPr>
            <w:r>
              <w:t>0.73</w:t>
            </w:r>
          </w:p>
        </w:tc>
        <w:tc>
          <w:tcPr>
            <w:tcW w:w="1203" w:type="dxa"/>
            <w:tcBorders>
              <w:top w:val="nil"/>
              <w:left w:val="single" w:sz="4" w:space="0" w:color="auto"/>
              <w:bottom w:val="nil"/>
              <w:right w:val="single" w:sz="4" w:space="0" w:color="auto"/>
            </w:tcBorders>
            <w:vAlign w:val="center"/>
          </w:tcPr>
          <w:p w14:paraId="72F4B804" w14:textId="77777777" w:rsidR="009309E3" w:rsidRPr="00E12D71" w:rsidRDefault="009309E3" w:rsidP="009309E3">
            <w:pPr>
              <w:spacing w:line="240" w:lineRule="auto"/>
              <w:jc w:val="center"/>
              <w:rPr>
                <w:i/>
              </w:rPr>
            </w:pPr>
            <w:r>
              <w:rPr>
                <w:i/>
              </w:rPr>
              <w:t>4.7%</w:t>
            </w:r>
          </w:p>
        </w:tc>
        <w:tc>
          <w:tcPr>
            <w:tcW w:w="350" w:type="dxa"/>
            <w:tcBorders>
              <w:top w:val="nil"/>
              <w:left w:val="single" w:sz="4" w:space="0" w:color="auto"/>
              <w:bottom w:val="nil"/>
              <w:right w:val="single" w:sz="4" w:space="0" w:color="auto"/>
            </w:tcBorders>
            <w:vAlign w:val="center"/>
          </w:tcPr>
          <w:p w14:paraId="31446D16" w14:textId="77777777" w:rsidR="009309E3" w:rsidRDefault="009309E3" w:rsidP="009309E3">
            <w:pPr>
              <w:spacing w:line="240" w:lineRule="auto"/>
              <w:jc w:val="center"/>
            </w:pPr>
          </w:p>
        </w:tc>
        <w:tc>
          <w:tcPr>
            <w:tcW w:w="856" w:type="dxa"/>
            <w:tcBorders>
              <w:top w:val="nil"/>
              <w:left w:val="single" w:sz="4" w:space="0" w:color="auto"/>
              <w:bottom w:val="nil"/>
              <w:right w:val="nil"/>
            </w:tcBorders>
            <w:vAlign w:val="center"/>
          </w:tcPr>
          <w:p w14:paraId="2919B3BE" w14:textId="77777777" w:rsidR="009309E3" w:rsidRDefault="009309E3" w:rsidP="009309E3">
            <w:pPr>
              <w:spacing w:line="240" w:lineRule="auto"/>
              <w:jc w:val="right"/>
            </w:pPr>
            <w:r>
              <w:t>24.60</w:t>
            </w:r>
          </w:p>
        </w:tc>
        <w:tc>
          <w:tcPr>
            <w:tcW w:w="359" w:type="dxa"/>
            <w:tcBorders>
              <w:top w:val="nil"/>
              <w:left w:val="nil"/>
              <w:bottom w:val="nil"/>
              <w:right w:val="nil"/>
            </w:tcBorders>
            <w:vAlign w:val="center"/>
          </w:tcPr>
          <w:p w14:paraId="5A115631" w14:textId="77777777" w:rsidR="009309E3" w:rsidRDefault="009309E3" w:rsidP="009309E3">
            <w:pPr>
              <w:spacing w:line="240" w:lineRule="auto"/>
              <w:jc w:val="center"/>
            </w:pPr>
            <w:r>
              <w:t>±</w:t>
            </w:r>
          </w:p>
        </w:tc>
        <w:tc>
          <w:tcPr>
            <w:tcW w:w="848" w:type="dxa"/>
            <w:tcBorders>
              <w:top w:val="nil"/>
              <w:left w:val="nil"/>
              <w:bottom w:val="nil"/>
              <w:right w:val="single" w:sz="4" w:space="0" w:color="auto"/>
            </w:tcBorders>
            <w:vAlign w:val="center"/>
          </w:tcPr>
          <w:p w14:paraId="66246B4B" w14:textId="77777777" w:rsidR="009309E3" w:rsidRDefault="009309E3" w:rsidP="009309E3">
            <w:pPr>
              <w:spacing w:line="240" w:lineRule="auto"/>
              <w:jc w:val="left"/>
            </w:pPr>
            <w:r>
              <w:t>0.58</w:t>
            </w:r>
          </w:p>
        </w:tc>
        <w:tc>
          <w:tcPr>
            <w:tcW w:w="1203" w:type="dxa"/>
            <w:tcBorders>
              <w:top w:val="nil"/>
              <w:left w:val="single" w:sz="4" w:space="0" w:color="auto"/>
              <w:bottom w:val="nil"/>
              <w:right w:val="single" w:sz="4" w:space="0" w:color="auto"/>
            </w:tcBorders>
            <w:vAlign w:val="center"/>
          </w:tcPr>
          <w:p w14:paraId="1E34FFC1" w14:textId="77777777" w:rsidR="009309E3" w:rsidRPr="00E12D71" w:rsidRDefault="009309E3" w:rsidP="009309E3">
            <w:pPr>
              <w:spacing w:line="240" w:lineRule="auto"/>
              <w:jc w:val="center"/>
              <w:rPr>
                <w:i/>
              </w:rPr>
            </w:pPr>
            <w:r>
              <w:rPr>
                <w:i/>
              </w:rPr>
              <w:t>1.6%</w:t>
            </w:r>
          </w:p>
        </w:tc>
      </w:tr>
      <w:tr w:rsidR="009309E3" w14:paraId="42B37D7D" w14:textId="77777777" w:rsidTr="009309E3">
        <w:trPr>
          <w:trHeight w:val="360"/>
        </w:trPr>
        <w:tc>
          <w:tcPr>
            <w:tcW w:w="572" w:type="dxa"/>
            <w:vMerge/>
            <w:tcBorders>
              <w:top w:val="nil"/>
              <w:left w:val="single" w:sz="4" w:space="0" w:color="auto"/>
              <w:bottom w:val="nil"/>
              <w:right w:val="nil"/>
            </w:tcBorders>
            <w:vAlign w:val="center"/>
          </w:tcPr>
          <w:p w14:paraId="40FD5E0B" w14:textId="77777777" w:rsidR="009309E3" w:rsidRDefault="009309E3" w:rsidP="009309E3">
            <w:pPr>
              <w:spacing w:line="240" w:lineRule="auto"/>
              <w:jc w:val="center"/>
            </w:pPr>
          </w:p>
        </w:tc>
        <w:tc>
          <w:tcPr>
            <w:tcW w:w="1258" w:type="dxa"/>
            <w:tcBorders>
              <w:top w:val="nil"/>
              <w:left w:val="nil"/>
              <w:bottom w:val="nil"/>
              <w:right w:val="single" w:sz="4" w:space="0" w:color="auto"/>
            </w:tcBorders>
            <w:vAlign w:val="center"/>
          </w:tcPr>
          <w:p w14:paraId="530DA456" w14:textId="77777777" w:rsidR="009309E3" w:rsidRDefault="009309E3" w:rsidP="009309E3">
            <w:pPr>
              <w:spacing w:line="240" w:lineRule="auto"/>
              <w:jc w:val="center"/>
            </w:pPr>
            <w:r>
              <w:t>344.7</w:t>
            </w:r>
          </w:p>
        </w:tc>
        <w:tc>
          <w:tcPr>
            <w:tcW w:w="856" w:type="dxa"/>
            <w:tcBorders>
              <w:top w:val="nil"/>
              <w:left w:val="single" w:sz="4" w:space="0" w:color="auto"/>
              <w:bottom w:val="nil"/>
              <w:right w:val="nil"/>
            </w:tcBorders>
            <w:vAlign w:val="center"/>
          </w:tcPr>
          <w:p w14:paraId="4D665700" w14:textId="77777777" w:rsidR="009309E3" w:rsidRDefault="009309E3" w:rsidP="009309E3">
            <w:pPr>
              <w:spacing w:line="240" w:lineRule="auto"/>
              <w:jc w:val="right"/>
            </w:pPr>
            <w:r>
              <w:t>27.26</w:t>
            </w:r>
          </w:p>
        </w:tc>
        <w:tc>
          <w:tcPr>
            <w:tcW w:w="359" w:type="dxa"/>
            <w:tcBorders>
              <w:top w:val="nil"/>
              <w:left w:val="nil"/>
              <w:bottom w:val="nil"/>
              <w:right w:val="nil"/>
            </w:tcBorders>
            <w:vAlign w:val="center"/>
          </w:tcPr>
          <w:p w14:paraId="6A247A15" w14:textId="77777777" w:rsidR="009309E3" w:rsidRDefault="009309E3" w:rsidP="009309E3">
            <w:pPr>
              <w:spacing w:line="240" w:lineRule="auto"/>
              <w:jc w:val="center"/>
            </w:pPr>
            <w:r>
              <w:t>±</w:t>
            </w:r>
          </w:p>
        </w:tc>
        <w:tc>
          <w:tcPr>
            <w:tcW w:w="848" w:type="dxa"/>
            <w:tcBorders>
              <w:top w:val="nil"/>
              <w:left w:val="nil"/>
              <w:bottom w:val="nil"/>
              <w:right w:val="single" w:sz="4" w:space="0" w:color="auto"/>
            </w:tcBorders>
            <w:vAlign w:val="center"/>
          </w:tcPr>
          <w:p w14:paraId="146C64BA" w14:textId="77777777" w:rsidR="009309E3" w:rsidRDefault="009309E3" w:rsidP="009309E3">
            <w:pPr>
              <w:spacing w:line="240" w:lineRule="auto"/>
              <w:jc w:val="left"/>
            </w:pPr>
            <w:r>
              <w:t>0.68</w:t>
            </w:r>
          </w:p>
        </w:tc>
        <w:tc>
          <w:tcPr>
            <w:tcW w:w="1203" w:type="dxa"/>
            <w:tcBorders>
              <w:top w:val="nil"/>
              <w:left w:val="single" w:sz="4" w:space="0" w:color="auto"/>
              <w:bottom w:val="nil"/>
              <w:right w:val="single" w:sz="4" w:space="0" w:color="auto"/>
            </w:tcBorders>
            <w:vAlign w:val="center"/>
          </w:tcPr>
          <w:p w14:paraId="1D60F908" w14:textId="77777777" w:rsidR="009309E3" w:rsidRPr="00E12D71" w:rsidRDefault="009309E3" w:rsidP="009309E3">
            <w:pPr>
              <w:spacing w:line="240" w:lineRule="auto"/>
              <w:jc w:val="center"/>
              <w:rPr>
                <w:i/>
              </w:rPr>
            </w:pPr>
            <w:r>
              <w:rPr>
                <w:i/>
              </w:rPr>
              <w:t>1.0%</w:t>
            </w:r>
          </w:p>
        </w:tc>
        <w:tc>
          <w:tcPr>
            <w:tcW w:w="350" w:type="dxa"/>
            <w:tcBorders>
              <w:top w:val="nil"/>
              <w:left w:val="single" w:sz="4" w:space="0" w:color="auto"/>
              <w:bottom w:val="nil"/>
              <w:right w:val="single" w:sz="4" w:space="0" w:color="auto"/>
            </w:tcBorders>
            <w:vAlign w:val="center"/>
          </w:tcPr>
          <w:p w14:paraId="2C3E69FF" w14:textId="77777777" w:rsidR="009309E3" w:rsidRDefault="009309E3" w:rsidP="009309E3">
            <w:pPr>
              <w:spacing w:line="240" w:lineRule="auto"/>
              <w:jc w:val="center"/>
            </w:pPr>
          </w:p>
        </w:tc>
        <w:tc>
          <w:tcPr>
            <w:tcW w:w="856" w:type="dxa"/>
            <w:tcBorders>
              <w:top w:val="nil"/>
              <w:left w:val="single" w:sz="4" w:space="0" w:color="auto"/>
              <w:bottom w:val="nil"/>
              <w:right w:val="nil"/>
            </w:tcBorders>
            <w:vAlign w:val="center"/>
          </w:tcPr>
          <w:p w14:paraId="7175170D" w14:textId="77777777" w:rsidR="009309E3" w:rsidRDefault="009309E3" w:rsidP="009309E3">
            <w:pPr>
              <w:spacing w:line="240" w:lineRule="auto"/>
              <w:jc w:val="right"/>
            </w:pPr>
            <w:r>
              <w:t>26.38</w:t>
            </w:r>
          </w:p>
        </w:tc>
        <w:tc>
          <w:tcPr>
            <w:tcW w:w="359" w:type="dxa"/>
            <w:tcBorders>
              <w:top w:val="nil"/>
              <w:left w:val="nil"/>
              <w:bottom w:val="nil"/>
              <w:right w:val="nil"/>
            </w:tcBorders>
            <w:vAlign w:val="center"/>
          </w:tcPr>
          <w:p w14:paraId="34024F80" w14:textId="77777777" w:rsidR="009309E3" w:rsidRDefault="009309E3" w:rsidP="009309E3">
            <w:pPr>
              <w:spacing w:line="240" w:lineRule="auto"/>
              <w:jc w:val="center"/>
            </w:pPr>
            <w:r>
              <w:t>±</w:t>
            </w:r>
          </w:p>
        </w:tc>
        <w:tc>
          <w:tcPr>
            <w:tcW w:w="848" w:type="dxa"/>
            <w:tcBorders>
              <w:top w:val="nil"/>
              <w:left w:val="nil"/>
              <w:bottom w:val="nil"/>
              <w:right w:val="single" w:sz="4" w:space="0" w:color="auto"/>
            </w:tcBorders>
            <w:vAlign w:val="center"/>
          </w:tcPr>
          <w:p w14:paraId="57B0AC0D" w14:textId="77777777" w:rsidR="009309E3" w:rsidRDefault="009309E3" w:rsidP="009309E3">
            <w:pPr>
              <w:spacing w:line="240" w:lineRule="auto"/>
              <w:jc w:val="left"/>
            </w:pPr>
            <w:r>
              <w:t>0.83</w:t>
            </w:r>
          </w:p>
        </w:tc>
        <w:tc>
          <w:tcPr>
            <w:tcW w:w="1203" w:type="dxa"/>
            <w:tcBorders>
              <w:top w:val="nil"/>
              <w:left w:val="single" w:sz="4" w:space="0" w:color="auto"/>
              <w:bottom w:val="nil"/>
              <w:right w:val="single" w:sz="4" w:space="0" w:color="auto"/>
            </w:tcBorders>
            <w:vAlign w:val="center"/>
          </w:tcPr>
          <w:p w14:paraId="2FC564A9" w14:textId="77777777" w:rsidR="009309E3" w:rsidRPr="00E12D71" w:rsidRDefault="009309E3" w:rsidP="009309E3">
            <w:pPr>
              <w:spacing w:line="240" w:lineRule="auto"/>
              <w:jc w:val="center"/>
              <w:rPr>
                <w:i/>
              </w:rPr>
            </w:pPr>
            <w:r>
              <w:rPr>
                <w:i/>
              </w:rPr>
              <w:t>3.3%</w:t>
            </w:r>
          </w:p>
        </w:tc>
      </w:tr>
      <w:tr w:rsidR="009309E3" w14:paraId="146B3F8A" w14:textId="77777777" w:rsidTr="009309E3">
        <w:trPr>
          <w:trHeight w:val="360"/>
        </w:trPr>
        <w:tc>
          <w:tcPr>
            <w:tcW w:w="572" w:type="dxa"/>
            <w:vMerge/>
            <w:tcBorders>
              <w:top w:val="nil"/>
              <w:left w:val="single" w:sz="4" w:space="0" w:color="auto"/>
              <w:bottom w:val="single" w:sz="4" w:space="0" w:color="auto"/>
              <w:right w:val="nil"/>
            </w:tcBorders>
            <w:vAlign w:val="center"/>
          </w:tcPr>
          <w:p w14:paraId="7AE1F2EF" w14:textId="77777777" w:rsidR="009309E3" w:rsidRDefault="009309E3" w:rsidP="009309E3">
            <w:pPr>
              <w:spacing w:line="240" w:lineRule="auto"/>
              <w:jc w:val="center"/>
            </w:pPr>
          </w:p>
        </w:tc>
        <w:tc>
          <w:tcPr>
            <w:tcW w:w="1258" w:type="dxa"/>
            <w:tcBorders>
              <w:top w:val="nil"/>
              <w:left w:val="nil"/>
              <w:bottom w:val="single" w:sz="4" w:space="0" w:color="auto"/>
              <w:right w:val="single" w:sz="4" w:space="0" w:color="auto"/>
            </w:tcBorders>
            <w:vAlign w:val="center"/>
          </w:tcPr>
          <w:p w14:paraId="4931A273" w14:textId="77777777" w:rsidR="009309E3" w:rsidRDefault="009309E3" w:rsidP="009309E3">
            <w:pPr>
              <w:spacing w:line="240" w:lineRule="auto"/>
              <w:jc w:val="center"/>
            </w:pPr>
            <w:r>
              <w:t>482.6</w:t>
            </w:r>
          </w:p>
        </w:tc>
        <w:tc>
          <w:tcPr>
            <w:tcW w:w="856" w:type="dxa"/>
            <w:tcBorders>
              <w:top w:val="nil"/>
              <w:left w:val="single" w:sz="4" w:space="0" w:color="auto"/>
              <w:bottom w:val="single" w:sz="4" w:space="0" w:color="auto"/>
              <w:right w:val="nil"/>
            </w:tcBorders>
            <w:vAlign w:val="center"/>
          </w:tcPr>
          <w:p w14:paraId="1031F7B6" w14:textId="77777777" w:rsidR="009309E3" w:rsidRDefault="009309E3" w:rsidP="009309E3">
            <w:pPr>
              <w:spacing w:line="240" w:lineRule="auto"/>
              <w:jc w:val="right"/>
            </w:pPr>
            <w:r>
              <w:t>28.27</w:t>
            </w:r>
          </w:p>
        </w:tc>
        <w:tc>
          <w:tcPr>
            <w:tcW w:w="359" w:type="dxa"/>
            <w:tcBorders>
              <w:top w:val="nil"/>
              <w:left w:val="nil"/>
              <w:bottom w:val="single" w:sz="4" w:space="0" w:color="auto"/>
              <w:right w:val="nil"/>
            </w:tcBorders>
            <w:vAlign w:val="center"/>
          </w:tcPr>
          <w:p w14:paraId="67F8C41A" w14:textId="77777777" w:rsidR="009309E3" w:rsidRDefault="009309E3" w:rsidP="009309E3">
            <w:pPr>
              <w:spacing w:line="240" w:lineRule="auto"/>
              <w:jc w:val="center"/>
            </w:pPr>
            <w:r>
              <w:t>±</w:t>
            </w:r>
          </w:p>
        </w:tc>
        <w:tc>
          <w:tcPr>
            <w:tcW w:w="848" w:type="dxa"/>
            <w:tcBorders>
              <w:top w:val="nil"/>
              <w:left w:val="nil"/>
              <w:bottom w:val="single" w:sz="4" w:space="0" w:color="auto"/>
              <w:right w:val="single" w:sz="4" w:space="0" w:color="auto"/>
            </w:tcBorders>
            <w:vAlign w:val="center"/>
          </w:tcPr>
          <w:p w14:paraId="4D88021F" w14:textId="77777777" w:rsidR="009309E3" w:rsidRDefault="009309E3" w:rsidP="009309E3">
            <w:pPr>
              <w:spacing w:line="240" w:lineRule="auto"/>
              <w:jc w:val="left"/>
            </w:pPr>
            <w:r>
              <w:t>0.32</w:t>
            </w:r>
          </w:p>
        </w:tc>
        <w:tc>
          <w:tcPr>
            <w:tcW w:w="1203" w:type="dxa"/>
            <w:tcBorders>
              <w:top w:val="nil"/>
              <w:left w:val="single" w:sz="4" w:space="0" w:color="auto"/>
              <w:bottom w:val="single" w:sz="4" w:space="0" w:color="auto"/>
              <w:right w:val="single" w:sz="4" w:space="0" w:color="auto"/>
            </w:tcBorders>
            <w:vAlign w:val="center"/>
          </w:tcPr>
          <w:p w14:paraId="75C62F95" w14:textId="77777777" w:rsidR="009309E3" w:rsidRPr="00E12D71" w:rsidRDefault="009309E3" w:rsidP="009309E3">
            <w:pPr>
              <w:spacing w:line="240" w:lineRule="auto"/>
              <w:jc w:val="center"/>
              <w:rPr>
                <w:i/>
              </w:rPr>
            </w:pPr>
            <w:r>
              <w:rPr>
                <w:i/>
              </w:rPr>
              <w:t>3.0%</w:t>
            </w:r>
          </w:p>
        </w:tc>
        <w:tc>
          <w:tcPr>
            <w:tcW w:w="350" w:type="dxa"/>
            <w:tcBorders>
              <w:top w:val="nil"/>
              <w:left w:val="single" w:sz="4" w:space="0" w:color="auto"/>
              <w:bottom w:val="nil"/>
              <w:right w:val="single" w:sz="4" w:space="0" w:color="auto"/>
            </w:tcBorders>
            <w:vAlign w:val="center"/>
          </w:tcPr>
          <w:p w14:paraId="4F1C5C8A" w14:textId="77777777" w:rsidR="009309E3" w:rsidRDefault="009309E3" w:rsidP="009309E3">
            <w:pPr>
              <w:spacing w:line="240" w:lineRule="auto"/>
              <w:jc w:val="center"/>
            </w:pPr>
          </w:p>
        </w:tc>
        <w:tc>
          <w:tcPr>
            <w:tcW w:w="856" w:type="dxa"/>
            <w:tcBorders>
              <w:top w:val="nil"/>
              <w:left w:val="single" w:sz="4" w:space="0" w:color="auto"/>
              <w:bottom w:val="single" w:sz="4" w:space="0" w:color="auto"/>
              <w:right w:val="nil"/>
            </w:tcBorders>
            <w:vAlign w:val="center"/>
          </w:tcPr>
          <w:p w14:paraId="0E170C41" w14:textId="77777777" w:rsidR="009309E3" w:rsidRDefault="009309E3" w:rsidP="009309E3">
            <w:pPr>
              <w:spacing w:line="240" w:lineRule="auto"/>
              <w:jc w:val="right"/>
            </w:pPr>
            <w:r>
              <w:t>27.36</w:t>
            </w:r>
          </w:p>
        </w:tc>
        <w:tc>
          <w:tcPr>
            <w:tcW w:w="359" w:type="dxa"/>
            <w:tcBorders>
              <w:top w:val="nil"/>
              <w:left w:val="nil"/>
              <w:bottom w:val="single" w:sz="4" w:space="0" w:color="auto"/>
              <w:right w:val="nil"/>
            </w:tcBorders>
            <w:vAlign w:val="center"/>
          </w:tcPr>
          <w:p w14:paraId="253DBF3B" w14:textId="77777777" w:rsidR="009309E3" w:rsidRDefault="009309E3" w:rsidP="009309E3">
            <w:pPr>
              <w:spacing w:line="240" w:lineRule="auto"/>
              <w:jc w:val="center"/>
            </w:pPr>
            <w:r>
              <w:t>±</w:t>
            </w:r>
          </w:p>
        </w:tc>
        <w:tc>
          <w:tcPr>
            <w:tcW w:w="848" w:type="dxa"/>
            <w:tcBorders>
              <w:top w:val="nil"/>
              <w:left w:val="nil"/>
              <w:bottom w:val="single" w:sz="4" w:space="0" w:color="auto"/>
              <w:right w:val="single" w:sz="4" w:space="0" w:color="auto"/>
            </w:tcBorders>
            <w:vAlign w:val="center"/>
          </w:tcPr>
          <w:p w14:paraId="4CDDF4F4" w14:textId="77777777" w:rsidR="009309E3" w:rsidRDefault="009309E3" w:rsidP="009309E3">
            <w:pPr>
              <w:spacing w:line="240" w:lineRule="auto"/>
              <w:jc w:val="left"/>
            </w:pPr>
            <w:r>
              <w:t>0.46</w:t>
            </w:r>
          </w:p>
        </w:tc>
        <w:tc>
          <w:tcPr>
            <w:tcW w:w="1203" w:type="dxa"/>
            <w:tcBorders>
              <w:top w:val="nil"/>
              <w:left w:val="single" w:sz="4" w:space="0" w:color="auto"/>
              <w:bottom w:val="single" w:sz="4" w:space="0" w:color="auto"/>
              <w:right w:val="single" w:sz="4" w:space="0" w:color="auto"/>
            </w:tcBorders>
            <w:vAlign w:val="center"/>
          </w:tcPr>
          <w:p w14:paraId="7A0B0928" w14:textId="77777777" w:rsidR="009309E3" w:rsidRPr="00E12D71" w:rsidRDefault="009309E3" w:rsidP="009309E3">
            <w:pPr>
              <w:spacing w:line="240" w:lineRule="auto"/>
              <w:jc w:val="center"/>
              <w:rPr>
                <w:i/>
              </w:rPr>
            </w:pPr>
            <w:r>
              <w:rPr>
                <w:i/>
              </w:rPr>
              <w:t>5.1%</w:t>
            </w:r>
          </w:p>
        </w:tc>
      </w:tr>
      <w:tr w:rsidR="009309E3" w14:paraId="796B4B42" w14:textId="77777777" w:rsidTr="009309E3">
        <w:trPr>
          <w:trHeight w:val="360"/>
        </w:trPr>
        <w:tc>
          <w:tcPr>
            <w:tcW w:w="572" w:type="dxa"/>
            <w:vMerge w:val="restart"/>
            <w:tcBorders>
              <w:top w:val="single" w:sz="4" w:space="0" w:color="auto"/>
              <w:left w:val="single" w:sz="4" w:space="0" w:color="auto"/>
              <w:bottom w:val="nil"/>
              <w:right w:val="nil"/>
            </w:tcBorders>
            <w:textDirection w:val="btLr"/>
            <w:vAlign w:val="center"/>
          </w:tcPr>
          <w:p w14:paraId="71715C48" w14:textId="77777777" w:rsidR="009309E3" w:rsidRDefault="009309E3" w:rsidP="009309E3">
            <w:pPr>
              <w:spacing w:line="240" w:lineRule="auto"/>
              <w:ind w:left="113" w:right="113"/>
              <w:jc w:val="center"/>
            </w:pPr>
            <w:r>
              <w:t>40% RH</w:t>
            </w:r>
          </w:p>
        </w:tc>
        <w:tc>
          <w:tcPr>
            <w:tcW w:w="1258" w:type="dxa"/>
            <w:tcBorders>
              <w:top w:val="single" w:sz="4" w:space="0" w:color="auto"/>
              <w:left w:val="nil"/>
              <w:bottom w:val="nil"/>
              <w:right w:val="single" w:sz="4" w:space="0" w:color="auto"/>
            </w:tcBorders>
            <w:vAlign w:val="center"/>
          </w:tcPr>
          <w:p w14:paraId="24EE3D7B" w14:textId="77777777" w:rsidR="009309E3" w:rsidRDefault="009309E3" w:rsidP="009309E3">
            <w:pPr>
              <w:spacing w:line="240" w:lineRule="auto"/>
              <w:jc w:val="center"/>
            </w:pPr>
            <w:r>
              <w:t>68.9</w:t>
            </w:r>
          </w:p>
        </w:tc>
        <w:tc>
          <w:tcPr>
            <w:tcW w:w="856" w:type="dxa"/>
            <w:tcBorders>
              <w:top w:val="single" w:sz="4" w:space="0" w:color="auto"/>
              <w:left w:val="single" w:sz="4" w:space="0" w:color="auto"/>
              <w:bottom w:val="nil"/>
              <w:right w:val="nil"/>
            </w:tcBorders>
            <w:vAlign w:val="center"/>
          </w:tcPr>
          <w:p w14:paraId="62B94CF5" w14:textId="77777777" w:rsidR="009309E3" w:rsidRDefault="009309E3" w:rsidP="009309E3">
            <w:pPr>
              <w:spacing w:line="240" w:lineRule="auto"/>
              <w:jc w:val="right"/>
            </w:pPr>
            <w:r>
              <w:t>21.85</w:t>
            </w:r>
          </w:p>
        </w:tc>
        <w:tc>
          <w:tcPr>
            <w:tcW w:w="359" w:type="dxa"/>
            <w:tcBorders>
              <w:top w:val="single" w:sz="4" w:space="0" w:color="auto"/>
              <w:left w:val="nil"/>
              <w:bottom w:val="nil"/>
              <w:right w:val="nil"/>
            </w:tcBorders>
            <w:vAlign w:val="center"/>
          </w:tcPr>
          <w:p w14:paraId="79CA3276" w14:textId="77777777" w:rsidR="009309E3" w:rsidRDefault="009309E3" w:rsidP="009309E3">
            <w:pPr>
              <w:spacing w:line="240" w:lineRule="auto"/>
              <w:jc w:val="center"/>
            </w:pPr>
            <w:r>
              <w:t>±</w:t>
            </w:r>
          </w:p>
        </w:tc>
        <w:tc>
          <w:tcPr>
            <w:tcW w:w="848" w:type="dxa"/>
            <w:tcBorders>
              <w:top w:val="single" w:sz="4" w:space="0" w:color="auto"/>
              <w:left w:val="nil"/>
              <w:bottom w:val="nil"/>
              <w:right w:val="single" w:sz="4" w:space="0" w:color="auto"/>
            </w:tcBorders>
            <w:vAlign w:val="center"/>
          </w:tcPr>
          <w:p w14:paraId="5CFEC271" w14:textId="77777777" w:rsidR="009309E3" w:rsidRDefault="009309E3" w:rsidP="009309E3">
            <w:pPr>
              <w:spacing w:line="240" w:lineRule="auto"/>
              <w:jc w:val="left"/>
            </w:pPr>
            <w:r>
              <w:t>0.95</w:t>
            </w:r>
          </w:p>
        </w:tc>
        <w:tc>
          <w:tcPr>
            <w:tcW w:w="1203" w:type="dxa"/>
            <w:tcBorders>
              <w:top w:val="single" w:sz="4" w:space="0" w:color="auto"/>
              <w:left w:val="single" w:sz="4" w:space="0" w:color="auto"/>
              <w:bottom w:val="nil"/>
              <w:right w:val="single" w:sz="4" w:space="0" w:color="auto"/>
            </w:tcBorders>
            <w:vAlign w:val="center"/>
          </w:tcPr>
          <w:p w14:paraId="34764058" w14:textId="77777777" w:rsidR="009309E3" w:rsidRPr="00E12D71" w:rsidRDefault="009309E3" w:rsidP="009309E3">
            <w:pPr>
              <w:spacing w:line="240" w:lineRule="auto"/>
              <w:jc w:val="center"/>
              <w:rPr>
                <w:i/>
              </w:rPr>
            </w:pPr>
            <w:r>
              <w:rPr>
                <w:i/>
              </w:rPr>
              <w:t>3.5%</w:t>
            </w:r>
          </w:p>
        </w:tc>
        <w:tc>
          <w:tcPr>
            <w:tcW w:w="350" w:type="dxa"/>
            <w:tcBorders>
              <w:top w:val="nil"/>
              <w:left w:val="single" w:sz="4" w:space="0" w:color="auto"/>
              <w:bottom w:val="nil"/>
              <w:right w:val="single" w:sz="4" w:space="0" w:color="auto"/>
            </w:tcBorders>
            <w:vAlign w:val="center"/>
          </w:tcPr>
          <w:p w14:paraId="378F3AE6" w14:textId="77777777" w:rsidR="009309E3" w:rsidRDefault="009309E3" w:rsidP="009309E3">
            <w:pPr>
              <w:spacing w:line="240" w:lineRule="auto"/>
              <w:jc w:val="center"/>
            </w:pPr>
          </w:p>
        </w:tc>
        <w:tc>
          <w:tcPr>
            <w:tcW w:w="856" w:type="dxa"/>
            <w:tcBorders>
              <w:top w:val="single" w:sz="4" w:space="0" w:color="auto"/>
              <w:left w:val="single" w:sz="4" w:space="0" w:color="auto"/>
              <w:bottom w:val="nil"/>
              <w:right w:val="nil"/>
            </w:tcBorders>
            <w:vAlign w:val="center"/>
          </w:tcPr>
          <w:p w14:paraId="0CD3559C" w14:textId="77777777" w:rsidR="009309E3" w:rsidRDefault="009309E3" w:rsidP="009309E3">
            <w:pPr>
              <w:spacing w:line="240" w:lineRule="auto"/>
              <w:jc w:val="right"/>
            </w:pPr>
            <w:r>
              <w:t>21.97</w:t>
            </w:r>
          </w:p>
        </w:tc>
        <w:tc>
          <w:tcPr>
            <w:tcW w:w="359" w:type="dxa"/>
            <w:tcBorders>
              <w:top w:val="single" w:sz="4" w:space="0" w:color="auto"/>
              <w:left w:val="nil"/>
              <w:bottom w:val="nil"/>
              <w:right w:val="nil"/>
            </w:tcBorders>
            <w:vAlign w:val="center"/>
          </w:tcPr>
          <w:p w14:paraId="22880329" w14:textId="77777777" w:rsidR="009309E3" w:rsidRDefault="009309E3" w:rsidP="009309E3">
            <w:pPr>
              <w:spacing w:line="240" w:lineRule="auto"/>
              <w:jc w:val="center"/>
            </w:pPr>
            <w:r>
              <w:t>±</w:t>
            </w:r>
          </w:p>
        </w:tc>
        <w:tc>
          <w:tcPr>
            <w:tcW w:w="848" w:type="dxa"/>
            <w:tcBorders>
              <w:top w:val="single" w:sz="4" w:space="0" w:color="auto"/>
              <w:left w:val="nil"/>
              <w:bottom w:val="nil"/>
              <w:right w:val="single" w:sz="4" w:space="0" w:color="auto"/>
            </w:tcBorders>
            <w:vAlign w:val="center"/>
          </w:tcPr>
          <w:p w14:paraId="56EE0C4B" w14:textId="77777777" w:rsidR="009309E3" w:rsidRDefault="009309E3" w:rsidP="009309E3">
            <w:pPr>
              <w:spacing w:line="240" w:lineRule="auto"/>
              <w:jc w:val="left"/>
            </w:pPr>
            <w:r>
              <w:t>0.95</w:t>
            </w:r>
          </w:p>
        </w:tc>
        <w:tc>
          <w:tcPr>
            <w:tcW w:w="1203" w:type="dxa"/>
            <w:tcBorders>
              <w:top w:val="single" w:sz="4" w:space="0" w:color="auto"/>
              <w:left w:val="single" w:sz="4" w:space="0" w:color="auto"/>
              <w:bottom w:val="nil"/>
              <w:right w:val="single" w:sz="4" w:space="0" w:color="auto"/>
            </w:tcBorders>
            <w:vAlign w:val="center"/>
          </w:tcPr>
          <w:p w14:paraId="055A6F45" w14:textId="77777777" w:rsidR="009309E3" w:rsidRPr="00E12D71" w:rsidRDefault="009309E3" w:rsidP="009309E3">
            <w:pPr>
              <w:spacing w:line="240" w:lineRule="auto"/>
              <w:jc w:val="center"/>
              <w:rPr>
                <w:i/>
              </w:rPr>
            </w:pPr>
            <w:r>
              <w:rPr>
                <w:i/>
              </w:rPr>
              <w:t>1.5%</w:t>
            </w:r>
          </w:p>
        </w:tc>
      </w:tr>
      <w:tr w:rsidR="009309E3" w14:paraId="458BDD92" w14:textId="77777777" w:rsidTr="009309E3">
        <w:trPr>
          <w:trHeight w:val="360"/>
        </w:trPr>
        <w:tc>
          <w:tcPr>
            <w:tcW w:w="572" w:type="dxa"/>
            <w:vMerge/>
            <w:tcBorders>
              <w:top w:val="nil"/>
              <w:left w:val="single" w:sz="4" w:space="0" w:color="auto"/>
              <w:bottom w:val="nil"/>
              <w:right w:val="nil"/>
            </w:tcBorders>
            <w:textDirection w:val="btLr"/>
            <w:vAlign w:val="center"/>
          </w:tcPr>
          <w:p w14:paraId="24330EBA" w14:textId="77777777" w:rsidR="009309E3" w:rsidRDefault="009309E3" w:rsidP="009309E3">
            <w:pPr>
              <w:spacing w:line="240" w:lineRule="auto"/>
              <w:ind w:left="113" w:right="113"/>
              <w:jc w:val="center"/>
            </w:pPr>
          </w:p>
        </w:tc>
        <w:tc>
          <w:tcPr>
            <w:tcW w:w="1258" w:type="dxa"/>
            <w:tcBorders>
              <w:top w:val="nil"/>
              <w:left w:val="nil"/>
              <w:bottom w:val="nil"/>
              <w:right w:val="single" w:sz="4" w:space="0" w:color="auto"/>
            </w:tcBorders>
            <w:vAlign w:val="center"/>
          </w:tcPr>
          <w:p w14:paraId="55C8B0D6" w14:textId="77777777" w:rsidR="009309E3" w:rsidRDefault="009309E3" w:rsidP="009309E3">
            <w:pPr>
              <w:spacing w:line="240" w:lineRule="auto"/>
              <w:jc w:val="center"/>
            </w:pPr>
            <w:r>
              <w:t>206.8</w:t>
            </w:r>
          </w:p>
        </w:tc>
        <w:tc>
          <w:tcPr>
            <w:tcW w:w="856" w:type="dxa"/>
            <w:tcBorders>
              <w:top w:val="nil"/>
              <w:left w:val="single" w:sz="4" w:space="0" w:color="auto"/>
              <w:bottom w:val="nil"/>
              <w:right w:val="nil"/>
            </w:tcBorders>
            <w:vAlign w:val="center"/>
          </w:tcPr>
          <w:p w14:paraId="0F34F596" w14:textId="77777777" w:rsidR="009309E3" w:rsidRDefault="009309E3" w:rsidP="009309E3">
            <w:pPr>
              <w:spacing w:line="240" w:lineRule="auto"/>
              <w:jc w:val="right"/>
            </w:pPr>
            <w:r>
              <w:t>23.55</w:t>
            </w:r>
          </w:p>
        </w:tc>
        <w:tc>
          <w:tcPr>
            <w:tcW w:w="359" w:type="dxa"/>
            <w:tcBorders>
              <w:top w:val="nil"/>
              <w:left w:val="nil"/>
              <w:bottom w:val="nil"/>
              <w:right w:val="nil"/>
            </w:tcBorders>
            <w:vAlign w:val="center"/>
          </w:tcPr>
          <w:p w14:paraId="7DBE27EC" w14:textId="77777777" w:rsidR="009309E3" w:rsidRDefault="009309E3" w:rsidP="009309E3">
            <w:pPr>
              <w:spacing w:line="240" w:lineRule="auto"/>
              <w:jc w:val="center"/>
            </w:pPr>
            <w:r>
              <w:t>±</w:t>
            </w:r>
          </w:p>
        </w:tc>
        <w:tc>
          <w:tcPr>
            <w:tcW w:w="848" w:type="dxa"/>
            <w:tcBorders>
              <w:top w:val="nil"/>
              <w:left w:val="nil"/>
              <w:bottom w:val="nil"/>
              <w:right w:val="single" w:sz="4" w:space="0" w:color="auto"/>
            </w:tcBorders>
            <w:vAlign w:val="center"/>
          </w:tcPr>
          <w:p w14:paraId="030E7DED" w14:textId="77777777" w:rsidR="009309E3" w:rsidRDefault="009309E3" w:rsidP="009309E3">
            <w:pPr>
              <w:spacing w:line="240" w:lineRule="auto"/>
              <w:jc w:val="left"/>
            </w:pPr>
            <w:r>
              <w:t>0.54</w:t>
            </w:r>
          </w:p>
        </w:tc>
        <w:tc>
          <w:tcPr>
            <w:tcW w:w="1203" w:type="dxa"/>
            <w:tcBorders>
              <w:top w:val="nil"/>
              <w:left w:val="single" w:sz="4" w:space="0" w:color="auto"/>
              <w:bottom w:val="nil"/>
              <w:right w:val="single" w:sz="4" w:space="0" w:color="auto"/>
            </w:tcBorders>
            <w:vAlign w:val="center"/>
          </w:tcPr>
          <w:p w14:paraId="5E01A3DE" w14:textId="77777777" w:rsidR="009309E3" w:rsidRPr="00E12D71" w:rsidRDefault="009309E3" w:rsidP="009309E3">
            <w:pPr>
              <w:spacing w:line="240" w:lineRule="auto"/>
              <w:jc w:val="center"/>
              <w:rPr>
                <w:i/>
              </w:rPr>
            </w:pPr>
            <w:r>
              <w:rPr>
                <w:i/>
              </w:rPr>
              <w:t>4.7%</w:t>
            </w:r>
          </w:p>
        </w:tc>
        <w:tc>
          <w:tcPr>
            <w:tcW w:w="350" w:type="dxa"/>
            <w:tcBorders>
              <w:top w:val="nil"/>
              <w:left w:val="single" w:sz="4" w:space="0" w:color="auto"/>
              <w:bottom w:val="nil"/>
              <w:right w:val="single" w:sz="4" w:space="0" w:color="auto"/>
            </w:tcBorders>
            <w:vAlign w:val="center"/>
          </w:tcPr>
          <w:p w14:paraId="7FF87362" w14:textId="77777777" w:rsidR="009309E3" w:rsidRDefault="009309E3" w:rsidP="009309E3">
            <w:pPr>
              <w:spacing w:line="240" w:lineRule="auto"/>
              <w:jc w:val="center"/>
            </w:pPr>
          </w:p>
        </w:tc>
        <w:tc>
          <w:tcPr>
            <w:tcW w:w="856" w:type="dxa"/>
            <w:tcBorders>
              <w:top w:val="nil"/>
              <w:left w:val="single" w:sz="4" w:space="0" w:color="auto"/>
              <w:bottom w:val="nil"/>
              <w:right w:val="nil"/>
            </w:tcBorders>
            <w:vAlign w:val="center"/>
          </w:tcPr>
          <w:p w14:paraId="796F717B" w14:textId="77777777" w:rsidR="009309E3" w:rsidRDefault="009309E3" w:rsidP="009309E3">
            <w:pPr>
              <w:spacing w:line="240" w:lineRule="auto"/>
              <w:jc w:val="right"/>
            </w:pPr>
            <w:r>
              <w:t>26.20</w:t>
            </w:r>
          </w:p>
        </w:tc>
        <w:tc>
          <w:tcPr>
            <w:tcW w:w="359" w:type="dxa"/>
            <w:tcBorders>
              <w:top w:val="nil"/>
              <w:left w:val="nil"/>
              <w:bottom w:val="nil"/>
              <w:right w:val="nil"/>
            </w:tcBorders>
            <w:vAlign w:val="center"/>
          </w:tcPr>
          <w:p w14:paraId="436177B1" w14:textId="77777777" w:rsidR="009309E3" w:rsidRDefault="009309E3" w:rsidP="009309E3">
            <w:pPr>
              <w:spacing w:line="240" w:lineRule="auto"/>
              <w:jc w:val="center"/>
            </w:pPr>
            <w:r>
              <w:t>±</w:t>
            </w:r>
          </w:p>
        </w:tc>
        <w:tc>
          <w:tcPr>
            <w:tcW w:w="848" w:type="dxa"/>
            <w:tcBorders>
              <w:top w:val="nil"/>
              <w:left w:val="nil"/>
              <w:bottom w:val="nil"/>
              <w:right w:val="single" w:sz="4" w:space="0" w:color="auto"/>
            </w:tcBorders>
            <w:vAlign w:val="center"/>
          </w:tcPr>
          <w:p w14:paraId="0D398C75" w14:textId="77777777" w:rsidR="009309E3" w:rsidRDefault="009309E3" w:rsidP="009309E3">
            <w:pPr>
              <w:spacing w:line="240" w:lineRule="auto"/>
              <w:jc w:val="left"/>
            </w:pPr>
            <w:r>
              <w:t>0.77</w:t>
            </w:r>
          </w:p>
        </w:tc>
        <w:tc>
          <w:tcPr>
            <w:tcW w:w="1203" w:type="dxa"/>
            <w:tcBorders>
              <w:top w:val="nil"/>
              <w:left w:val="single" w:sz="4" w:space="0" w:color="auto"/>
              <w:bottom w:val="nil"/>
              <w:right w:val="single" w:sz="4" w:space="0" w:color="auto"/>
            </w:tcBorders>
            <w:vAlign w:val="center"/>
          </w:tcPr>
          <w:p w14:paraId="73CE1F18" w14:textId="77777777" w:rsidR="009309E3" w:rsidRPr="00E12D71" w:rsidRDefault="009309E3" w:rsidP="009309E3">
            <w:pPr>
              <w:spacing w:line="240" w:lineRule="auto"/>
              <w:jc w:val="center"/>
              <w:rPr>
                <w:i/>
              </w:rPr>
            </w:pPr>
            <w:r>
              <w:rPr>
                <w:i/>
              </w:rPr>
              <w:t>1.8%</w:t>
            </w:r>
          </w:p>
        </w:tc>
      </w:tr>
      <w:tr w:rsidR="009309E3" w14:paraId="008B9AFA" w14:textId="77777777" w:rsidTr="009309E3">
        <w:trPr>
          <w:trHeight w:val="360"/>
        </w:trPr>
        <w:tc>
          <w:tcPr>
            <w:tcW w:w="572" w:type="dxa"/>
            <w:vMerge/>
            <w:tcBorders>
              <w:top w:val="nil"/>
              <w:left w:val="single" w:sz="4" w:space="0" w:color="auto"/>
              <w:bottom w:val="nil"/>
              <w:right w:val="nil"/>
            </w:tcBorders>
            <w:textDirection w:val="btLr"/>
            <w:vAlign w:val="center"/>
          </w:tcPr>
          <w:p w14:paraId="21BFFBA3" w14:textId="77777777" w:rsidR="009309E3" w:rsidRDefault="009309E3" w:rsidP="009309E3">
            <w:pPr>
              <w:spacing w:line="240" w:lineRule="auto"/>
              <w:ind w:left="113" w:right="113"/>
              <w:jc w:val="center"/>
            </w:pPr>
          </w:p>
        </w:tc>
        <w:tc>
          <w:tcPr>
            <w:tcW w:w="1258" w:type="dxa"/>
            <w:tcBorders>
              <w:top w:val="nil"/>
              <w:left w:val="nil"/>
              <w:bottom w:val="nil"/>
              <w:right w:val="single" w:sz="4" w:space="0" w:color="auto"/>
            </w:tcBorders>
            <w:vAlign w:val="center"/>
          </w:tcPr>
          <w:p w14:paraId="5D256EA2" w14:textId="77777777" w:rsidR="009309E3" w:rsidRDefault="009309E3" w:rsidP="009309E3">
            <w:pPr>
              <w:spacing w:line="240" w:lineRule="auto"/>
              <w:jc w:val="center"/>
            </w:pPr>
            <w:r>
              <w:t>344.7</w:t>
            </w:r>
          </w:p>
        </w:tc>
        <w:tc>
          <w:tcPr>
            <w:tcW w:w="856" w:type="dxa"/>
            <w:tcBorders>
              <w:top w:val="nil"/>
              <w:left w:val="single" w:sz="4" w:space="0" w:color="auto"/>
              <w:bottom w:val="nil"/>
              <w:right w:val="nil"/>
            </w:tcBorders>
            <w:vAlign w:val="center"/>
          </w:tcPr>
          <w:p w14:paraId="00123591" w14:textId="77777777" w:rsidR="009309E3" w:rsidRDefault="009309E3" w:rsidP="009309E3">
            <w:pPr>
              <w:spacing w:line="240" w:lineRule="auto"/>
              <w:jc w:val="right"/>
            </w:pPr>
            <w:r>
              <w:t>26.85</w:t>
            </w:r>
          </w:p>
        </w:tc>
        <w:tc>
          <w:tcPr>
            <w:tcW w:w="359" w:type="dxa"/>
            <w:tcBorders>
              <w:top w:val="nil"/>
              <w:left w:val="nil"/>
              <w:bottom w:val="nil"/>
              <w:right w:val="nil"/>
            </w:tcBorders>
            <w:vAlign w:val="center"/>
          </w:tcPr>
          <w:p w14:paraId="559DA0B0" w14:textId="77777777" w:rsidR="009309E3" w:rsidRDefault="009309E3" w:rsidP="009309E3">
            <w:pPr>
              <w:spacing w:line="240" w:lineRule="auto"/>
              <w:jc w:val="center"/>
            </w:pPr>
            <w:r>
              <w:t>±</w:t>
            </w:r>
          </w:p>
        </w:tc>
        <w:tc>
          <w:tcPr>
            <w:tcW w:w="848" w:type="dxa"/>
            <w:tcBorders>
              <w:top w:val="nil"/>
              <w:left w:val="nil"/>
              <w:bottom w:val="nil"/>
              <w:right w:val="single" w:sz="4" w:space="0" w:color="auto"/>
            </w:tcBorders>
            <w:vAlign w:val="center"/>
          </w:tcPr>
          <w:p w14:paraId="1B2A75CE" w14:textId="77777777" w:rsidR="009309E3" w:rsidRDefault="009309E3" w:rsidP="009309E3">
            <w:pPr>
              <w:spacing w:line="240" w:lineRule="auto"/>
              <w:jc w:val="left"/>
            </w:pPr>
            <w:r>
              <w:t>0.43</w:t>
            </w:r>
          </w:p>
        </w:tc>
        <w:tc>
          <w:tcPr>
            <w:tcW w:w="1203" w:type="dxa"/>
            <w:tcBorders>
              <w:top w:val="nil"/>
              <w:left w:val="single" w:sz="4" w:space="0" w:color="auto"/>
              <w:bottom w:val="nil"/>
              <w:right w:val="single" w:sz="4" w:space="0" w:color="auto"/>
            </w:tcBorders>
            <w:vAlign w:val="center"/>
          </w:tcPr>
          <w:p w14:paraId="46F6163C" w14:textId="77777777" w:rsidR="009309E3" w:rsidRPr="00E12D71" w:rsidRDefault="009309E3" w:rsidP="009309E3">
            <w:pPr>
              <w:spacing w:line="240" w:lineRule="auto"/>
              <w:jc w:val="center"/>
              <w:rPr>
                <w:i/>
              </w:rPr>
            </w:pPr>
            <w:r>
              <w:rPr>
                <w:i/>
              </w:rPr>
              <w:t>1.3%</w:t>
            </w:r>
          </w:p>
        </w:tc>
        <w:tc>
          <w:tcPr>
            <w:tcW w:w="350" w:type="dxa"/>
            <w:tcBorders>
              <w:top w:val="nil"/>
              <w:left w:val="single" w:sz="4" w:space="0" w:color="auto"/>
              <w:bottom w:val="nil"/>
              <w:right w:val="single" w:sz="4" w:space="0" w:color="auto"/>
            </w:tcBorders>
            <w:vAlign w:val="center"/>
          </w:tcPr>
          <w:p w14:paraId="69BFD0B0" w14:textId="77777777" w:rsidR="009309E3" w:rsidRDefault="009309E3" w:rsidP="009309E3">
            <w:pPr>
              <w:spacing w:line="240" w:lineRule="auto"/>
              <w:jc w:val="center"/>
            </w:pPr>
          </w:p>
        </w:tc>
        <w:tc>
          <w:tcPr>
            <w:tcW w:w="856" w:type="dxa"/>
            <w:tcBorders>
              <w:top w:val="nil"/>
              <w:left w:val="single" w:sz="4" w:space="0" w:color="auto"/>
              <w:bottom w:val="nil"/>
              <w:right w:val="nil"/>
            </w:tcBorders>
            <w:vAlign w:val="center"/>
          </w:tcPr>
          <w:p w14:paraId="7EB5E86B" w14:textId="77777777" w:rsidR="009309E3" w:rsidRDefault="009309E3" w:rsidP="009309E3">
            <w:pPr>
              <w:spacing w:line="240" w:lineRule="auto"/>
              <w:jc w:val="right"/>
            </w:pPr>
            <w:r>
              <w:t>26.50</w:t>
            </w:r>
          </w:p>
        </w:tc>
        <w:tc>
          <w:tcPr>
            <w:tcW w:w="359" w:type="dxa"/>
            <w:tcBorders>
              <w:top w:val="nil"/>
              <w:left w:val="nil"/>
              <w:bottom w:val="nil"/>
              <w:right w:val="nil"/>
            </w:tcBorders>
            <w:vAlign w:val="center"/>
          </w:tcPr>
          <w:p w14:paraId="23A25413" w14:textId="77777777" w:rsidR="009309E3" w:rsidRDefault="009309E3" w:rsidP="009309E3">
            <w:pPr>
              <w:spacing w:line="240" w:lineRule="auto"/>
              <w:jc w:val="center"/>
            </w:pPr>
            <w:r>
              <w:t>±</w:t>
            </w:r>
          </w:p>
        </w:tc>
        <w:tc>
          <w:tcPr>
            <w:tcW w:w="848" w:type="dxa"/>
            <w:tcBorders>
              <w:top w:val="nil"/>
              <w:left w:val="nil"/>
              <w:bottom w:val="nil"/>
              <w:right w:val="single" w:sz="4" w:space="0" w:color="auto"/>
            </w:tcBorders>
            <w:vAlign w:val="center"/>
          </w:tcPr>
          <w:p w14:paraId="2580127A" w14:textId="77777777" w:rsidR="009309E3" w:rsidRDefault="009309E3" w:rsidP="009309E3">
            <w:pPr>
              <w:spacing w:line="240" w:lineRule="auto"/>
              <w:jc w:val="left"/>
            </w:pPr>
            <w:r>
              <w:t>1.05</w:t>
            </w:r>
          </w:p>
        </w:tc>
        <w:tc>
          <w:tcPr>
            <w:tcW w:w="1203" w:type="dxa"/>
            <w:tcBorders>
              <w:top w:val="nil"/>
              <w:left w:val="single" w:sz="4" w:space="0" w:color="auto"/>
              <w:bottom w:val="nil"/>
              <w:right w:val="single" w:sz="4" w:space="0" w:color="auto"/>
            </w:tcBorders>
            <w:vAlign w:val="center"/>
          </w:tcPr>
          <w:p w14:paraId="3D51A74A" w14:textId="77777777" w:rsidR="009309E3" w:rsidRPr="00E12D71" w:rsidRDefault="009309E3" w:rsidP="009309E3">
            <w:pPr>
              <w:spacing w:line="240" w:lineRule="auto"/>
              <w:jc w:val="center"/>
              <w:rPr>
                <w:i/>
              </w:rPr>
            </w:pPr>
            <w:r>
              <w:rPr>
                <w:i/>
              </w:rPr>
              <w:t>4.3%</w:t>
            </w:r>
          </w:p>
        </w:tc>
      </w:tr>
      <w:tr w:rsidR="009309E3" w14:paraId="3910EDB1" w14:textId="77777777" w:rsidTr="009309E3">
        <w:trPr>
          <w:trHeight w:val="360"/>
        </w:trPr>
        <w:tc>
          <w:tcPr>
            <w:tcW w:w="572" w:type="dxa"/>
            <w:vMerge/>
            <w:tcBorders>
              <w:top w:val="nil"/>
              <w:left w:val="single" w:sz="4" w:space="0" w:color="auto"/>
              <w:bottom w:val="single" w:sz="4" w:space="0" w:color="auto"/>
              <w:right w:val="nil"/>
            </w:tcBorders>
            <w:textDirection w:val="btLr"/>
            <w:vAlign w:val="center"/>
          </w:tcPr>
          <w:p w14:paraId="06C51B2D" w14:textId="77777777" w:rsidR="009309E3" w:rsidRDefault="009309E3" w:rsidP="009309E3">
            <w:pPr>
              <w:spacing w:line="240" w:lineRule="auto"/>
              <w:ind w:left="113" w:right="113"/>
              <w:jc w:val="center"/>
            </w:pPr>
          </w:p>
        </w:tc>
        <w:tc>
          <w:tcPr>
            <w:tcW w:w="1258" w:type="dxa"/>
            <w:tcBorders>
              <w:top w:val="nil"/>
              <w:left w:val="nil"/>
              <w:bottom w:val="single" w:sz="4" w:space="0" w:color="auto"/>
              <w:right w:val="single" w:sz="4" w:space="0" w:color="auto"/>
            </w:tcBorders>
            <w:vAlign w:val="center"/>
          </w:tcPr>
          <w:p w14:paraId="52B04339" w14:textId="77777777" w:rsidR="009309E3" w:rsidRDefault="009309E3" w:rsidP="009309E3">
            <w:pPr>
              <w:spacing w:line="240" w:lineRule="auto"/>
              <w:jc w:val="center"/>
            </w:pPr>
            <w:r>
              <w:t>482.6</w:t>
            </w:r>
          </w:p>
        </w:tc>
        <w:tc>
          <w:tcPr>
            <w:tcW w:w="856" w:type="dxa"/>
            <w:tcBorders>
              <w:top w:val="nil"/>
              <w:left w:val="single" w:sz="4" w:space="0" w:color="auto"/>
              <w:bottom w:val="single" w:sz="4" w:space="0" w:color="auto"/>
              <w:right w:val="nil"/>
            </w:tcBorders>
            <w:vAlign w:val="center"/>
          </w:tcPr>
          <w:p w14:paraId="4F0FB7B0" w14:textId="77777777" w:rsidR="009309E3" w:rsidRDefault="009309E3" w:rsidP="009309E3">
            <w:pPr>
              <w:spacing w:line="240" w:lineRule="auto"/>
              <w:jc w:val="right"/>
            </w:pPr>
            <w:r>
              <w:t>27.77</w:t>
            </w:r>
          </w:p>
        </w:tc>
        <w:tc>
          <w:tcPr>
            <w:tcW w:w="359" w:type="dxa"/>
            <w:tcBorders>
              <w:top w:val="nil"/>
              <w:left w:val="nil"/>
              <w:bottom w:val="single" w:sz="4" w:space="0" w:color="auto"/>
              <w:right w:val="nil"/>
            </w:tcBorders>
            <w:vAlign w:val="center"/>
          </w:tcPr>
          <w:p w14:paraId="2906B228" w14:textId="77777777" w:rsidR="009309E3" w:rsidRDefault="009309E3" w:rsidP="009309E3">
            <w:pPr>
              <w:spacing w:line="240" w:lineRule="auto"/>
              <w:jc w:val="center"/>
            </w:pPr>
            <w:r>
              <w:t>±</w:t>
            </w:r>
          </w:p>
        </w:tc>
        <w:tc>
          <w:tcPr>
            <w:tcW w:w="848" w:type="dxa"/>
            <w:tcBorders>
              <w:top w:val="nil"/>
              <w:left w:val="nil"/>
              <w:bottom w:val="single" w:sz="4" w:space="0" w:color="auto"/>
              <w:right w:val="single" w:sz="4" w:space="0" w:color="auto"/>
            </w:tcBorders>
            <w:vAlign w:val="center"/>
          </w:tcPr>
          <w:p w14:paraId="00ED6C7F" w14:textId="77777777" w:rsidR="009309E3" w:rsidRDefault="009309E3" w:rsidP="009309E3">
            <w:pPr>
              <w:spacing w:line="240" w:lineRule="auto"/>
              <w:jc w:val="left"/>
            </w:pPr>
            <w:r>
              <w:t>0.43</w:t>
            </w:r>
          </w:p>
        </w:tc>
        <w:tc>
          <w:tcPr>
            <w:tcW w:w="1203" w:type="dxa"/>
            <w:tcBorders>
              <w:top w:val="nil"/>
              <w:left w:val="single" w:sz="4" w:space="0" w:color="auto"/>
              <w:bottom w:val="single" w:sz="4" w:space="0" w:color="auto"/>
              <w:right w:val="single" w:sz="4" w:space="0" w:color="auto"/>
            </w:tcBorders>
            <w:vAlign w:val="center"/>
          </w:tcPr>
          <w:p w14:paraId="2F67EDF3" w14:textId="77777777" w:rsidR="009309E3" w:rsidRPr="00E12D71" w:rsidRDefault="009309E3" w:rsidP="009309E3">
            <w:pPr>
              <w:spacing w:line="240" w:lineRule="auto"/>
              <w:jc w:val="center"/>
              <w:rPr>
                <w:i/>
              </w:rPr>
            </w:pPr>
            <w:r>
              <w:rPr>
                <w:i/>
              </w:rPr>
              <w:t>2.9%</w:t>
            </w:r>
          </w:p>
        </w:tc>
        <w:tc>
          <w:tcPr>
            <w:tcW w:w="350" w:type="dxa"/>
            <w:tcBorders>
              <w:top w:val="nil"/>
              <w:left w:val="single" w:sz="4" w:space="0" w:color="auto"/>
              <w:bottom w:val="nil"/>
              <w:right w:val="single" w:sz="4" w:space="0" w:color="auto"/>
            </w:tcBorders>
            <w:vAlign w:val="center"/>
          </w:tcPr>
          <w:p w14:paraId="41204464" w14:textId="77777777" w:rsidR="009309E3" w:rsidRDefault="009309E3" w:rsidP="009309E3">
            <w:pPr>
              <w:spacing w:line="240" w:lineRule="auto"/>
              <w:jc w:val="center"/>
            </w:pPr>
          </w:p>
        </w:tc>
        <w:tc>
          <w:tcPr>
            <w:tcW w:w="856" w:type="dxa"/>
            <w:tcBorders>
              <w:top w:val="nil"/>
              <w:left w:val="single" w:sz="4" w:space="0" w:color="auto"/>
              <w:bottom w:val="single" w:sz="4" w:space="0" w:color="auto"/>
              <w:right w:val="nil"/>
            </w:tcBorders>
            <w:vAlign w:val="center"/>
          </w:tcPr>
          <w:p w14:paraId="0DEC8FC1" w14:textId="77777777" w:rsidR="009309E3" w:rsidRDefault="009309E3" w:rsidP="009309E3">
            <w:pPr>
              <w:spacing w:line="240" w:lineRule="auto"/>
              <w:jc w:val="right"/>
            </w:pPr>
            <w:r>
              <w:t>28.17</w:t>
            </w:r>
          </w:p>
        </w:tc>
        <w:tc>
          <w:tcPr>
            <w:tcW w:w="359" w:type="dxa"/>
            <w:tcBorders>
              <w:top w:val="nil"/>
              <w:left w:val="nil"/>
              <w:bottom w:val="single" w:sz="4" w:space="0" w:color="auto"/>
              <w:right w:val="nil"/>
            </w:tcBorders>
            <w:vAlign w:val="center"/>
          </w:tcPr>
          <w:p w14:paraId="47538B9F" w14:textId="77777777" w:rsidR="009309E3" w:rsidRDefault="009309E3" w:rsidP="009309E3">
            <w:pPr>
              <w:spacing w:line="240" w:lineRule="auto"/>
              <w:jc w:val="center"/>
            </w:pPr>
            <w:r>
              <w:t>±</w:t>
            </w:r>
          </w:p>
        </w:tc>
        <w:tc>
          <w:tcPr>
            <w:tcW w:w="848" w:type="dxa"/>
            <w:tcBorders>
              <w:top w:val="nil"/>
              <w:left w:val="nil"/>
              <w:bottom w:val="single" w:sz="4" w:space="0" w:color="auto"/>
              <w:right w:val="single" w:sz="4" w:space="0" w:color="auto"/>
            </w:tcBorders>
            <w:vAlign w:val="center"/>
          </w:tcPr>
          <w:p w14:paraId="6B20288D" w14:textId="77777777" w:rsidR="009309E3" w:rsidRDefault="009309E3" w:rsidP="009309E3">
            <w:pPr>
              <w:spacing w:line="240" w:lineRule="auto"/>
              <w:jc w:val="left"/>
            </w:pPr>
            <w:r>
              <w:t>0.48</w:t>
            </w:r>
          </w:p>
        </w:tc>
        <w:tc>
          <w:tcPr>
            <w:tcW w:w="1203" w:type="dxa"/>
            <w:tcBorders>
              <w:top w:val="nil"/>
              <w:left w:val="single" w:sz="4" w:space="0" w:color="auto"/>
              <w:bottom w:val="single" w:sz="4" w:space="0" w:color="auto"/>
              <w:right w:val="single" w:sz="4" w:space="0" w:color="auto"/>
            </w:tcBorders>
            <w:vAlign w:val="center"/>
          </w:tcPr>
          <w:p w14:paraId="4BC0A89A" w14:textId="77777777" w:rsidR="009309E3" w:rsidRPr="00E12D71" w:rsidRDefault="009309E3" w:rsidP="009309E3">
            <w:pPr>
              <w:spacing w:line="240" w:lineRule="auto"/>
              <w:jc w:val="center"/>
              <w:rPr>
                <w:i/>
              </w:rPr>
            </w:pPr>
            <w:r>
              <w:rPr>
                <w:i/>
              </w:rPr>
              <w:t>3.8%</w:t>
            </w:r>
          </w:p>
        </w:tc>
      </w:tr>
      <w:tr w:rsidR="009309E3" w14:paraId="03132429" w14:textId="77777777" w:rsidTr="009309E3">
        <w:trPr>
          <w:trHeight w:val="360"/>
        </w:trPr>
        <w:tc>
          <w:tcPr>
            <w:tcW w:w="572" w:type="dxa"/>
            <w:vMerge w:val="restart"/>
            <w:tcBorders>
              <w:top w:val="single" w:sz="4" w:space="0" w:color="auto"/>
              <w:left w:val="single" w:sz="4" w:space="0" w:color="auto"/>
              <w:bottom w:val="nil"/>
              <w:right w:val="nil"/>
            </w:tcBorders>
            <w:textDirection w:val="btLr"/>
            <w:vAlign w:val="center"/>
          </w:tcPr>
          <w:p w14:paraId="597B7FA8" w14:textId="77777777" w:rsidR="009309E3" w:rsidRDefault="009309E3" w:rsidP="009309E3">
            <w:pPr>
              <w:spacing w:line="240" w:lineRule="auto"/>
              <w:ind w:left="113" w:right="113"/>
              <w:jc w:val="center"/>
            </w:pPr>
            <w:r>
              <w:t>70% RH</w:t>
            </w:r>
          </w:p>
        </w:tc>
        <w:tc>
          <w:tcPr>
            <w:tcW w:w="1258" w:type="dxa"/>
            <w:tcBorders>
              <w:top w:val="single" w:sz="4" w:space="0" w:color="auto"/>
              <w:left w:val="nil"/>
              <w:bottom w:val="nil"/>
              <w:right w:val="single" w:sz="4" w:space="0" w:color="auto"/>
            </w:tcBorders>
            <w:vAlign w:val="center"/>
          </w:tcPr>
          <w:p w14:paraId="71DD407F" w14:textId="77777777" w:rsidR="009309E3" w:rsidRDefault="009309E3" w:rsidP="009309E3">
            <w:pPr>
              <w:spacing w:line="240" w:lineRule="auto"/>
              <w:jc w:val="center"/>
            </w:pPr>
            <w:r>
              <w:t>68.9</w:t>
            </w:r>
          </w:p>
        </w:tc>
        <w:tc>
          <w:tcPr>
            <w:tcW w:w="856" w:type="dxa"/>
            <w:tcBorders>
              <w:top w:val="single" w:sz="4" w:space="0" w:color="auto"/>
              <w:left w:val="single" w:sz="4" w:space="0" w:color="auto"/>
              <w:bottom w:val="nil"/>
              <w:right w:val="nil"/>
            </w:tcBorders>
            <w:vAlign w:val="center"/>
          </w:tcPr>
          <w:p w14:paraId="50003AA0" w14:textId="77777777" w:rsidR="009309E3" w:rsidRDefault="009309E3" w:rsidP="009309E3">
            <w:pPr>
              <w:spacing w:line="240" w:lineRule="auto"/>
              <w:jc w:val="right"/>
            </w:pPr>
            <w:r>
              <w:t>21.56</w:t>
            </w:r>
          </w:p>
        </w:tc>
        <w:tc>
          <w:tcPr>
            <w:tcW w:w="359" w:type="dxa"/>
            <w:tcBorders>
              <w:top w:val="single" w:sz="4" w:space="0" w:color="auto"/>
              <w:left w:val="nil"/>
              <w:bottom w:val="nil"/>
              <w:right w:val="nil"/>
            </w:tcBorders>
            <w:vAlign w:val="center"/>
          </w:tcPr>
          <w:p w14:paraId="33D5FAF2" w14:textId="77777777" w:rsidR="009309E3" w:rsidRDefault="009309E3" w:rsidP="009309E3">
            <w:pPr>
              <w:spacing w:line="240" w:lineRule="auto"/>
              <w:jc w:val="center"/>
            </w:pPr>
            <w:r>
              <w:t>±</w:t>
            </w:r>
          </w:p>
        </w:tc>
        <w:tc>
          <w:tcPr>
            <w:tcW w:w="848" w:type="dxa"/>
            <w:tcBorders>
              <w:top w:val="single" w:sz="4" w:space="0" w:color="auto"/>
              <w:left w:val="nil"/>
              <w:bottom w:val="nil"/>
              <w:right w:val="single" w:sz="4" w:space="0" w:color="auto"/>
            </w:tcBorders>
            <w:vAlign w:val="center"/>
          </w:tcPr>
          <w:p w14:paraId="3308E231" w14:textId="77777777" w:rsidR="009309E3" w:rsidRDefault="009309E3" w:rsidP="009309E3">
            <w:pPr>
              <w:spacing w:line="240" w:lineRule="auto"/>
              <w:jc w:val="left"/>
            </w:pPr>
            <w:r>
              <w:t>0.79</w:t>
            </w:r>
          </w:p>
        </w:tc>
        <w:tc>
          <w:tcPr>
            <w:tcW w:w="1203" w:type="dxa"/>
            <w:tcBorders>
              <w:top w:val="single" w:sz="4" w:space="0" w:color="auto"/>
              <w:left w:val="single" w:sz="4" w:space="0" w:color="auto"/>
              <w:bottom w:val="nil"/>
              <w:right w:val="single" w:sz="4" w:space="0" w:color="auto"/>
            </w:tcBorders>
            <w:vAlign w:val="center"/>
          </w:tcPr>
          <w:p w14:paraId="76DA4831" w14:textId="77777777" w:rsidR="009309E3" w:rsidRPr="00E12D71" w:rsidRDefault="009309E3" w:rsidP="009309E3">
            <w:pPr>
              <w:spacing w:line="240" w:lineRule="auto"/>
              <w:jc w:val="center"/>
              <w:rPr>
                <w:i/>
              </w:rPr>
            </w:pPr>
            <w:r>
              <w:rPr>
                <w:i/>
              </w:rPr>
              <w:t>2.1%</w:t>
            </w:r>
          </w:p>
        </w:tc>
        <w:tc>
          <w:tcPr>
            <w:tcW w:w="350" w:type="dxa"/>
            <w:tcBorders>
              <w:top w:val="nil"/>
              <w:left w:val="single" w:sz="4" w:space="0" w:color="auto"/>
              <w:bottom w:val="nil"/>
              <w:right w:val="single" w:sz="4" w:space="0" w:color="auto"/>
            </w:tcBorders>
            <w:vAlign w:val="center"/>
          </w:tcPr>
          <w:p w14:paraId="2F106A33" w14:textId="77777777" w:rsidR="009309E3" w:rsidRDefault="009309E3" w:rsidP="009309E3">
            <w:pPr>
              <w:spacing w:line="240" w:lineRule="auto"/>
              <w:jc w:val="center"/>
            </w:pPr>
          </w:p>
        </w:tc>
        <w:tc>
          <w:tcPr>
            <w:tcW w:w="856" w:type="dxa"/>
            <w:tcBorders>
              <w:top w:val="single" w:sz="4" w:space="0" w:color="auto"/>
              <w:left w:val="single" w:sz="4" w:space="0" w:color="auto"/>
              <w:bottom w:val="nil"/>
              <w:right w:val="nil"/>
            </w:tcBorders>
            <w:vAlign w:val="center"/>
          </w:tcPr>
          <w:p w14:paraId="23C6FDAC" w14:textId="77777777" w:rsidR="009309E3" w:rsidRDefault="009309E3" w:rsidP="009309E3">
            <w:pPr>
              <w:spacing w:line="240" w:lineRule="auto"/>
              <w:jc w:val="right"/>
            </w:pPr>
            <w:r>
              <w:t>21.39</w:t>
            </w:r>
          </w:p>
        </w:tc>
        <w:tc>
          <w:tcPr>
            <w:tcW w:w="359" w:type="dxa"/>
            <w:tcBorders>
              <w:top w:val="single" w:sz="4" w:space="0" w:color="auto"/>
              <w:left w:val="nil"/>
              <w:bottom w:val="nil"/>
              <w:right w:val="nil"/>
            </w:tcBorders>
            <w:vAlign w:val="center"/>
          </w:tcPr>
          <w:p w14:paraId="23FE6C7A" w14:textId="77777777" w:rsidR="009309E3" w:rsidRDefault="009309E3" w:rsidP="009309E3">
            <w:pPr>
              <w:spacing w:line="240" w:lineRule="auto"/>
              <w:jc w:val="center"/>
            </w:pPr>
            <w:r>
              <w:t>±</w:t>
            </w:r>
          </w:p>
        </w:tc>
        <w:tc>
          <w:tcPr>
            <w:tcW w:w="848" w:type="dxa"/>
            <w:tcBorders>
              <w:top w:val="single" w:sz="4" w:space="0" w:color="auto"/>
              <w:left w:val="nil"/>
              <w:bottom w:val="nil"/>
              <w:right w:val="single" w:sz="4" w:space="0" w:color="auto"/>
            </w:tcBorders>
            <w:vAlign w:val="center"/>
          </w:tcPr>
          <w:p w14:paraId="7294589D" w14:textId="77777777" w:rsidR="009309E3" w:rsidRDefault="009309E3" w:rsidP="009309E3">
            <w:pPr>
              <w:spacing w:line="240" w:lineRule="auto"/>
              <w:jc w:val="left"/>
            </w:pPr>
            <w:r>
              <w:t>0.59</w:t>
            </w:r>
          </w:p>
        </w:tc>
        <w:tc>
          <w:tcPr>
            <w:tcW w:w="1203" w:type="dxa"/>
            <w:tcBorders>
              <w:top w:val="single" w:sz="4" w:space="0" w:color="auto"/>
              <w:left w:val="single" w:sz="4" w:space="0" w:color="auto"/>
              <w:bottom w:val="nil"/>
              <w:right w:val="single" w:sz="4" w:space="0" w:color="auto"/>
            </w:tcBorders>
            <w:vAlign w:val="center"/>
          </w:tcPr>
          <w:p w14:paraId="40186623" w14:textId="77777777" w:rsidR="009309E3" w:rsidRPr="00E12D71" w:rsidRDefault="009309E3" w:rsidP="009309E3">
            <w:pPr>
              <w:spacing w:line="240" w:lineRule="auto"/>
              <w:jc w:val="center"/>
              <w:rPr>
                <w:i/>
              </w:rPr>
            </w:pPr>
            <w:r>
              <w:rPr>
                <w:i/>
              </w:rPr>
              <w:t>1.1%</w:t>
            </w:r>
          </w:p>
        </w:tc>
      </w:tr>
      <w:tr w:rsidR="009309E3" w14:paraId="7270AF0F" w14:textId="77777777" w:rsidTr="009309E3">
        <w:trPr>
          <w:trHeight w:val="360"/>
        </w:trPr>
        <w:tc>
          <w:tcPr>
            <w:tcW w:w="572" w:type="dxa"/>
            <w:vMerge/>
            <w:tcBorders>
              <w:top w:val="nil"/>
              <w:left w:val="single" w:sz="4" w:space="0" w:color="auto"/>
              <w:bottom w:val="nil"/>
              <w:right w:val="nil"/>
            </w:tcBorders>
            <w:textDirection w:val="btLr"/>
            <w:vAlign w:val="center"/>
          </w:tcPr>
          <w:p w14:paraId="105EEB66" w14:textId="77777777" w:rsidR="009309E3" w:rsidRDefault="009309E3" w:rsidP="009309E3">
            <w:pPr>
              <w:spacing w:line="240" w:lineRule="auto"/>
              <w:ind w:left="113" w:right="113"/>
              <w:jc w:val="center"/>
            </w:pPr>
          </w:p>
        </w:tc>
        <w:tc>
          <w:tcPr>
            <w:tcW w:w="1258" w:type="dxa"/>
            <w:tcBorders>
              <w:top w:val="nil"/>
              <w:left w:val="nil"/>
              <w:bottom w:val="nil"/>
              <w:right w:val="single" w:sz="4" w:space="0" w:color="auto"/>
            </w:tcBorders>
            <w:vAlign w:val="center"/>
          </w:tcPr>
          <w:p w14:paraId="24796BDF" w14:textId="77777777" w:rsidR="009309E3" w:rsidRDefault="009309E3" w:rsidP="009309E3">
            <w:pPr>
              <w:spacing w:line="240" w:lineRule="auto"/>
              <w:jc w:val="center"/>
            </w:pPr>
            <w:r>
              <w:t>206.8</w:t>
            </w:r>
          </w:p>
        </w:tc>
        <w:tc>
          <w:tcPr>
            <w:tcW w:w="856" w:type="dxa"/>
            <w:tcBorders>
              <w:top w:val="nil"/>
              <w:left w:val="single" w:sz="4" w:space="0" w:color="auto"/>
              <w:bottom w:val="nil"/>
              <w:right w:val="nil"/>
            </w:tcBorders>
            <w:vAlign w:val="center"/>
          </w:tcPr>
          <w:p w14:paraId="612BFCE3" w14:textId="77777777" w:rsidR="009309E3" w:rsidRDefault="009309E3" w:rsidP="009309E3">
            <w:pPr>
              <w:spacing w:line="240" w:lineRule="auto"/>
              <w:jc w:val="right"/>
            </w:pPr>
            <w:r>
              <w:t>25.31</w:t>
            </w:r>
          </w:p>
        </w:tc>
        <w:tc>
          <w:tcPr>
            <w:tcW w:w="359" w:type="dxa"/>
            <w:tcBorders>
              <w:top w:val="nil"/>
              <w:left w:val="nil"/>
              <w:bottom w:val="nil"/>
              <w:right w:val="nil"/>
            </w:tcBorders>
            <w:vAlign w:val="center"/>
          </w:tcPr>
          <w:p w14:paraId="6F91771D" w14:textId="77777777" w:rsidR="009309E3" w:rsidRDefault="009309E3" w:rsidP="009309E3">
            <w:pPr>
              <w:spacing w:line="240" w:lineRule="auto"/>
              <w:jc w:val="center"/>
            </w:pPr>
            <w:r>
              <w:t>±</w:t>
            </w:r>
          </w:p>
        </w:tc>
        <w:tc>
          <w:tcPr>
            <w:tcW w:w="848" w:type="dxa"/>
            <w:tcBorders>
              <w:top w:val="nil"/>
              <w:left w:val="nil"/>
              <w:bottom w:val="nil"/>
              <w:right w:val="single" w:sz="4" w:space="0" w:color="auto"/>
            </w:tcBorders>
            <w:vAlign w:val="center"/>
          </w:tcPr>
          <w:p w14:paraId="3A938DE5" w14:textId="77777777" w:rsidR="009309E3" w:rsidRDefault="009309E3" w:rsidP="009309E3">
            <w:pPr>
              <w:spacing w:line="240" w:lineRule="auto"/>
              <w:jc w:val="left"/>
            </w:pPr>
            <w:r>
              <w:t>0.73</w:t>
            </w:r>
          </w:p>
        </w:tc>
        <w:tc>
          <w:tcPr>
            <w:tcW w:w="1203" w:type="dxa"/>
            <w:tcBorders>
              <w:top w:val="nil"/>
              <w:left w:val="single" w:sz="4" w:space="0" w:color="auto"/>
              <w:bottom w:val="nil"/>
              <w:right w:val="single" w:sz="4" w:space="0" w:color="auto"/>
            </w:tcBorders>
            <w:vAlign w:val="center"/>
          </w:tcPr>
          <w:p w14:paraId="49B7557E" w14:textId="77777777" w:rsidR="009309E3" w:rsidRPr="00E12D71" w:rsidRDefault="009309E3" w:rsidP="009309E3">
            <w:pPr>
              <w:spacing w:line="240" w:lineRule="auto"/>
              <w:jc w:val="center"/>
              <w:rPr>
                <w:i/>
              </w:rPr>
            </w:pPr>
            <w:r>
              <w:rPr>
                <w:i/>
              </w:rPr>
              <w:t>0.5%</w:t>
            </w:r>
          </w:p>
        </w:tc>
        <w:tc>
          <w:tcPr>
            <w:tcW w:w="350" w:type="dxa"/>
            <w:tcBorders>
              <w:top w:val="nil"/>
              <w:left w:val="single" w:sz="4" w:space="0" w:color="auto"/>
              <w:bottom w:val="nil"/>
              <w:right w:val="single" w:sz="4" w:space="0" w:color="auto"/>
            </w:tcBorders>
            <w:vAlign w:val="center"/>
          </w:tcPr>
          <w:p w14:paraId="1957B1AC" w14:textId="77777777" w:rsidR="009309E3" w:rsidRDefault="009309E3" w:rsidP="009309E3">
            <w:pPr>
              <w:spacing w:line="240" w:lineRule="auto"/>
              <w:jc w:val="center"/>
            </w:pPr>
          </w:p>
        </w:tc>
        <w:tc>
          <w:tcPr>
            <w:tcW w:w="856" w:type="dxa"/>
            <w:tcBorders>
              <w:top w:val="nil"/>
              <w:left w:val="single" w:sz="4" w:space="0" w:color="auto"/>
              <w:bottom w:val="nil"/>
              <w:right w:val="nil"/>
            </w:tcBorders>
            <w:vAlign w:val="center"/>
          </w:tcPr>
          <w:p w14:paraId="5447C05E" w14:textId="77777777" w:rsidR="009309E3" w:rsidRDefault="009309E3" w:rsidP="009309E3">
            <w:pPr>
              <w:spacing w:line="240" w:lineRule="auto"/>
              <w:jc w:val="right"/>
            </w:pPr>
            <w:r>
              <w:t>24.62</w:t>
            </w:r>
          </w:p>
        </w:tc>
        <w:tc>
          <w:tcPr>
            <w:tcW w:w="359" w:type="dxa"/>
            <w:tcBorders>
              <w:top w:val="nil"/>
              <w:left w:val="nil"/>
              <w:bottom w:val="nil"/>
              <w:right w:val="nil"/>
            </w:tcBorders>
            <w:vAlign w:val="center"/>
          </w:tcPr>
          <w:p w14:paraId="5FABA86B" w14:textId="77777777" w:rsidR="009309E3" w:rsidRDefault="009309E3" w:rsidP="009309E3">
            <w:pPr>
              <w:spacing w:line="240" w:lineRule="auto"/>
              <w:jc w:val="center"/>
            </w:pPr>
            <w:r>
              <w:t>±</w:t>
            </w:r>
          </w:p>
        </w:tc>
        <w:tc>
          <w:tcPr>
            <w:tcW w:w="848" w:type="dxa"/>
            <w:tcBorders>
              <w:top w:val="nil"/>
              <w:left w:val="nil"/>
              <w:bottom w:val="nil"/>
              <w:right w:val="single" w:sz="4" w:space="0" w:color="auto"/>
            </w:tcBorders>
            <w:vAlign w:val="center"/>
          </w:tcPr>
          <w:p w14:paraId="5768FBA5" w14:textId="77777777" w:rsidR="009309E3" w:rsidRDefault="009309E3" w:rsidP="009309E3">
            <w:pPr>
              <w:spacing w:line="240" w:lineRule="auto"/>
              <w:jc w:val="left"/>
            </w:pPr>
            <w:r>
              <w:t>0.77</w:t>
            </w:r>
          </w:p>
        </w:tc>
        <w:tc>
          <w:tcPr>
            <w:tcW w:w="1203" w:type="dxa"/>
            <w:tcBorders>
              <w:top w:val="nil"/>
              <w:left w:val="single" w:sz="4" w:space="0" w:color="auto"/>
              <w:bottom w:val="nil"/>
              <w:right w:val="single" w:sz="4" w:space="0" w:color="auto"/>
            </w:tcBorders>
            <w:vAlign w:val="center"/>
          </w:tcPr>
          <w:p w14:paraId="718ABC8F" w14:textId="77777777" w:rsidR="009309E3" w:rsidRPr="00E12D71" w:rsidRDefault="009309E3" w:rsidP="009309E3">
            <w:pPr>
              <w:spacing w:line="240" w:lineRule="auto"/>
              <w:jc w:val="center"/>
              <w:rPr>
                <w:i/>
              </w:rPr>
            </w:pPr>
            <w:r>
              <w:rPr>
                <w:i/>
              </w:rPr>
              <w:t>0.0%</w:t>
            </w:r>
          </w:p>
        </w:tc>
      </w:tr>
      <w:tr w:rsidR="009309E3" w14:paraId="7BBF012F" w14:textId="77777777" w:rsidTr="009309E3">
        <w:trPr>
          <w:trHeight w:val="360"/>
        </w:trPr>
        <w:tc>
          <w:tcPr>
            <w:tcW w:w="572" w:type="dxa"/>
            <w:vMerge/>
            <w:tcBorders>
              <w:top w:val="nil"/>
              <w:left w:val="single" w:sz="4" w:space="0" w:color="auto"/>
              <w:bottom w:val="nil"/>
              <w:right w:val="nil"/>
            </w:tcBorders>
            <w:textDirection w:val="btLr"/>
            <w:vAlign w:val="center"/>
          </w:tcPr>
          <w:p w14:paraId="67F8CF0E" w14:textId="77777777" w:rsidR="009309E3" w:rsidRDefault="009309E3" w:rsidP="009309E3">
            <w:pPr>
              <w:spacing w:line="240" w:lineRule="auto"/>
              <w:ind w:left="113" w:right="113"/>
              <w:jc w:val="center"/>
            </w:pPr>
          </w:p>
        </w:tc>
        <w:tc>
          <w:tcPr>
            <w:tcW w:w="1258" w:type="dxa"/>
            <w:tcBorders>
              <w:top w:val="nil"/>
              <w:left w:val="nil"/>
              <w:bottom w:val="nil"/>
              <w:right w:val="single" w:sz="4" w:space="0" w:color="auto"/>
            </w:tcBorders>
            <w:vAlign w:val="center"/>
          </w:tcPr>
          <w:p w14:paraId="4F2C289F" w14:textId="77777777" w:rsidR="009309E3" w:rsidRDefault="009309E3" w:rsidP="009309E3">
            <w:pPr>
              <w:spacing w:line="240" w:lineRule="auto"/>
              <w:jc w:val="center"/>
            </w:pPr>
            <w:r>
              <w:t>344.7</w:t>
            </w:r>
          </w:p>
        </w:tc>
        <w:tc>
          <w:tcPr>
            <w:tcW w:w="856" w:type="dxa"/>
            <w:tcBorders>
              <w:top w:val="nil"/>
              <w:left w:val="single" w:sz="4" w:space="0" w:color="auto"/>
              <w:bottom w:val="nil"/>
              <w:right w:val="nil"/>
            </w:tcBorders>
            <w:vAlign w:val="center"/>
          </w:tcPr>
          <w:p w14:paraId="6C1F421D" w14:textId="77777777" w:rsidR="009309E3" w:rsidRDefault="009309E3" w:rsidP="009309E3">
            <w:pPr>
              <w:spacing w:line="240" w:lineRule="auto"/>
              <w:jc w:val="right"/>
            </w:pPr>
            <w:r>
              <w:t>26.69</w:t>
            </w:r>
          </w:p>
        </w:tc>
        <w:tc>
          <w:tcPr>
            <w:tcW w:w="359" w:type="dxa"/>
            <w:tcBorders>
              <w:top w:val="nil"/>
              <w:left w:val="nil"/>
              <w:bottom w:val="nil"/>
              <w:right w:val="nil"/>
            </w:tcBorders>
            <w:vAlign w:val="center"/>
          </w:tcPr>
          <w:p w14:paraId="06383106" w14:textId="77777777" w:rsidR="009309E3" w:rsidRDefault="009309E3" w:rsidP="009309E3">
            <w:pPr>
              <w:spacing w:line="240" w:lineRule="auto"/>
              <w:jc w:val="center"/>
            </w:pPr>
            <w:r>
              <w:t>±</w:t>
            </w:r>
          </w:p>
        </w:tc>
        <w:tc>
          <w:tcPr>
            <w:tcW w:w="848" w:type="dxa"/>
            <w:tcBorders>
              <w:top w:val="nil"/>
              <w:left w:val="nil"/>
              <w:bottom w:val="nil"/>
              <w:right w:val="single" w:sz="4" w:space="0" w:color="auto"/>
            </w:tcBorders>
            <w:vAlign w:val="center"/>
          </w:tcPr>
          <w:p w14:paraId="34BD689B" w14:textId="77777777" w:rsidR="009309E3" w:rsidRDefault="009309E3" w:rsidP="009309E3">
            <w:pPr>
              <w:spacing w:line="240" w:lineRule="auto"/>
              <w:jc w:val="left"/>
            </w:pPr>
            <w:r>
              <w:t>0.51</w:t>
            </w:r>
          </w:p>
        </w:tc>
        <w:tc>
          <w:tcPr>
            <w:tcW w:w="1203" w:type="dxa"/>
            <w:tcBorders>
              <w:top w:val="nil"/>
              <w:left w:val="single" w:sz="4" w:space="0" w:color="auto"/>
              <w:bottom w:val="nil"/>
              <w:right w:val="single" w:sz="4" w:space="0" w:color="auto"/>
            </w:tcBorders>
            <w:vAlign w:val="center"/>
          </w:tcPr>
          <w:p w14:paraId="6162C957" w14:textId="77777777" w:rsidR="009309E3" w:rsidRPr="00E12D71" w:rsidRDefault="009309E3" w:rsidP="009309E3">
            <w:pPr>
              <w:spacing w:line="240" w:lineRule="auto"/>
              <w:jc w:val="center"/>
              <w:rPr>
                <w:i/>
              </w:rPr>
            </w:pPr>
            <w:r>
              <w:rPr>
                <w:i/>
              </w:rPr>
              <w:t>2.3%</w:t>
            </w:r>
          </w:p>
        </w:tc>
        <w:tc>
          <w:tcPr>
            <w:tcW w:w="350" w:type="dxa"/>
            <w:tcBorders>
              <w:top w:val="nil"/>
              <w:left w:val="single" w:sz="4" w:space="0" w:color="auto"/>
              <w:bottom w:val="nil"/>
              <w:right w:val="single" w:sz="4" w:space="0" w:color="auto"/>
            </w:tcBorders>
            <w:vAlign w:val="center"/>
          </w:tcPr>
          <w:p w14:paraId="25D2EFF0" w14:textId="77777777" w:rsidR="009309E3" w:rsidRDefault="009309E3" w:rsidP="009309E3">
            <w:pPr>
              <w:spacing w:line="240" w:lineRule="auto"/>
              <w:jc w:val="center"/>
            </w:pPr>
          </w:p>
        </w:tc>
        <w:tc>
          <w:tcPr>
            <w:tcW w:w="856" w:type="dxa"/>
            <w:tcBorders>
              <w:top w:val="nil"/>
              <w:left w:val="single" w:sz="4" w:space="0" w:color="auto"/>
              <w:bottom w:val="nil"/>
              <w:right w:val="nil"/>
            </w:tcBorders>
            <w:vAlign w:val="center"/>
          </w:tcPr>
          <w:p w14:paraId="284BA228" w14:textId="77777777" w:rsidR="009309E3" w:rsidRDefault="009309E3" w:rsidP="009309E3">
            <w:pPr>
              <w:spacing w:line="240" w:lineRule="auto"/>
              <w:jc w:val="right"/>
            </w:pPr>
            <w:r>
              <w:t>25.51</w:t>
            </w:r>
          </w:p>
        </w:tc>
        <w:tc>
          <w:tcPr>
            <w:tcW w:w="359" w:type="dxa"/>
            <w:tcBorders>
              <w:top w:val="nil"/>
              <w:left w:val="nil"/>
              <w:bottom w:val="nil"/>
              <w:right w:val="nil"/>
            </w:tcBorders>
            <w:vAlign w:val="center"/>
          </w:tcPr>
          <w:p w14:paraId="78989572" w14:textId="77777777" w:rsidR="009309E3" w:rsidRDefault="009309E3" w:rsidP="009309E3">
            <w:pPr>
              <w:spacing w:line="240" w:lineRule="auto"/>
              <w:jc w:val="center"/>
            </w:pPr>
            <w:r>
              <w:t>±</w:t>
            </w:r>
          </w:p>
        </w:tc>
        <w:tc>
          <w:tcPr>
            <w:tcW w:w="848" w:type="dxa"/>
            <w:tcBorders>
              <w:top w:val="nil"/>
              <w:left w:val="nil"/>
              <w:bottom w:val="nil"/>
              <w:right w:val="single" w:sz="4" w:space="0" w:color="auto"/>
            </w:tcBorders>
            <w:vAlign w:val="center"/>
          </w:tcPr>
          <w:p w14:paraId="10AA2A1B" w14:textId="77777777" w:rsidR="009309E3" w:rsidRDefault="009309E3" w:rsidP="009309E3">
            <w:pPr>
              <w:spacing w:line="240" w:lineRule="auto"/>
              <w:jc w:val="left"/>
            </w:pPr>
            <w:r>
              <w:t>0.45</w:t>
            </w:r>
          </w:p>
        </w:tc>
        <w:tc>
          <w:tcPr>
            <w:tcW w:w="1203" w:type="dxa"/>
            <w:tcBorders>
              <w:top w:val="nil"/>
              <w:left w:val="single" w:sz="4" w:space="0" w:color="auto"/>
              <w:bottom w:val="nil"/>
              <w:right w:val="single" w:sz="4" w:space="0" w:color="auto"/>
            </w:tcBorders>
            <w:vAlign w:val="center"/>
          </w:tcPr>
          <w:p w14:paraId="6B1E12AA" w14:textId="77777777" w:rsidR="009309E3" w:rsidRPr="00E12D71" w:rsidRDefault="009309E3" w:rsidP="009309E3">
            <w:pPr>
              <w:spacing w:line="240" w:lineRule="auto"/>
              <w:jc w:val="center"/>
              <w:rPr>
                <w:i/>
              </w:rPr>
            </w:pPr>
            <w:r>
              <w:rPr>
                <w:i/>
              </w:rPr>
              <w:t>4.4%</w:t>
            </w:r>
          </w:p>
        </w:tc>
      </w:tr>
      <w:tr w:rsidR="009309E3" w14:paraId="6593C5F2" w14:textId="77777777" w:rsidTr="009309E3">
        <w:trPr>
          <w:trHeight w:val="360"/>
        </w:trPr>
        <w:tc>
          <w:tcPr>
            <w:tcW w:w="572" w:type="dxa"/>
            <w:vMerge/>
            <w:tcBorders>
              <w:top w:val="nil"/>
              <w:left w:val="single" w:sz="4" w:space="0" w:color="auto"/>
              <w:bottom w:val="single" w:sz="4" w:space="0" w:color="auto"/>
              <w:right w:val="nil"/>
            </w:tcBorders>
            <w:textDirection w:val="btLr"/>
            <w:vAlign w:val="center"/>
          </w:tcPr>
          <w:p w14:paraId="699D6AF9" w14:textId="77777777" w:rsidR="009309E3" w:rsidRDefault="009309E3" w:rsidP="009309E3">
            <w:pPr>
              <w:spacing w:line="240" w:lineRule="auto"/>
              <w:ind w:left="113" w:right="113"/>
              <w:jc w:val="center"/>
            </w:pPr>
          </w:p>
        </w:tc>
        <w:tc>
          <w:tcPr>
            <w:tcW w:w="1258" w:type="dxa"/>
            <w:tcBorders>
              <w:top w:val="nil"/>
              <w:left w:val="nil"/>
              <w:bottom w:val="single" w:sz="4" w:space="0" w:color="auto"/>
              <w:right w:val="single" w:sz="4" w:space="0" w:color="auto"/>
            </w:tcBorders>
            <w:vAlign w:val="center"/>
          </w:tcPr>
          <w:p w14:paraId="571DB8E2" w14:textId="77777777" w:rsidR="009309E3" w:rsidRDefault="009309E3" w:rsidP="009309E3">
            <w:pPr>
              <w:spacing w:line="240" w:lineRule="auto"/>
              <w:jc w:val="center"/>
            </w:pPr>
            <w:r>
              <w:t>482.6</w:t>
            </w:r>
          </w:p>
        </w:tc>
        <w:tc>
          <w:tcPr>
            <w:tcW w:w="856" w:type="dxa"/>
            <w:tcBorders>
              <w:top w:val="nil"/>
              <w:left w:val="single" w:sz="4" w:space="0" w:color="auto"/>
              <w:bottom w:val="single" w:sz="4" w:space="0" w:color="auto"/>
              <w:right w:val="nil"/>
            </w:tcBorders>
            <w:vAlign w:val="center"/>
          </w:tcPr>
          <w:p w14:paraId="2A4A9B8E" w14:textId="77777777" w:rsidR="009309E3" w:rsidRDefault="009309E3" w:rsidP="009309E3">
            <w:pPr>
              <w:spacing w:line="240" w:lineRule="auto"/>
              <w:jc w:val="right"/>
            </w:pPr>
            <w:r>
              <w:t>27.55</w:t>
            </w:r>
          </w:p>
        </w:tc>
        <w:tc>
          <w:tcPr>
            <w:tcW w:w="359" w:type="dxa"/>
            <w:tcBorders>
              <w:top w:val="nil"/>
              <w:left w:val="nil"/>
              <w:bottom w:val="single" w:sz="4" w:space="0" w:color="auto"/>
              <w:right w:val="nil"/>
            </w:tcBorders>
            <w:vAlign w:val="center"/>
          </w:tcPr>
          <w:p w14:paraId="0B3E6E2E" w14:textId="77777777" w:rsidR="009309E3" w:rsidRDefault="009309E3" w:rsidP="009309E3">
            <w:pPr>
              <w:spacing w:line="240" w:lineRule="auto"/>
              <w:jc w:val="center"/>
            </w:pPr>
            <w:r>
              <w:t>±</w:t>
            </w:r>
          </w:p>
        </w:tc>
        <w:tc>
          <w:tcPr>
            <w:tcW w:w="848" w:type="dxa"/>
            <w:tcBorders>
              <w:top w:val="nil"/>
              <w:left w:val="nil"/>
              <w:bottom w:val="single" w:sz="4" w:space="0" w:color="auto"/>
              <w:right w:val="single" w:sz="4" w:space="0" w:color="auto"/>
            </w:tcBorders>
            <w:vAlign w:val="center"/>
          </w:tcPr>
          <w:p w14:paraId="75159B25" w14:textId="77777777" w:rsidR="009309E3" w:rsidRDefault="009309E3" w:rsidP="009309E3">
            <w:pPr>
              <w:spacing w:line="240" w:lineRule="auto"/>
              <w:jc w:val="left"/>
            </w:pPr>
            <w:r>
              <w:t>0.41</w:t>
            </w:r>
          </w:p>
        </w:tc>
        <w:tc>
          <w:tcPr>
            <w:tcW w:w="1203" w:type="dxa"/>
            <w:tcBorders>
              <w:top w:val="nil"/>
              <w:left w:val="single" w:sz="4" w:space="0" w:color="auto"/>
              <w:bottom w:val="single" w:sz="4" w:space="0" w:color="auto"/>
              <w:right w:val="single" w:sz="4" w:space="0" w:color="auto"/>
            </w:tcBorders>
            <w:vAlign w:val="center"/>
          </w:tcPr>
          <w:p w14:paraId="58EDE2BC" w14:textId="77777777" w:rsidR="009309E3" w:rsidRPr="00E12D71" w:rsidRDefault="009309E3" w:rsidP="009309E3">
            <w:pPr>
              <w:spacing w:line="240" w:lineRule="auto"/>
              <w:jc w:val="center"/>
              <w:rPr>
                <w:i/>
              </w:rPr>
            </w:pPr>
            <w:r>
              <w:rPr>
                <w:i/>
              </w:rPr>
              <w:t>3.9%</w:t>
            </w:r>
          </w:p>
        </w:tc>
        <w:tc>
          <w:tcPr>
            <w:tcW w:w="350" w:type="dxa"/>
            <w:tcBorders>
              <w:top w:val="nil"/>
              <w:left w:val="single" w:sz="4" w:space="0" w:color="auto"/>
              <w:bottom w:val="nil"/>
              <w:right w:val="single" w:sz="4" w:space="0" w:color="auto"/>
            </w:tcBorders>
            <w:vAlign w:val="center"/>
          </w:tcPr>
          <w:p w14:paraId="39202FB9" w14:textId="77777777" w:rsidR="009309E3" w:rsidRDefault="009309E3" w:rsidP="009309E3">
            <w:pPr>
              <w:spacing w:line="240" w:lineRule="auto"/>
              <w:jc w:val="center"/>
            </w:pPr>
          </w:p>
        </w:tc>
        <w:tc>
          <w:tcPr>
            <w:tcW w:w="856" w:type="dxa"/>
            <w:tcBorders>
              <w:top w:val="nil"/>
              <w:left w:val="single" w:sz="4" w:space="0" w:color="auto"/>
              <w:bottom w:val="single" w:sz="4" w:space="0" w:color="auto"/>
              <w:right w:val="nil"/>
            </w:tcBorders>
            <w:vAlign w:val="center"/>
          </w:tcPr>
          <w:p w14:paraId="22D3957D" w14:textId="77777777" w:rsidR="009309E3" w:rsidRDefault="009309E3" w:rsidP="009309E3">
            <w:pPr>
              <w:spacing w:line="240" w:lineRule="auto"/>
              <w:jc w:val="right"/>
            </w:pPr>
            <w:r>
              <w:t>27.08</w:t>
            </w:r>
          </w:p>
        </w:tc>
        <w:tc>
          <w:tcPr>
            <w:tcW w:w="359" w:type="dxa"/>
            <w:tcBorders>
              <w:top w:val="nil"/>
              <w:left w:val="nil"/>
              <w:bottom w:val="single" w:sz="4" w:space="0" w:color="auto"/>
              <w:right w:val="nil"/>
            </w:tcBorders>
            <w:vAlign w:val="center"/>
          </w:tcPr>
          <w:p w14:paraId="2A1AA89D" w14:textId="77777777" w:rsidR="009309E3" w:rsidRDefault="009309E3" w:rsidP="009309E3">
            <w:pPr>
              <w:spacing w:line="240" w:lineRule="auto"/>
              <w:jc w:val="center"/>
            </w:pPr>
            <w:r>
              <w:t>±</w:t>
            </w:r>
          </w:p>
        </w:tc>
        <w:tc>
          <w:tcPr>
            <w:tcW w:w="848" w:type="dxa"/>
            <w:tcBorders>
              <w:top w:val="nil"/>
              <w:left w:val="nil"/>
              <w:bottom w:val="single" w:sz="4" w:space="0" w:color="auto"/>
              <w:right w:val="single" w:sz="4" w:space="0" w:color="auto"/>
            </w:tcBorders>
            <w:vAlign w:val="center"/>
          </w:tcPr>
          <w:p w14:paraId="5BC35E75" w14:textId="77777777" w:rsidR="009309E3" w:rsidRDefault="009309E3" w:rsidP="009309E3">
            <w:pPr>
              <w:spacing w:line="240" w:lineRule="auto"/>
              <w:jc w:val="left"/>
            </w:pPr>
            <w:r>
              <w:t>0.62</w:t>
            </w:r>
          </w:p>
        </w:tc>
        <w:tc>
          <w:tcPr>
            <w:tcW w:w="1203" w:type="dxa"/>
            <w:tcBorders>
              <w:top w:val="nil"/>
              <w:left w:val="single" w:sz="4" w:space="0" w:color="auto"/>
              <w:bottom w:val="single" w:sz="4" w:space="0" w:color="auto"/>
              <w:right w:val="single" w:sz="4" w:space="0" w:color="auto"/>
            </w:tcBorders>
            <w:vAlign w:val="center"/>
          </w:tcPr>
          <w:p w14:paraId="710B9D05" w14:textId="77777777" w:rsidR="009309E3" w:rsidRPr="00E12D71" w:rsidRDefault="009309E3" w:rsidP="009309E3">
            <w:pPr>
              <w:spacing w:line="240" w:lineRule="auto"/>
              <w:jc w:val="center"/>
              <w:rPr>
                <w:i/>
              </w:rPr>
            </w:pPr>
            <w:r>
              <w:rPr>
                <w:i/>
              </w:rPr>
              <w:t>4.4%</w:t>
            </w:r>
          </w:p>
        </w:tc>
      </w:tr>
      <w:tr w:rsidR="009309E3" w14:paraId="40B29046" w14:textId="77777777" w:rsidTr="009309E3">
        <w:trPr>
          <w:trHeight w:val="360"/>
        </w:trPr>
        <w:tc>
          <w:tcPr>
            <w:tcW w:w="572" w:type="dxa"/>
            <w:vMerge w:val="restart"/>
            <w:tcBorders>
              <w:top w:val="single" w:sz="4" w:space="0" w:color="auto"/>
              <w:left w:val="single" w:sz="4" w:space="0" w:color="auto"/>
              <w:bottom w:val="nil"/>
              <w:right w:val="nil"/>
            </w:tcBorders>
            <w:textDirection w:val="btLr"/>
            <w:vAlign w:val="center"/>
          </w:tcPr>
          <w:p w14:paraId="711DBBF0" w14:textId="77777777" w:rsidR="009309E3" w:rsidRDefault="009309E3" w:rsidP="009309E3">
            <w:pPr>
              <w:spacing w:line="240" w:lineRule="auto"/>
              <w:ind w:left="113" w:right="113"/>
              <w:jc w:val="center"/>
            </w:pPr>
            <w:r>
              <w:t>99% RH</w:t>
            </w:r>
          </w:p>
        </w:tc>
        <w:tc>
          <w:tcPr>
            <w:tcW w:w="1258" w:type="dxa"/>
            <w:tcBorders>
              <w:top w:val="single" w:sz="4" w:space="0" w:color="auto"/>
              <w:left w:val="nil"/>
              <w:bottom w:val="nil"/>
              <w:right w:val="single" w:sz="4" w:space="0" w:color="auto"/>
            </w:tcBorders>
            <w:vAlign w:val="center"/>
          </w:tcPr>
          <w:p w14:paraId="1CBFDD07" w14:textId="77777777" w:rsidR="009309E3" w:rsidRDefault="009309E3" w:rsidP="009309E3">
            <w:pPr>
              <w:spacing w:line="240" w:lineRule="auto"/>
              <w:jc w:val="center"/>
            </w:pPr>
            <w:r>
              <w:t>68.9</w:t>
            </w:r>
          </w:p>
        </w:tc>
        <w:tc>
          <w:tcPr>
            <w:tcW w:w="856" w:type="dxa"/>
            <w:tcBorders>
              <w:top w:val="single" w:sz="4" w:space="0" w:color="auto"/>
              <w:left w:val="single" w:sz="4" w:space="0" w:color="auto"/>
              <w:bottom w:val="nil"/>
              <w:right w:val="nil"/>
            </w:tcBorders>
            <w:vAlign w:val="center"/>
          </w:tcPr>
          <w:p w14:paraId="078F0C52" w14:textId="77777777" w:rsidR="009309E3" w:rsidRDefault="009309E3" w:rsidP="009309E3">
            <w:pPr>
              <w:spacing w:line="240" w:lineRule="auto"/>
              <w:jc w:val="right"/>
            </w:pPr>
            <w:r>
              <w:t>22.45</w:t>
            </w:r>
          </w:p>
        </w:tc>
        <w:tc>
          <w:tcPr>
            <w:tcW w:w="359" w:type="dxa"/>
            <w:tcBorders>
              <w:top w:val="single" w:sz="4" w:space="0" w:color="auto"/>
              <w:left w:val="nil"/>
              <w:bottom w:val="nil"/>
              <w:right w:val="nil"/>
            </w:tcBorders>
            <w:vAlign w:val="center"/>
          </w:tcPr>
          <w:p w14:paraId="15D850CD" w14:textId="77777777" w:rsidR="009309E3" w:rsidRDefault="009309E3" w:rsidP="009309E3">
            <w:pPr>
              <w:spacing w:line="240" w:lineRule="auto"/>
              <w:jc w:val="center"/>
            </w:pPr>
            <w:r>
              <w:t>±</w:t>
            </w:r>
          </w:p>
        </w:tc>
        <w:tc>
          <w:tcPr>
            <w:tcW w:w="848" w:type="dxa"/>
            <w:tcBorders>
              <w:top w:val="single" w:sz="4" w:space="0" w:color="auto"/>
              <w:left w:val="nil"/>
              <w:bottom w:val="nil"/>
              <w:right w:val="single" w:sz="4" w:space="0" w:color="auto"/>
            </w:tcBorders>
            <w:vAlign w:val="center"/>
          </w:tcPr>
          <w:p w14:paraId="26A085FE" w14:textId="77777777" w:rsidR="009309E3" w:rsidRDefault="009309E3" w:rsidP="009309E3">
            <w:pPr>
              <w:spacing w:line="240" w:lineRule="auto"/>
              <w:jc w:val="left"/>
            </w:pPr>
            <w:r>
              <w:t>1.20</w:t>
            </w:r>
          </w:p>
        </w:tc>
        <w:tc>
          <w:tcPr>
            <w:tcW w:w="1203" w:type="dxa"/>
            <w:tcBorders>
              <w:top w:val="single" w:sz="4" w:space="0" w:color="auto"/>
              <w:left w:val="single" w:sz="4" w:space="0" w:color="auto"/>
              <w:bottom w:val="nil"/>
              <w:right w:val="single" w:sz="4" w:space="0" w:color="auto"/>
            </w:tcBorders>
            <w:vAlign w:val="center"/>
          </w:tcPr>
          <w:p w14:paraId="7741199E" w14:textId="77777777" w:rsidR="009309E3" w:rsidRPr="00E12D71" w:rsidRDefault="009309E3" w:rsidP="009309E3">
            <w:pPr>
              <w:spacing w:line="240" w:lineRule="auto"/>
              <w:jc w:val="center"/>
              <w:rPr>
                <w:i/>
              </w:rPr>
            </w:pPr>
            <w:r>
              <w:rPr>
                <w:i/>
              </w:rPr>
              <w:t>1.5%</w:t>
            </w:r>
          </w:p>
        </w:tc>
        <w:tc>
          <w:tcPr>
            <w:tcW w:w="350" w:type="dxa"/>
            <w:tcBorders>
              <w:top w:val="nil"/>
              <w:left w:val="single" w:sz="4" w:space="0" w:color="auto"/>
              <w:bottom w:val="nil"/>
              <w:right w:val="single" w:sz="4" w:space="0" w:color="auto"/>
            </w:tcBorders>
            <w:vAlign w:val="center"/>
          </w:tcPr>
          <w:p w14:paraId="1780B305" w14:textId="77777777" w:rsidR="009309E3" w:rsidRDefault="009309E3" w:rsidP="009309E3">
            <w:pPr>
              <w:spacing w:line="240" w:lineRule="auto"/>
              <w:jc w:val="center"/>
            </w:pPr>
          </w:p>
        </w:tc>
        <w:tc>
          <w:tcPr>
            <w:tcW w:w="856" w:type="dxa"/>
            <w:tcBorders>
              <w:top w:val="single" w:sz="4" w:space="0" w:color="auto"/>
              <w:left w:val="single" w:sz="4" w:space="0" w:color="auto"/>
              <w:bottom w:val="nil"/>
              <w:right w:val="nil"/>
            </w:tcBorders>
            <w:vAlign w:val="center"/>
          </w:tcPr>
          <w:p w14:paraId="3F607A98" w14:textId="77777777" w:rsidR="009309E3" w:rsidRDefault="009309E3" w:rsidP="009309E3">
            <w:pPr>
              <w:spacing w:line="240" w:lineRule="auto"/>
              <w:jc w:val="right"/>
            </w:pPr>
            <w:r>
              <w:t>20.80</w:t>
            </w:r>
          </w:p>
        </w:tc>
        <w:tc>
          <w:tcPr>
            <w:tcW w:w="359" w:type="dxa"/>
            <w:tcBorders>
              <w:top w:val="single" w:sz="4" w:space="0" w:color="auto"/>
              <w:left w:val="nil"/>
              <w:bottom w:val="nil"/>
              <w:right w:val="nil"/>
            </w:tcBorders>
            <w:vAlign w:val="center"/>
          </w:tcPr>
          <w:p w14:paraId="734BE066" w14:textId="77777777" w:rsidR="009309E3" w:rsidRDefault="009309E3" w:rsidP="009309E3">
            <w:pPr>
              <w:spacing w:line="240" w:lineRule="auto"/>
              <w:jc w:val="center"/>
            </w:pPr>
            <w:r>
              <w:t>±</w:t>
            </w:r>
          </w:p>
        </w:tc>
        <w:tc>
          <w:tcPr>
            <w:tcW w:w="848" w:type="dxa"/>
            <w:tcBorders>
              <w:top w:val="single" w:sz="4" w:space="0" w:color="auto"/>
              <w:left w:val="nil"/>
              <w:bottom w:val="nil"/>
              <w:right w:val="single" w:sz="4" w:space="0" w:color="auto"/>
            </w:tcBorders>
            <w:vAlign w:val="center"/>
          </w:tcPr>
          <w:p w14:paraId="40EC9853" w14:textId="77777777" w:rsidR="009309E3" w:rsidRDefault="009309E3" w:rsidP="009309E3">
            <w:pPr>
              <w:spacing w:line="240" w:lineRule="auto"/>
              <w:jc w:val="left"/>
            </w:pPr>
            <w:r>
              <w:t>0.77</w:t>
            </w:r>
          </w:p>
        </w:tc>
        <w:tc>
          <w:tcPr>
            <w:tcW w:w="1203" w:type="dxa"/>
            <w:tcBorders>
              <w:top w:val="single" w:sz="4" w:space="0" w:color="auto"/>
              <w:left w:val="single" w:sz="4" w:space="0" w:color="auto"/>
              <w:bottom w:val="nil"/>
              <w:right w:val="single" w:sz="4" w:space="0" w:color="auto"/>
            </w:tcBorders>
            <w:vAlign w:val="center"/>
          </w:tcPr>
          <w:p w14:paraId="4F9C77F3" w14:textId="77777777" w:rsidR="009309E3" w:rsidRPr="00E12D71" w:rsidRDefault="009309E3" w:rsidP="009309E3">
            <w:pPr>
              <w:spacing w:line="240" w:lineRule="auto"/>
              <w:jc w:val="center"/>
              <w:rPr>
                <w:i/>
              </w:rPr>
            </w:pPr>
            <w:r>
              <w:rPr>
                <w:i/>
              </w:rPr>
              <w:t>2.4%</w:t>
            </w:r>
          </w:p>
        </w:tc>
      </w:tr>
      <w:tr w:rsidR="009309E3" w14:paraId="490DA60B" w14:textId="77777777" w:rsidTr="009309E3">
        <w:trPr>
          <w:trHeight w:val="360"/>
        </w:trPr>
        <w:tc>
          <w:tcPr>
            <w:tcW w:w="572" w:type="dxa"/>
            <w:vMerge/>
            <w:tcBorders>
              <w:top w:val="nil"/>
              <w:left w:val="single" w:sz="4" w:space="0" w:color="auto"/>
              <w:bottom w:val="nil"/>
              <w:right w:val="nil"/>
            </w:tcBorders>
            <w:vAlign w:val="center"/>
          </w:tcPr>
          <w:p w14:paraId="1D55B5F5" w14:textId="77777777" w:rsidR="009309E3" w:rsidRDefault="009309E3" w:rsidP="009309E3">
            <w:pPr>
              <w:spacing w:line="240" w:lineRule="auto"/>
              <w:jc w:val="center"/>
            </w:pPr>
          </w:p>
        </w:tc>
        <w:tc>
          <w:tcPr>
            <w:tcW w:w="1258" w:type="dxa"/>
            <w:tcBorders>
              <w:top w:val="nil"/>
              <w:left w:val="nil"/>
              <w:bottom w:val="nil"/>
              <w:right w:val="single" w:sz="4" w:space="0" w:color="auto"/>
            </w:tcBorders>
            <w:vAlign w:val="center"/>
          </w:tcPr>
          <w:p w14:paraId="7C323A63" w14:textId="77777777" w:rsidR="009309E3" w:rsidRDefault="009309E3" w:rsidP="009309E3">
            <w:pPr>
              <w:spacing w:line="240" w:lineRule="auto"/>
              <w:jc w:val="center"/>
            </w:pPr>
            <w:r>
              <w:t>206.8</w:t>
            </w:r>
          </w:p>
        </w:tc>
        <w:tc>
          <w:tcPr>
            <w:tcW w:w="856" w:type="dxa"/>
            <w:tcBorders>
              <w:top w:val="nil"/>
              <w:left w:val="single" w:sz="4" w:space="0" w:color="auto"/>
              <w:bottom w:val="nil"/>
              <w:right w:val="nil"/>
            </w:tcBorders>
            <w:vAlign w:val="center"/>
          </w:tcPr>
          <w:p w14:paraId="2DF6E59F" w14:textId="77777777" w:rsidR="009309E3" w:rsidRDefault="009309E3" w:rsidP="009309E3">
            <w:pPr>
              <w:spacing w:line="240" w:lineRule="auto"/>
              <w:jc w:val="right"/>
            </w:pPr>
            <w:r>
              <w:t>26.42</w:t>
            </w:r>
          </w:p>
        </w:tc>
        <w:tc>
          <w:tcPr>
            <w:tcW w:w="359" w:type="dxa"/>
            <w:tcBorders>
              <w:top w:val="nil"/>
              <w:left w:val="nil"/>
              <w:bottom w:val="nil"/>
              <w:right w:val="nil"/>
            </w:tcBorders>
            <w:vAlign w:val="center"/>
          </w:tcPr>
          <w:p w14:paraId="73D3CFC3" w14:textId="77777777" w:rsidR="009309E3" w:rsidRDefault="009309E3" w:rsidP="009309E3">
            <w:pPr>
              <w:spacing w:line="240" w:lineRule="auto"/>
              <w:jc w:val="center"/>
            </w:pPr>
            <w:r>
              <w:t>±</w:t>
            </w:r>
          </w:p>
        </w:tc>
        <w:tc>
          <w:tcPr>
            <w:tcW w:w="848" w:type="dxa"/>
            <w:tcBorders>
              <w:top w:val="nil"/>
              <w:left w:val="nil"/>
              <w:bottom w:val="nil"/>
              <w:right w:val="single" w:sz="4" w:space="0" w:color="auto"/>
            </w:tcBorders>
            <w:vAlign w:val="center"/>
          </w:tcPr>
          <w:p w14:paraId="1FD6653A" w14:textId="77777777" w:rsidR="009309E3" w:rsidRDefault="009309E3" w:rsidP="009309E3">
            <w:pPr>
              <w:spacing w:line="240" w:lineRule="auto"/>
              <w:jc w:val="left"/>
            </w:pPr>
            <w:r>
              <w:t>0.64</w:t>
            </w:r>
          </w:p>
        </w:tc>
        <w:tc>
          <w:tcPr>
            <w:tcW w:w="1203" w:type="dxa"/>
            <w:tcBorders>
              <w:top w:val="nil"/>
              <w:left w:val="single" w:sz="4" w:space="0" w:color="auto"/>
              <w:bottom w:val="nil"/>
              <w:right w:val="single" w:sz="4" w:space="0" w:color="auto"/>
            </w:tcBorders>
            <w:vAlign w:val="center"/>
          </w:tcPr>
          <w:p w14:paraId="7EF61F6F" w14:textId="77777777" w:rsidR="009309E3" w:rsidRPr="00E12D71" w:rsidRDefault="009309E3" w:rsidP="009309E3">
            <w:pPr>
              <w:spacing w:line="240" w:lineRule="auto"/>
              <w:jc w:val="center"/>
              <w:rPr>
                <w:i/>
              </w:rPr>
            </w:pPr>
            <w:r>
              <w:rPr>
                <w:i/>
              </w:rPr>
              <w:t>1.0%</w:t>
            </w:r>
          </w:p>
        </w:tc>
        <w:tc>
          <w:tcPr>
            <w:tcW w:w="350" w:type="dxa"/>
            <w:tcBorders>
              <w:top w:val="nil"/>
              <w:left w:val="single" w:sz="4" w:space="0" w:color="auto"/>
              <w:bottom w:val="nil"/>
              <w:right w:val="single" w:sz="4" w:space="0" w:color="auto"/>
            </w:tcBorders>
            <w:vAlign w:val="center"/>
          </w:tcPr>
          <w:p w14:paraId="4320DC76" w14:textId="77777777" w:rsidR="009309E3" w:rsidRDefault="009309E3" w:rsidP="009309E3">
            <w:pPr>
              <w:spacing w:line="240" w:lineRule="auto"/>
              <w:jc w:val="center"/>
            </w:pPr>
          </w:p>
        </w:tc>
        <w:tc>
          <w:tcPr>
            <w:tcW w:w="856" w:type="dxa"/>
            <w:tcBorders>
              <w:top w:val="nil"/>
              <w:left w:val="single" w:sz="4" w:space="0" w:color="auto"/>
              <w:bottom w:val="nil"/>
              <w:right w:val="nil"/>
            </w:tcBorders>
            <w:vAlign w:val="center"/>
          </w:tcPr>
          <w:p w14:paraId="5EB66D83" w14:textId="77777777" w:rsidR="009309E3" w:rsidRDefault="009309E3" w:rsidP="009309E3">
            <w:pPr>
              <w:spacing w:line="240" w:lineRule="auto"/>
              <w:jc w:val="right"/>
            </w:pPr>
            <w:r>
              <w:t>23.61</w:t>
            </w:r>
          </w:p>
        </w:tc>
        <w:tc>
          <w:tcPr>
            <w:tcW w:w="359" w:type="dxa"/>
            <w:tcBorders>
              <w:top w:val="nil"/>
              <w:left w:val="nil"/>
              <w:bottom w:val="nil"/>
              <w:right w:val="nil"/>
            </w:tcBorders>
            <w:vAlign w:val="center"/>
          </w:tcPr>
          <w:p w14:paraId="179421D8" w14:textId="77777777" w:rsidR="009309E3" w:rsidRDefault="009309E3" w:rsidP="009309E3">
            <w:pPr>
              <w:spacing w:line="240" w:lineRule="auto"/>
              <w:jc w:val="center"/>
            </w:pPr>
            <w:r>
              <w:t>±</w:t>
            </w:r>
          </w:p>
        </w:tc>
        <w:tc>
          <w:tcPr>
            <w:tcW w:w="848" w:type="dxa"/>
            <w:tcBorders>
              <w:top w:val="nil"/>
              <w:left w:val="nil"/>
              <w:bottom w:val="nil"/>
              <w:right w:val="single" w:sz="4" w:space="0" w:color="auto"/>
            </w:tcBorders>
            <w:vAlign w:val="center"/>
          </w:tcPr>
          <w:p w14:paraId="28E31A7C" w14:textId="77777777" w:rsidR="009309E3" w:rsidRDefault="009309E3" w:rsidP="009309E3">
            <w:pPr>
              <w:spacing w:line="240" w:lineRule="auto"/>
              <w:jc w:val="left"/>
            </w:pPr>
            <w:r>
              <w:t>0.83</w:t>
            </w:r>
          </w:p>
        </w:tc>
        <w:tc>
          <w:tcPr>
            <w:tcW w:w="1203" w:type="dxa"/>
            <w:tcBorders>
              <w:top w:val="nil"/>
              <w:left w:val="single" w:sz="4" w:space="0" w:color="auto"/>
              <w:bottom w:val="nil"/>
              <w:right w:val="single" w:sz="4" w:space="0" w:color="auto"/>
            </w:tcBorders>
            <w:vAlign w:val="center"/>
          </w:tcPr>
          <w:p w14:paraId="2B7BD7AC" w14:textId="77777777" w:rsidR="009309E3" w:rsidRPr="00E12D71" w:rsidRDefault="009309E3" w:rsidP="009309E3">
            <w:pPr>
              <w:spacing w:line="240" w:lineRule="auto"/>
              <w:jc w:val="center"/>
              <w:rPr>
                <w:i/>
              </w:rPr>
            </w:pPr>
            <w:r>
              <w:rPr>
                <w:i/>
              </w:rPr>
              <w:t>4.6%</w:t>
            </w:r>
          </w:p>
        </w:tc>
      </w:tr>
      <w:tr w:rsidR="009309E3" w14:paraId="06168CF6" w14:textId="77777777" w:rsidTr="009309E3">
        <w:trPr>
          <w:trHeight w:val="360"/>
        </w:trPr>
        <w:tc>
          <w:tcPr>
            <w:tcW w:w="572" w:type="dxa"/>
            <w:vMerge/>
            <w:tcBorders>
              <w:top w:val="nil"/>
              <w:left w:val="single" w:sz="4" w:space="0" w:color="auto"/>
              <w:bottom w:val="nil"/>
              <w:right w:val="nil"/>
            </w:tcBorders>
            <w:vAlign w:val="center"/>
          </w:tcPr>
          <w:p w14:paraId="2BA7D58E" w14:textId="77777777" w:rsidR="009309E3" w:rsidRDefault="009309E3" w:rsidP="009309E3">
            <w:pPr>
              <w:spacing w:line="240" w:lineRule="auto"/>
              <w:jc w:val="center"/>
            </w:pPr>
          </w:p>
        </w:tc>
        <w:tc>
          <w:tcPr>
            <w:tcW w:w="1258" w:type="dxa"/>
            <w:tcBorders>
              <w:top w:val="nil"/>
              <w:left w:val="nil"/>
              <w:bottom w:val="nil"/>
              <w:right w:val="single" w:sz="4" w:space="0" w:color="auto"/>
            </w:tcBorders>
            <w:vAlign w:val="center"/>
          </w:tcPr>
          <w:p w14:paraId="60B86F17" w14:textId="77777777" w:rsidR="009309E3" w:rsidRDefault="009309E3" w:rsidP="009309E3">
            <w:pPr>
              <w:spacing w:line="240" w:lineRule="auto"/>
              <w:jc w:val="center"/>
            </w:pPr>
            <w:r>
              <w:t>344.7</w:t>
            </w:r>
          </w:p>
        </w:tc>
        <w:tc>
          <w:tcPr>
            <w:tcW w:w="856" w:type="dxa"/>
            <w:tcBorders>
              <w:top w:val="nil"/>
              <w:left w:val="single" w:sz="4" w:space="0" w:color="auto"/>
              <w:bottom w:val="nil"/>
              <w:right w:val="nil"/>
            </w:tcBorders>
            <w:vAlign w:val="center"/>
          </w:tcPr>
          <w:p w14:paraId="1E8AC2A3" w14:textId="77777777" w:rsidR="009309E3" w:rsidRDefault="009309E3" w:rsidP="009309E3">
            <w:pPr>
              <w:spacing w:line="240" w:lineRule="auto"/>
              <w:jc w:val="right"/>
            </w:pPr>
            <w:r>
              <w:t>27.42</w:t>
            </w:r>
          </w:p>
        </w:tc>
        <w:tc>
          <w:tcPr>
            <w:tcW w:w="359" w:type="dxa"/>
            <w:tcBorders>
              <w:top w:val="nil"/>
              <w:left w:val="nil"/>
              <w:bottom w:val="nil"/>
              <w:right w:val="nil"/>
            </w:tcBorders>
            <w:vAlign w:val="center"/>
          </w:tcPr>
          <w:p w14:paraId="4C59B5AA" w14:textId="77777777" w:rsidR="009309E3" w:rsidRDefault="009309E3" w:rsidP="009309E3">
            <w:pPr>
              <w:spacing w:line="240" w:lineRule="auto"/>
              <w:jc w:val="center"/>
            </w:pPr>
            <w:r>
              <w:t>±</w:t>
            </w:r>
          </w:p>
        </w:tc>
        <w:tc>
          <w:tcPr>
            <w:tcW w:w="848" w:type="dxa"/>
            <w:tcBorders>
              <w:top w:val="nil"/>
              <w:left w:val="nil"/>
              <w:bottom w:val="nil"/>
              <w:right w:val="single" w:sz="4" w:space="0" w:color="auto"/>
            </w:tcBorders>
            <w:vAlign w:val="center"/>
          </w:tcPr>
          <w:p w14:paraId="289B1B6B" w14:textId="77777777" w:rsidR="009309E3" w:rsidRDefault="009309E3" w:rsidP="009309E3">
            <w:pPr>
              <w:spacing w:line="240" w:lineRule="auto"/>
              <w:jc w:val="left"/>
            </w:pPr>
            <w:r>
              <w:t>0.66</w:t>
            </w:r>
          </w:p>
        </w:tc>
        <w:tc>
          <w:tcPr>
            <w:tcW w:w="1203" w:type="dxa"/>
            <w:tcBorders>
              <w:top w:val="nil"/>
              <w:left w:val="single" w:sz="4" w:space="0" w:color="auto"/>
              <w:bottom w:val="nil"/>
              <w:right w:val="single" w:sz="4" w:space="0" w:color="auto"/>
            </w:tcBorders>
            <w:vAlign w:val="center"/>
          </w:tcPr>
          <w:p w14:paraId="6177977C" w14:textId="77777777" w:rsidR="009309E3" w:rsidRPr="00E12D71" w:rsidRDefault="009309E3" w:rsidP="009309E3">
            <w:pPr>
              <w:spacing w:line="240" w:lineRule="auto"/>
              <w:jc w:val="center"/>
              <w:rPr>
                <w:i/>
              </w:rPr>
            </w:pPr>
            <w:r>
              <w:rPr>
                <w:i/>
              </w:rPr>
              <w:t>4.1%</w:t>
            </w:r>
          </w:p>
        </w:tc>
        <w:tc>
          <w:tcPr>
            <w:tcW w:w="350" w:type="dxa"/>
            <w:tcBorders>
              <w:top w:val="nil"/>
              <w:left w:val="single" w:sz="4" w:space="0" w:color="auto"/>
              <w:bottom w:val="nil"/>
              <w:right w:val="single" w:sz="4" w:space="0" w:color="auto"/>
            </w:tcBorders>
            <w:vAlign w:val="center"/>
          </w:tcPr>
          <w:p w14:paraId="43FB520E" w14:textId="77777777" w:rsidR="009309E3" w:rsidRDefault="009309E3" w:rsidP="009309E3">
            <w:pPr>
              <w:spacing w:line="240" w:lineRule="auto"/>
              <w:jc w:val="center"/>
            </w:pPr>
          </w:p>
        </w:tc>
        <w:tc>
          <w:tcPr>
            <w:tcW w:w="856" w:type="dxa"/>
            <w:tcBorders>
              <w:top w:val="nil"/>
              <w:left w:val="single" w:sz="4" w:space="0" w:color="auto"/>
              <w:bottom w:val="nil"/>
              <w:right w:val="nil"/>
            </w:tcBorders>
            <w:vAlign w:val="center"/>
          </w:tcPr>
          <w:p w14:paraId="1B87AD0B" w14:textId="77777777" w:rsidR="009309E3" w:rsidRDefault="009309E3" w:rsidP="009309E3">
            <w:pPr>
              <w:spacing w:line="240" w:lineRule="auto"/>
              <w:jc w:val="right"/>
            </w:pPr>
            <w:r>
              <w:t>25.20</w:t>
            </w:r>
          </w:p>
        </w:tc>
        <w:tc>
          <w:tcPr>
            <w:tcW w:w="359" w:type="dxa"/>
            <w:tcBorders>
              <w:top w:val="nil"/>
              <w:left w:val="nil"/>
              <w:bottom w:val="nil"/>
              <w:right w:val="nil"/>
            </w:tcBorders>
            <w:vAlign w:val="center"/>
          </w:tcPr>
          <w:p w14:paraId="3F063D30" w14:textId="77777777" w:rsidR="009309E3" w:rsidRDefault="009309E3" w:rsidP="009309E3">
            <w:pPr>
              <w:spacing w:line="240" w:lineRule="auto"/>
              <w:jc w:val="center"/>
            </w:pPr>
            <w:r>
              <w:t>±</w:t>
            </w:r>
          </w:p>
        </w:tc>
        <w:tc>
          <w:tcPr>
            <w:tcW w:w="848" w:type="dxa"/>
            <w:tcBorders>
              <w:top w:val="nil"/>
              <w:left w:val="nil"/>
              <w:bottom w:val="nil"/>
              <w:right w:val="single" w:sz="4" w:space="0" w:color="auto"/>
            </w:tcBorders>
            <w:vAlign w:val="center"/>
          </w:tcPr>
          <w:p w14:paraId="6D662B22" w14:textId="77777777" w:rsidR="009309E3" w:rsidRDefault="009309E3" w:rsidP="009309E3">
            <w:pPr>
              <w:spacing w:line="240" w:lineRule="auto"/>
              <w:jc w:val="left"/>
            </w:pPr>
            <w:r>
              <w:t>0.49</w:t>
            </w:r>
          </w:p>
        </w:tc>
        <w:tc>
          <w:tcPr>
            <w:tcW w:w="1203" w:type="dxa"/>
            <w:tcBorders>
              <w:top w:val="nil"/>
              <w:left w:val="single" w:sz="4" w:space="0" w:color="auto"/>
              <w:bottom w:val="nil"/>
              <w:right w:val="single" w:sz="4" w:space="0" w:color="auto"/>
            </w:tcBorders>
            <w:vAlign w:val="center"/>
          </w:tcPr>
          <w:p w14:paraId="0391A93F" w14:textId="77777777" w:rsidR="009309E3" w:rsidRPr="00E12D71" w:rsidRDefault="009309E3" w:rsidP="009309E3">
            <w:pPr>
              <w:spacing w:line="240" w:lineRule="auto"/>
              <w:jc w:val="center"/>
              <w:rPr>
                <w:i/>
              </w:rPr>
            </w:pPr>
            <w:r>
              <w:rPr>
                <w:i/>
              </w:rPr>
              <w:t>4.6%</w:t>
            </w:r>
          </w:p>
        </w:tc>
      </w:tr>
      <w:tr w:rsidR="009309E3" w14:paraId="42B2EC41" w14:textId="77777777" w:rsidTr="009309E3">
        <w:trPr>
          <w:trHeight w:val="360"/>
        </w:trPr>
        <w:tc>
          <w:tcPr>
            <w:tcW w:w="572" w:type="dxa"/>
            <w:vMerge/>
            <w:tcBorders>
              <w:top w:val="nil"/>
              <w:left w:val="single" w:sz="4" w:space="0" w:color="auto"/>
              <w:bottom w:val="single" w:sz="18" w:space="0" w:color="auto"/>
              <w:right w:val="nil"/>
            </w:tcBorders>
            <w:vAlign w:val="center"/>
          </w:tcPr>
          <w:p w14:paraId="2A2A8040" w14:textId="77777777" w:rsidR="009309E3" w:rsidRDefault="009309E3" w:rsidP="009309E3">
            <w:pPr>
              <w:spacing w:line="240" w:lineRule="auto"/>
              <w:jc w:val="center"/>
            </w:pPr>
          </w:p>
        </w:tc>
        <w:tc>
          <w:tcPr>
            <w:tcW w:w="1258" w:type="dxa"/>
            <w:tcBorders>
              <w:top w:val="nil"/>
              <w:left w:val="nil"/>
              <w:bottom w:val="single" w:sz="18" w:space="0" w:color="auto"/>
              <w:right w:val="single" w:sz="4" w:space="0" w:color="auto"/>
            </w:tcBorders>
            <w:vAlign w:val="center"/>
          </w:tcPr>
          <w:p w14:paraId="3B86EAA5" w14:textId="77777777" w:rsidR="009309E3" w:rsidRDefault="009309E3" w:rsidP="009309E3">
            <w:pPr>
              <w:spacing w:line="240" w:lineRule="auto"/>
              <w:jc w:val="center"/>
            </w:pPr>
            <w:r>
              <w:t>482.6</w:t>
            </w:r>
          </w:p>
        </w:tc>
        <w:tc>
          <w:tcPr>
            <w:tcW w:w="856" w:type="dxa"/>
            <w:tcBorders>
              <w:top w:val="nil"/>
              <w:left w:val="single" w:sz="4" w:space="0" w:color="auto"/>
              <w:bottom w:val="single" w:sz="18" w:space="0" w:color="auto"/>
              <w:right w:val="nil"/>
            </w:tcBorders>
            <w:vAlign w:val="center"/>
          </w:tcPr>
          <w:p w14:paraId="41E49C26" w14:textId="77777777" w:rsidR="009309E3" w:rsidRDefault="009309E3" w:rsidP="009309E3">
            <w:pPr>
              <w:spacing w:line="240" w:lineRule="auto"/>
              <w:jc w:val="right"/>
            </w:pPr>
            <w:r>
              <w:t>28.65</w:t>
            </w:r>
          </w:p>
        </w:tc>
        <w:tc>
          <w:tcPr>
            <w:tcW w:w="359" w:type="dxa"/>
            <w:tcBorders>
              <w:top w:val="nil"/>
              <w:left w:val="nil"/>
              <w:bottom w:val="single" w:sz="18" w:space="0" w:color="auto"/>
              <w:right w:val="nil"/>
            </w:tcBorders>
            <w:vAlign w:val="center"/>
          </w:tcPr>
          <w:p w14:paraId="7A474055" w14:textId="77777777" w:rsidR="009309E3" w:rsidRDefault="009309E3" w:rsidP="009309E3">
            <w:pPr>
              <w:spacing w:line="240" w:lineRule="auto"/>
              <w:jc w:val="center"/>
            </w:pPr>
            <w:r>
              <w:t>±</w:t>
            </w:r>
          </w:p>
        </w:tc>
        <w:tc>
          <w:tcPr>
            <w:tcW w:w="848" w:type="dxa"/>
            <w:tcBorders>
              <w:top w:val="nil"/>
              <w:left w:val="nil"/>
              <w:bottom w:val="single" w:sz="18" w:space="0" w:color="auto"/>
              <w:right w:val="single" w:sz="4" w:space="0" w:color="auto"/>
            </w:tcBorders>
            <w:vAlign w:val="center"/>
          </w:tcPr>
          <w:p w14:paraId="1A7BF79D" w14:textId="77777777" w:rsidR="009309E3" w:rsidRDefault="009309E3" w:rsidP="009309E3">
            <w:pPr>
              <w:spacing w:line="240" w:lineRule="auto"/>
              <w:jc w:val="left"/>
            </w:pPr>
            <w:r>
              <w:t>0.38</w:t>
            </w:r>
          </w:p>
        </w:tc>
        <w:tc>
          <w:tcPr>
            <w:tcW w:w="1203" w:type="dxa"/>
            <w:tcBorders>
              <w:top w:val="nil"/>
              <w:left w:val="single" w:sz="4" w:space="0" w:color="auto"/>
              <w:bottom w:val="single" w:sz="18" w:space="0" w:color="auto"/>
              <w:right w:val="single" w:sz="4" w:space="0" w:color="auto"/>
            </w:tcBorders>
            <w:vAlign w:val="center"/>
          </w:tcPr>
          <w:p w14:paraId="20D709E5" w14:textId="77777777" w:rsidR="009309E3" w:rsidRPr="00E12D71" w:rsidRDefault="009309E3" w:rsidP="009309E3">
            <w:pPr>
              <w:spacing w:line="240" w:lineRule="auto"/>
              <w:jc w:val="center"/>
              <w:rPr>
                <w:i/>
              </w:rPr>
            </w:pPr>
            <w:r>
              <w:rPr>
                <w:i/>
              </w:rPr>
              <w:t>2.2%</w:t>
            </w:r>
          </w:p>
        </w:tc>
        <w:tc>
          <w:tcPr>
            <w:tcW w:w="350" w:type="dxa"/>
            <w:tcBorders>
              <w:top w:val="nil"/>
              <w:left w:val="single" w:sz="4" w:space="0" w:color="auto"/>
              <w:bottom w:val="nil"/>
              <w:right w:val="single" w:sz="4" w:space="0" w:color="auto"/>
            </w:tcBorders>
            <w:vAlign w:val="center"/>
          </w:tcPr>
          <w:p w14:paraId="74A35115" w14:textId="77777777" w:rsidR="009309E3" w:rsidRDefault="009309E3" w:rsidP="009309E3">
            <w:pPr>
              <w:spacing w:line="240" w:lineRule="auto"/>
              <w:jc w:val="center"/>
            </w:pPr>
          </w:p>
        </w:tc>
        <w:tc>
          <w:tcPr>
            <w:tcW w:w="856" w:type="dxa"/>
            <w:tcBorders>
              <w:top w:val="nil"/>
              <w:left w:val="single" w:sz="4" w:space="0" w:color="auto"/>
              <w:bottom w:val="single" w:sz="18" w:space="0" w:color="auto"/>
              <w:right w:val="nil"/>
            </w:tcBorders>
            <w:vAlign w:val="center"/>
          </w:tcPr>
          <w:p w14:paraId="386A89FE" w14:textId="77777777" w:rsidR="009309E3" w:rsidRDefault="009309E3" w:rsidP="009309E3">
            <w:pPr>
              <w:spacing w:line="240" w:lineRule="auto"/>
              <w:jc w:val="right"/>
            </w:pPr>
            <w:r>
              <w:t>26.31</w:t>
            </w:r>
          </w:p>
        </w:tc>
        <w:tc>
          <w:tcPr>
            <w:tcW w:w="359" w:type="dxa"/>
            <w:tcBorders>
              <w:top w:val="nil"/>
              <w:left w:val="nil"/>
              <w:bottom w:val="single" w:sz="18" w:space="0" w:color="auto"/>
              <w:right w:val="nil"/>
            </w:tcBorders>
            <w:vAlign w:val="center"/>
          </w:tcPr>
          <w:p w14:paraId="6A3C9662" w14:textId="77777777" w:rsidR="009309E3" w:rsidRDefault="009309E3" w:rsidP="009309E3">
            <w:pPr>
              <w:spacing w:line="240" w:lineRule="auto"/>
              <w:jc w:val="center"/>
            </w:pPr>
            <w:r>
              <w:t>±</w:t>
            </w:r>
          </w:p>
        </w:tc>
        <w:tc>
          <w:tcPr>
            <w:tcW w:w="848" w:type="dxa"/>
            <w:tcBorders>
              <w:top w:val="nil"/>
              <w:left w:val="nil"/>
              <w:bottom w:val="single" w:sz="18" w:space="0" w:color="auto"/>
              <w:right w:val="single" w:sz="4" w:space="0" w:color="auto"/>
            </w:tcBorders>
            <w:vAlign w:val="center"/>
          </w:tcPr>
          <w:p w14:paraId="316227E3" w14:textId="77777777" w:rsidR="009309E3" w:rsidRDefault="009309E3" w:rsidP="009309E3">
            <w:pPr>
              <w:spacing w:line="240" w:lineRule="auto"/>
              <w:jc w:val="left"/>
            </w:pPr>
            <w:r>
              <w:t>0.40</w:t>
            </w:r>
          </w:p>
        </w:tc>
        <w:tc>
          <w:tcPr>
            <w:tcW w:w="1203" w:type="dxa"/>
            <w:tcBorders>
              <w:top w:val="nil"/>
              <w:left w:val="single" w:sz="4" w:space="0" w:color="auto"/>
              <w:bottom w:val="single" w:sz="18" w:space="0" w:color="auto"/>
              <w:right w:val="single" w:sz="4" w:space="0" w:color="auto"/>
            </w:tcBorders>
            <w:vAlign w:val="center"/>
          </w:tcPr>
          <w:p w14:paraId="1DA0F3BA" w14:textId="77777777" w:rsidR="009309E3" w:rsidRPr="00E12D71" w:rsidRDefault="009309E3" w:rsidP="009309E3">
            <w:pPr>
              <w:spacing w:line="240" w:lineRule="auto"/>
              <w:jc w:val="center"/>
              <w:rPr>
                <w:i/>
              </w:rPr>
            </w:pPr>
            <w:r>
              <w:rPr>
                <w:i/>
              </w:rPr>
              <w:t>4.9%</w:t>
            </w:r>
          </w:p>
        </w:tc>
      </w:tr>
    </w:tbl>
    <w:p w14:paraId="6F1C7D52" w14:textId="77777777" w:rsidR="009309E3" w:rsidRDefault="009309E3" w:rsidP="00CE7CD7">
      <w:pPr>
        <w:spacing w:after="240" w:line="240" w:lineRule="auto"/>
        <w:jc w:val="center"/>
      </w:pPr>
    </w:p>
    <w:p w14:paraId="0B1AC85E" w14:textId="662B8078" w:rsidR="00570D07" w:rsidRDefault="00570D07" w:rsidP="00CE7CD7">
      <w:pPr>
        <w:spacing w:after="240" w:line="240" w:lineRule="auto"/>
        <w:jc w:val="center"/>
      </w:pPr>
      <w:r>
        <w:br w:type="page"/>
      </w:r>
    </w:p>
    <w:p w14:paraId="2DEC6039" w14:textId="77777777" w:rsidR="009309E3" w:rsidRDefault="009309E3" w:rsidP="00CE7CD7">
      <w:pPr>
        <w:spacing w:after="240" w:line="240" w:lineRule="auto"/>
        <w:jc w:val="center"/>
      </w:pPr>
    </w:p>
    <w:p w14:paraId="69DC334B" w14:textId="2CDE00C3" w:rsidR="00334FE2" w:rsidRPr="00936D78" w:rsidRDefault="00334FE2" w:rsidP="00334FE2">
      <w:pPr>
        <w:pStyle w:val="Caption"/>
        <w:keepNext/>
        <w:spacing w:after="120" w:line="240" w:lineRule="auto"/>
        <w:jc w:val="center"/>
        <w:rPr>
          <w:sz w:val="24"/>
        </w:rPr>
      </w:pPr>
      <w:bookmarkStart w:id="336" w:name="_Toc346310866"/>
      <w:r w:rsidRPr="00936D78">
        <w:rPr>
          <w:sz w:val="24"/>
        </w:rPr>
        <w:t xml:space="preserve">Table </w:t>
      </w:r>
      <w:r>
        <w:rPr>
          <w:sz w:val="24"/>
        </w:rPr>
        <w:t>A.</w:t>
      </w:r>
      <w:r>
        <w:rPr>
          <w:sz w:val="24"/>
        </w:rPr>
        <w:fldChar w:fldCharType="begin"/>
      </w:r>
      <w:r>
        <w:rPr>
          <w:sz w:val="24"/>
        </w:rPr>
        <w:instrText xml:space="preserve"> SEQ Table \* ARABIC \s 1 </w:instrText>
      </w:r>
      <w:r>
        <w:rPr>
          <w:sz w:val="24"/>
        </w:rPr>
        <w:fldChar w:fldCharType="separate"/>
      </w:r>
      <w:r w:rsidR="008A1992">
        <w:rPr>
          <w:noProof/>
          <w:sz w:val="24"/>
        </w:rPr>
        <w:t>6</w:t>
      </w:r>
      <w:r>
        <w:rPr>
          <w:sz w:val="24"/>
        </w:rPr>
        <w:fldChar w:fldCharType="end"/>
      </w:r>
      <w:r w:rsidRPr="00936D78">
        <w:rPr>
          <w:sz w:val="24"/>
        </w:rPr>
        <w:t xml:space="preserve"> Average </w:t>
      </w:r>
      <w:r w:rsidRPr="00F66D28">
        <w:rPr>
          <w:sz w:val="24"/>
        </w:rPr>
        <w:t>flexur</w:t>
      </w:r>
      <w:r>
        <w:rPr>
          <w:sz w:val="24"/>
        </w:rPr>
        <w:t>al</w:t>
      </w:r>
      <w:r w:rsidRPr="00F66D28">
        <w:rPr>
          <w:sz w:val="24"/>
        </w:rPr>
        <w:t xml:space="preserve"> </w:t>
      </w:r>
      <w:r>
        <w:rPr>
          <w:sz w:val="24"/>
        </w:rPr>
        <w:t>strength</w:t>
      </w:r>
      <w:r w:rsidRPr="00F66D28">
        <w:rPr>
          <w:sz w:val="24"/>
        </w:rPr>
        <w:t xml:space="preserve"> </w:t>
      </w:r>
      <w:r>
        <w:rPr>
          <w:sz w:val="24"/>
        </w:rPr>
        <w:t xml:space="preserve">for hydraulic fluid contaminated specimens </w:t>
      </w:r>
      <w:r w:rsidRPr="00C16655">
        <w:rPr>
          <w:sz w:val="24"/>
        </w:rPr>
        <w:t>and 9</w:t>
      </w:r>
      <w:r>
        <w:rPr>
          <w:sz w:val="24"/>
        </w:rPr>
        <w:t>5</w:t>
      </w:r>
      <w:r w:rsidRPr="00C16655">
        <w:rPr>
          <w:sz w:val="24"/>
        </w:rPr>
        <w:t xml:space="preserve">% confidence interval for </w:t>
      </w:r>
      <w:r>
        <w:rPr>
          <w:sz w:val="24"/>
        </w:rPr>
        <w:t>two quartz-reinforced</w:t>
      </w:r>
      <w:r w:rsidRPr="00C16655">
        <w:rPr>
          <w:sz w:val="24"/>
        </w:rPr>
        <w:t xml:space="preserve"> prepreg</w:t>
      </w:r>
      <w:r>
        <w:rPr>
          <w:sz w:val="24"/>
        </w:rPr>
        <w:t>s. Percent reduction determined from dry flexural results</w:t>
      </w:r>
      <w:bookmarkEnd w:id="336"/>
    </w:p>
    <w:tbl>
      <w:tblPr>
        <w:tblStyle w:val="TableGrid"/>
        <w:tblW w:w="0" w:type="auto"/>
        <w:tblLook w:val="04A0" w:firstRow="1" w:lastRow="0" w:firstColumn="1" w:lastColumn="0" w:noHBand="0" w:noVBand="1"/>
      </w:tblPr>
      <w:tblGrid>
        <w:gridCol w:w="573"/>
        <w:gridCol w:w="1238"/>
        <w:gridCol w:w="876"/>
        <w:gridCol w:w="358"/>
        <w:gridCol w:w="843"/>
        <w:gridCol w:w="1202"/>
        <w:gridCol w:w="343"/>
        <w:gridCol w:w="876"/>
        <w:gridCol w:w="358"/>
        <w:gridCol w:w="843"/>
        <w:gridCol w:w="1202"/>
      </w:tblGrid>
      <w:tr w:rsidR="00334FE2" w14:paraId="6D4A3CC0" w14:textId="77777777" w:rsidTr="00334FE2">
        <w:trPr>
          <w:trHeight w:val="360"/>
        </w:trPr>
        <w:tc>
          <w:tcPr>
            <w:tcW w:w="1830" w:type="dxa"/>
            <w:gridSpan w:val="2"/>
            <w:tcBorders>
              <w:top w:val="nil"/>
              <w:left w:val="nil"/>
              <w:bottom w:val="single" w:sz="18" w:space="0" w:color="auto"/>
              <w:right w:val="nil"/>
            </w:tcBorders>
            <w:vAlign w:val="bottom"/>
          </w:tcPr>
          <w:p w14:paraId="3FA8A654" w14:textId="77777777" w:rsidR="00334FE2" w:rsidRPr="00E12D71" w:rsidRDefault="00334FE2" w:rsidP="00334FE2">
            <w:pPr>
              <w:spacing w:line="240" w:lineRule="auto"/>
              <w:jc w:val="center"/>
              <w:rPr>
                <w:b/>
              </w:rPr>
            </w:pPr>
            <w:r w:rsidRPr="00E12D71">
              <w:rPr>
                <w:b/>
              </w:rPr>
              <w:t xml:space="preserve">Relative Humidity </w:t>
            </w:r>
          </w:p>
          <w:p w14:paraId="4401B570" w14:textId="77777777" w:rsidR="00334FE2" w:rsidRDefault="00334FE2" w:rsidP="00334FE2">
            <w:pPr>
              <w:spacing w:line="240" w:lineRule="auto"/>
              <w:jc w:val="center"/>
            </w:pPr>
            <w:r w:rsidRPr="00E12D71">
              <w:rPr>
                <w:b/>
              </w:rPr>
              <w:t>(% RH) &amp; Fabrication Pressure (kPa)</w:t>
            </w:r>
          </w:p>
        </w:tc>
        <w:tc>
          <w:tcPr>
            <w:tcW w:w="2063" w:type="dxa"/>
            <w:gridSpan w:val="3"/>
            <w:tcBorders>
              <w:top w:val="nil"/>
              <w:left w:val="nil"/>
              <w:bottom w:val="single" w:sz="18" w:space="0" w:color="auto"/>
              <w:right w:val="nil"/>
            </w:tcBorders>
            <w:vAlign w:val="bottom"/>
          </w:tcPr>
          <w:p w14:paraId="109A6A20" w14:textId="77777777" w:rsidR="00334FE2" w:rsidRPr="00E12D71" w:rsidRDefault="00334FE2" w:rsidP="00334FE2">
            <w:pPr>
              <w:spacing w:line="240" w:lineRule="auto"/>
              <w:jc w:val="center"/>
              <w:rPr>
                <w:b/>
              </w:rPr>
            </w:pPr>
            <w:r w:rsidRPr="00E12D71">
              <w:rPr>
                <w:b/>
              </w:rPr>
              <w:t>Quartz / BMI</w:t>
            </w:r>
          </w:p>
        </w:tc>
        <w:tc>
          <w:tcPr>
            <w:tcW w:w="1203" w:type="dxa"/>
            <w:tcBorders>
              <w:top w:val="nil"/>
              <w:left w:val="nil"/>
              <w:bottom w:val="single" w:sz="18" w:space="0" w:color="auto"/>
              <w:right w:val="nil"/>
            </w:tcBorders>
            <w:vAlign w:val="bottom"/>
          </w:tcPr>
          <w:p w14:paraId="0EE5F856" w14:textId="77777777" w:rsidR="00334FE2" w:rsidRPr="00E12D71" w:rsidRDefault="00334FE2" w:rsidP="00334FE2">
            <w:pPr>
              <w:spacing w:line="240" w:lineRule="auto"/>
              <w:jc w:val="center"/>
              <w:rPr>
                <w:i/>
              </w:rPr>
            </w:pPr>
            <w:r w:rsidRPr="00E12D71">
              <w:rPr>
                <w:i/>
              </w:rPr>
              <w:t>Wet / Dry Reduction</w:t>
            </w:r>
          </w:p>
        </w:tc>
        <w:tc>
          <w:tcPr>
            <w:tcW w:w="350" w:type="dxa"/>
            <w:tcBorders>
              <w:top w:val="nil"/>
              <w:left w:val="nil"/>
              <w:bottom w:val="nil"/>
              <w:right w:val="nil"/>
            </w:tcBorders>
            <w:vAlign w:val="center"/>
          </w:tcPr>
          <w:p w14:paraId="2774C340" w14:textId="77777777" w:rsidR="00334FE2" w:rsidRDefault="00334FE2" w:rsidP="00334FE2">
            <w:pPr>
              <w:spacing w:line="240" w:lineRule="auto"/>
              <w:jc w:val="center"/>
            </w:pPr>
          </w:p>
        </w:tc>
        <w:tc>
          <w:tcPr>
            <w:tcW w:w="2063" w:type="dxa"/>
            <w:gridSpan w:val="3"/>
            <w:tcBorders>
              <w:top w:val="nil"/>
              <w:left w:val="nil"/>
              <w:bottom w:val="single" w:sz="18" w:space="0" w:color="auto"/>
              <w:right w:val="nil"/>
            </w:tcBorders>
            <w:vAlign w:val="bottom"/>
          </w:tcPr>
          <w:p w14:paraId="45733715" w14:textId="77777777" w:rsidR="00334FE2" w:rsidRPr="00E12D71" w:rsidRDefault="00334FE2" w:rsidP="00334FE2">
            <w:pPr>
              <w:spacing w:line="240" w:lineRule="auto"/>
              <w:jc w:val="center"/>
              <w:rPr>
                <w:b/>
              </w:rPr>
            </w:pPr>
            <w:r w:rsidRPr="00E12D71">
              <w:rPr>
                <w:b/>
              </w:rPr>
              <w:t>Quartz / Epoxy</w:t>
            </w:r>
          </w:p>
        </w:tc>
        <w:tc>
          <w:tcPr>
            <w:tcW w:w="1203" w:type="dxa"/>
            <w:tcBorders>
              <w:top w:val="nil"/>
              <w:left w:val="nil"/>
              <w:bottom w:val="single" w:sz="18" w:space="0" w:color="auto"/>
              <w:right w:val="nil"/>
            </w:tcBorders>
            <w:vAlign w:val="bottom"/>
          </w:tcPr>
          <w:p w14:paraId="7014E962" w14:textId="77777777" w:rsidR="00334FE2" w:rsidRPr="00E12D71" w:rsidRDefault="00334FE2" w:rsidP="00334FE2">
            <w:pPr>
              <w:spacing w:line="240" w:lineRule="auto"/>
              <w:jc w:val="center"/>
              <w:rPr>
                <w:i/>
              </w:rPr>
            </w:pPr>
            <w:r w:rsidRPr="00E12D71">
              <w:rPr>
                <w:i/>
              </w:rPr>
              <w:t>Wet / Dry Reduction</w:t>
            </w:r>
          </w:p>
        </w:tc>
      </w:tr>
      <w:tr w:rsidR="00334FE2" w14:paraId="57F044DD" w14:textId="77777777" w:rsidTr="00334FE2">
        <w:trPr>
          <w:trHeight w:val="360"/>
        </w:trPr>
        <w:tc>
          <w:tcPr>
            <w:tcW w:w="572" w:type="dxa"/>
            <w:vMerge w:val="restart"/>
            <w:tcBorders>
              <w:top w:val="single" w:sz="18" w:space="0" w:color="auto"/>
              <w:left w:val="single" w:sz="4" w:space="0" w:color="auto"/>
              <w:bottom w:val="nil"/>
              <w:right w:val="nil"/>
            </w:tcBorders>
            <w:textDirection w:val="btLr"/>
            <w:vAlign w:val="center"/>
          </w:tcPr>
          <w:p w14:paraId="54097E2C" w14:textId="77777777" w:rsidR="00334FE2" w:rsidRDefault="00334FE2" w:rsidP="00334FE2">
            <w:pPr>
              <w:spacing w:line="240" w:lineRule="auto"/>
              <w:ind w:left="113" w:right="113"/>
              <w:jc w:val="center"/>
            </w:pPr>
            <w:r>
              <w:t>2% RH</w:t>
            </w:r>
          </w:p>
        </w:tc>
        <w:tc>
          <w:tcPr>
            <w:tcW w:w="1258" w:type="dxa"/>
            <w:tcBorders>
              <w:top w:val="single" w:sz="18" w:space="0" w:color="auto"/>
              <w:left w:val="nil"/>
              <w:bottom w:val="nil"/>
              <w:right w:val="single" w:sz="4" w:space="0" w:color="auto"/>
            </w:tcBorders>
            <w:vAlign w:val="center"/>
          </w:tcPr>
          <w:p w14:paraId="0B3A3188" w14:textId="77777777" w:rsidR="00334FE2" w:rsidRDefault="00334FE2" w:rsidP="00334FE2">
            <w:pPr>
              <w:spacing w:line="240" w:lineRule="auto"/>
              <w:jc w:val="center"/>
            </w:pPr>
            <w:r>
              <w:t>68.9</w:t>
            </w:r>
          </w:p>
        </w:tc>
        <w:tc>
          <w:tcPr>
            <w:tcW w:w="856" w:type="dxa"/>
            <w:tcBorders>
              <w:top w:val="single" w:sz="18" w:space="0" w:color="auto"/>
              <w:left w:val="single" w:sz="4" w:space="0" w:color="auto"/>
              <w:bottom w:val="nil"/>
              <w:right w:val="nil"/>
            </w:tcBorders>
            <w:vAlign w:val="center"/>
          </w:tcPr>
          <w:p w14:paraId="528AF630" w14:textId="77777777" w:rsidR="00334FE2" w:rsidRDefault="00334FE2" w:rsidP="00334FE2">
            <w:pPr>
              <w:spacing w:line="240" w:lineRule="auto"/>
              <w:jc w:val="right"/>
            </w:pPr>
            <w:r>
              <w:t>451.68</w:t>
            </w:r>
          </w:p>
        </w:tc>
        <w:tc>
          <w:tcPr>
            <w:tcW w:w="359" w:type="dxa"/>
            <w:tcBorders>
              <w:top w:val="single" w:sz="18" w:space="0" w:color="auto"/>
              <w:left w:val="nil"/>
              <w:bottom w:val="nil"/>
              <w:right w:val="nil"/>
            </w:tcBorders>
            <w:vAlign w:val="center"/>
          </w:tcPr>
          <w:p w14:paraId="381369BA" w14:textId="77777777" w:rsidR="00334FE2" w:rsidRDefault="00334FE2" w:rsidP="00334FE2">
            <w:pPr>
              <w:spacing w:line="240" w:lineRule="auto"/>
              <w:jc w:val="center"/>
            </w:pPr>
            <w:r>
              <w:t>±</w:t>
            </w:r>
          </w:p>
        </w:tc>
        <w:tc>
          <w:tcPr>
            <w:tcW w:w="848" w:type="dxa"/>
            <w:tcBorders>
              <w:top w:val="single" w:sz="18" w:space="0" w:color="auto"/>
              <w:left w:val="nil"/>
              <w:bottom w:val="nil"/>
              <w:right w:val="single" w:sz="4" w:space="0" w:color="auto"/>
            </w:tcBorders>
            <w:vAlign w:val="center"/>
          </w:tcPr>
          <w:p w14:paraId="5BCBD9B0" w14:textId="77777777" w:rsidR="00334FE2" w:rsidRDefault="00334FE2" w:rsidP="00334FE2">
            <w:pPr>
              <w:spacing w:line="240" w:lineRule="auto"/>
              <w:jc w:val="left"/>
            </w:pPr>
            <w:r>
              <w:t>28.40</w:t>
            </w:r>
          </w:p>
        </w:tc>
        <w:tc>
          <w:tcPr>
            <w:tcW w:w="1203" w:type="dxa"/>
            <w:tcBorders>
              <w:top w:val="single" w:sz="18" w:space="0" w:color="auto"/>
              <w:left w:val="single" w:sz="4" w:space="0" w:color="auto"/>
              <w:bottom w:val="nil"/>
              <w:right w:val="single" w:sz="4" w:space="0" w:color="auto"/>
            </w:tcBorders>
            <w:vAlign w:val="center"/>
          </w:tcPr>
          <w:p w14:paraId="366B1BF7" w14:textId="77777777" w:rsidR="00334FE2" w:rsidRPr="00E12D71" w:rsidRDefault="00334FE2" w:rsidP="00334FE2">
            <w:pPr>
              <w:spacing w:line="240" w:lineRule="auto"/>
              <w:jc w:val="center"/>
              <w:rPr>
                <w:i/>
              </w:rPr>
            </w:pPr>
            <w:r>
              <w:rPr>
                <w:i/>
              </w:rPr>
              <w:t>6.4%</w:t>
            </w:r>
          </w:p>
        </w:tc>
        <w:tc>
          <w:tcPr>
            <w:tcW w:w="350" w:type="dxa"/>
            <w:tcBorders>
              <w:top w:val="nil"/>
              <w:left w:val="single" w:sz="4" w:space="0" w:color="auto"/>
              <w:bottom w:val="nil"/>
              <w:right w:val="single" w:sz="4" w:space="0" w:color="auto"/>
            </w:tcBorders>
            <w:vAlign w:val="center"/>
          </w:tcPr>
          <w:p w14:paraId="461CA334" w14:textId="77777777" w:rsidR="00334FE2" w:rsidRDefault="00334FE2" w:rsidP="00334FE2">
            <w:pPr>
              <w:spacing w:line="240" w:lineRule="auto"/>
              <w:jc w:val="center"/>
            </w:pPr>
          </w:p>
        </w:tc>
        <w:tc>
          <w:tcPr>
            <w:tcW w:w="856" w:type="dxa"/>
            <w:tcBorders>
              <w:top w:val="single" w:sz="18" w:space="0" w:color="auto"/>
              <w:left w:val="single" w:sz="4" w:space="0" w:color="auto"/>
              <w:bottom w:val="nil"/>
              <w:right w:val="nil"/>
            </w:tcBorders>
            <w:vAlign w:val="center"/>
          </w:tcPr>
          <w:p w14:paraId="53ADDEE0" w14:textId="77777777" w:rsidR="00334FE2" w:rsidRDefault="00334FE2" w:rsidP="00334FE2">
            <w:pPr>
              <w:spacing w:line="240" w:lineRule="auto"/>
              <w:jc w:val="right"/>
            </w:pPr>
            <w:r>
              <w:t>655.42</w:t>
            </w:r>
          </w:p>
        </w:tc>
        <w:tc>
          <w:tcPr>
            <w:tcW w:w="359" w:type="dxa"/>
            <w:tcBorders>
              <w:top w:val="single" w:sz="18" w:space="0" w:color="auto"/>
              <w:left w:val="nil"/>
              <w:bottom w:val="nil"/>
              <w:right w:val="nil"/>
            </w:tcBorders>
            <w:vAlign w:val="center"/>
          </w:tcPr>
          <w:p w14:paraId="504C212C" w14:textId="77777777" w:rsidR="00334FE2" w:rsidRDefault="00334FE2" w:rsidP="00334FE2">
            <w:pPr>
              <w:spacing w:line="240" w:lineRule="auto"/>
              <w:jc w:val="center"/>
            </w:pPr>
            <w:r>
              <w:t>±</w:t>
            </w:r>
          </w:p>
        </w:tc>
        <w:tc>
          <w:tcPr>
            <w:tcW w:w="848" w:type="dxa"/>
            <w:tcBorders>
              <w:top w:val="single" w:sz="18" w:space="0" w:color="auto"/>
              <w:left w:val="nil"/>
              <w:bottom w:val="nil"/>
              <w:right w:val="single" w:sz="4" w:space="0" w:color="auto"/>
            </w:tcBorders>
            <w:vAlign w:val="center"/>
          </w:tcPr>
          <w:p w14:paraId="13A1811C" w14:textId="77777777" w:rsidR="00334FE2" w:rsidRDefault="00334FE2" w:rsidP="00334FE2">
            <w:pPr>
              <w:spacing w:line="240" w:lineRule="auto"/>
              <w:jc w:val="left"/>
            </w:pPr>
            <w:r>
              <w:t>46.48</w:t>
            </w:r>
          </w:p>
        </w:tc>
        <w:tc>
          <w:tcPr>
            <w:tcW w:w="1203" w:type="dxa"/>
            <w:tcBorders>
              <w:top w:val="single" w:sz="18" w:space="0" w:color="auto"/>
              <w:left w:val="single" w:sz="4" w:space="0" w:color="auto"/>
              <w:bottom w:val="nil"/>
              <w:right w:val="single" w:sz="4" w:space="0" w:color="auto"/>
            </w:tcBorders>
            <w:vAlign w:val="center"/>
          </w:tcPr>
          <w:p w14:paraId="35E2C6C5" w14:textId="77777777" w:rsidR="00334FE2" w:rsidRPr="00E12D71" w:rsidRDefault="00334FE2" w:rsidP="00334FE2">
            <w:pPr>
              <w:spacing w:line="240" w:lineRule="auto"/>
              <w:jc w:val="center"/>
              <w:rPr>
                <w:i/>
              </w:rPr>
            </w:pPr>
            <w:r>
              <w:rPr>
                <w:i/>
              </w:rPr>
              <w:t>9.2%</w:t>
            </w:r>
          </w:p>
        </w:tc>
      </w:tr>
      <w:tr w:rsidR="00334FE2" w14:paraId="7CA9923E" w14:textId="77777777" w:rsidTr="00334FE2">
        <w:trPr>
          <w:trHeight w:val="360"/>
        </w:trPr>
        <w:tc>
          <w:tcPr>
            <w:tcW w:w="572" w:type="dxa"/>
            <w:vMerge/>
            <w:tcBorders>
              <w:top w:val="nil"/>
              <w:left w:val="single" w:sz="4" w:space="0" w:color="auto"/>
              <w:bottom w:val="nil"/>
              <w:right w:val="nil"/>
            </w:tcBorders>
            <w:vAlign w:val="center"/>
          </w:tcPr>
          <w:p w14:paraId="378EAF32" w14:textId="77777777" w:rsidR="00334FE2" w:rsidRDefault="00334FE2" w:rsidP="00334FE2">
            <w:pPr>
              <w:spacing w:line="240" w:lineRule="auto"/>
              <w:jc w:val="center"/>
            </w:pPr>
          </w:p>
        </w:tc>
        <w:tc>
          <w:tcPr>
            <w:tcW w:w="1258" w:type="dxa"/>
            <w:tcBorders>
              <w:top w:val="nil"/>
              <w:left w:val="nil"/>
              <w:bottom w:val="nil"/>
              <w:right w:val="single" w:sz="4" w:space="0" w:color="auto"/>
            </w:tcBorders>
            <w:vAlign w:val="center"/>
          </w:tcPr>
          <w:p w14:paraId="77E3F3FE" w14:textId="77777777" w:rsidR="00334FE2" w:rsidRDefault="00334FE2" w:rsidP="00334FE2">
            <w:pPr>
              <w:spacing w:line="240" w:lineRule="auto"/>
              <w:jc w:val="center"/>
            </w:pPr>
            <w:r>
              <w:t>206.8</w:t>
            </w:r>
          </w:p>
        </w:tc>
        <w:tc>
          <w:tcPr>
            <w:tcW w:w="856" w:type="dxa"/>
            <w:tcBorders>
              <w:top w:val="nil"/>
              <w:left w:val="single" w:sz="4" w:space="0" w:color="auto"/>
              <w:bottom w:val="nil"/>
              <w:right w:val="nil"/>
            </w:tcBorders>
            <w:vAlign w:val="center"/>
          </w:tcPr>
          <w:p w14:paraId="7F144783" w14:textId="77777777" w:rsidR="00334FE2" w:rsidRDefault="00334FE2" w:rsidP="00334FE2">
            <w:pPr>
              <w:spacing w:line="240" w:lineRule="auto"/>
              <w:jc w:val="right"/>
            </w:pPr>
            <w:r>
              <w:t>549.68</w:t>
            </w:r>
          </w:p>
        </w:tc>
        <w:tc>
          <w:tcPr>
            <w:tcW w:w="359" w:type="dxa"/>
            <w:tcBorders>
              <w:top w:val="nil"/>
              <w:left w:val="nil"/>
              <w:bottom w:val="nil"/>
              <w:right w:val="nil"/>
            </w:tcBorders>
            <w:vAlign w:val="center"/>
          </w:tcPr>
          <w:p w14:paraId="480870B0" w14:textId="77777777" w:rsidR="00334FE2" w:rsidRDefault="00334FE2" w:rsidP="00334FE2">
            <w:pPr>
              <w:spacing w:line="240" w:lineRule="auto"/>
              <w:jc w:val="center"/>
            </w:pPr>
            <w:r>
              <w:t>±</w:t>
            </w:r>
          </w:p>
        </w:tc>
        <w:tc>
          <w:tcPr>
            <w:tcW w:w="848" w:type="dxa"/>
            <w:tcBorders>
              <w:top w:val="nil"/>
              <w:left w:val="nil"/>
              <w:bottom w:val="nil"/>
              <w:right w:val="single" w:sz="4" w:space="0" w:color="auto"/>
            </w:tcBorders>
            <w:vAlign w:val="center"/>
          </w:tcPr>
          <w:p w14:paraId="06D7F2C6" w14:textId="77777777" w:rsidR="00334FE2" w:rsidRDefault="00334FE2" w:rsidP="00334FE2">
            <w:pPr>
              <w:spacing w:line="240" w:lineRule="auto"/>
              <w:jc w:val="left"/>
            </w:pPr>
            <w:r>
              <w:t>20.61</w:t>
            </w:r>
          </w:p>
        </w:tc>
        <w:tc>
          <w:tcPr>
            <w:tcW w:w="1203" w:type="dxa"/>
            <w:tcBorders>
              <w:top w:val="nil"/>
              <w:left w:val="single" w:sz="4" w:space="0" w:color="auto"/>
              <w:bottom w:val="nil"/>
              <w:right w:val="single" w:sz="4" w:space="0" w:color="auto"/>
            </w:tcBorders>
            <w:vAlign w:val="center"/>
          </w:tcPr>
          <w:p w14:paraId="25893973" w14:textId="77777777" w:rsidR="00334FE2" w:rsidRPr="00E12D71" w:rsidRDefault="00334FE2" w:rsidP="00334FE2">
            <w:pPr>
              <w:spacing w:line="240" w:lineRule="auto"/>
              <w:jc w:val="center"/>
              <w:rPr>
                <w:i/>
              </w:rPr>
            </w:pPr>
            <w:r>
              <w:rPr>
                <w:i/>
              </w:rPr>
              <w:t>7.9%</w:t>
            </w:r>
          </w:p>
        </w:tc>
        <w:tc>
          <w:tcPr>
            <w:tcW w:w="350" w:type="dxa"/>
            <w:tcBorders>
              <w:top w:val="nil"/>
              <w:left w:val="single" w:sz="4" w:space="0" w:color="auto"/>
              <w:bottom w:val="nil"/>
              <w:right w:val="single" w:sz="4" w:space="0" w:color="auto"/>
            </w:tcBorders>
            <w:vAlign w:val="center"/>
          </w:tcPr>
          <w:p w14:paraId="1C6DA801" w14:textId="77777777" w:rsidR="00334FE2" w:rsidRDefault="00334FE2" w:rsidP="00334FE2">
            <w:pPr>
              <w:spacing w:line="240" w:lineRule="auto"/>
              <w:jc w:val="center"/>
            </w:pPr>
          </w:p>
        </w:tc>
        <w:tc>
          <w:tcPr>
            <w:tcW w:w="856" w:type="dxa"/>
            <w:tcBorders>
              <w:top w:val="nil"/>
              <w:left w:val="single" w:sz="4" w:space="0" w:color="auto"/>
              <w:bottom w:val="nil"/>
              <w:right w:val="nil"/>
            </w:tcBorders>
            <w:vAlign w:val="center"/>
          </w:tcPr>
          <w:p w14:paraId="35D2DCD2" w14:textId="77777777" w:rsidR="00334FE2" w:rsidRDefault="00334FE2" w:rsidP="00334FE2">
            <w:pPr>
              <w:spacing w:line="240" w:lineRule="auto"/>
              <w:jc w:val="right"/>
            </w:pPr>
            <w:r>
              <w:t>725.33</w:t>
            </w:r>
          </w:p>
        </w:tc>
        <w:tc>
          <w:tcPr>
            <w:tcW w:w="359" w:type="dxa"/>
            <w:tcBorders>
              <w:top w:val="nil"/>
              <w:left w:val="nil"/>
              <w:bottom w:val="nil"/>
              <w:right w:val="nil"/>
            </w:tcBorders>
            <w:vAlign w:val="center"/>
          </w:tcPr>
          <w:p w14:paraId="756E2F70" w14:textId="77777777" w:rsidR="00334FE2" w:rsidRDefault="00334FE2" w:rsidP="00334FE2">
            <w:pPr>
              <w:spacing w:line="240" w:lineRule="auto"/>
              <w:jc w:val="center"/>
            </w:pPr>
            <w:r>
              <w:t>±</w:t>
            </w:r>
          </w:p>
        </w:tc>
        <w:tc>
          <w:tcPr>
            <w:tcW w:w="848" w:type="dxa"/>
            <w:tcBorders>
              <w:top w:val="nil"/>
              <w:left w:val="nil"/>
              <w:bottom w:val="nil"/>
              <w:right w:val="single" w:sz="4" w:space="0" w:color="auto"/>
            </w:tcBorders>
            <w:vAlign w:val="center"/>
          </w:tcPr>
          <w:p w14:paraId="1F1EE303" w14:textId="77777777" w:rsidR="00334FE2" w:rsidRDefault="00334FE2" w:rsidP="00334FE2">
            <w:pPr>
              <w:spacing w:line="240" w:lineRule="auto"/>
              <w:jc w:val="left"/>
            </w:pPr>
            <w:r>
              <w:t>29.93</w:t>
            </w:r>
          </w:p>
        </w:tc>
        <w:tc>
          <w:tcPr>
            <w:tcW w:w="1203" w:type="dxa"/>
            <w:tcBorders>
              <w:top w:val="nil"/>
              <w:left w:val="single" w:sz="4" w:space="0" w:color="auto"/>
              <w:bottom w:val="nil"/>
              <w:right w:val="single" w:sz="4" w:space="0" w:color="auto"/>
            </w:tcBorders>
            <w:vAlign w:val="center"/>
          </w:tcPr>
          <w:p w14:paraId="7EF79F5C" w14:textId="77777777" w:rsidR="00334FE2" w:rsidRPr="00E12D71" w:rsidRDefault="00334FE2" w:rsidP="00334FE2">
            <w:pPr>
              <w:spacing w:line="240" w:lineRule="auto"/>
              <w:jc w:val="center"/>
              <w:rPr>
                <w:i/>
              </w:rPr>
            </w:pPr>
            <w:r>
              <w:rPr>
                <w:i/>
              </w:rPr>
              <w:t>5.0%</w:t>
            </w:r>
          </w:p>
        </w:tc>
      </w:tr>
      <w:tr w:rsidR="00334FE2" w14:paraId="7DD74440" w14:textId="77777777" w:rsidTr="00334FE2">
        <w:trPr>
          <w:trHeight w:val="360"/>
        </w:trPr>
        <w:tc>
          <w:tcPr>
            <w:tcW w:w="572" w:type="dxa"/>
            <w:vMerge/>
            <w:tcBorders>
              <w:top w:val="nil"/>
              <w:left w:val="single" w:sz="4" w:space="0" w:color="auto"/>
              <w:bottom w:val="nil"/>
              <w:right w:val="nil"/>
            </w:tcBorders>
            <w:vAlign w:val="center"/>
          </w:tcPr>
          <w:p w14:paraId="105C3E40" w14:textId="77777777" w:rsidR="00334FE2" w:rsidRDefault="00334FE2" w:rsidP="00334FE2">
            <w:pPr>
              <w:spacing w:line="240" w:lineRule="auto"/>
              <w:jc w:val="center"/>
            </w:pPr>
          </w:p>
        </w:tc>
        <w:tc>
          <w:tcPr>
            <w:tcW w:w="1258" w:type="dxa"/>
            <w:tcBorders>
              <w:top w:val="nil"/>
              <w:left w:val="nil"/>
              <w:bottom w:val="nil"/>
              <w:right w:val="single" w:sz="4" w:space="0" w:color="auto"/>
            </w:tcBorders>
            <w:vAlign w:val="center"/>
          </w:tcPr>
          <w:p w14:paraId="3DCCDC1E" w14:textId="77777777" w:rsidR="00334FE2" w:rsidRDefault="00334FE2" w:rsidP="00334FE2">
            <w:pPr>
              <w:spacing w:line="240" w:lineRule="auto"/>
              <w:jc w:val="center"/>
            </w:pPr>
            <w:r>
              <w:t>344.7</w:t>
            </w:r>
          </w:p>
        </w:tc>
        <w:tc>
          <w:tcPr>
            <w:tcW w:w="856" w:type="dxa"/>
            <w:tcBorders>
              <w:top w:val="nil"/>
              <w:left w:val="single" w:sz="4" w:space="0" w:color="auto"/>
              <w:bottom w:val="nil"/>
              <w:right w:val="nil"/>
            </w:tcBorders>
            <w:vAlign w:val="center"/>
          </w:tcPr>
          <w:p w14:paraId="77252D95" w14:textId="77777777" w:rsidR="00334FE2" w:rsidRDefault="00334FE2" w:rsidP="00334FE2">
            <w:pPr>
              <w:spacing w:line="240" w:lineRule="auto"/>
              <w:jc w:val="right"/>
            </w:pPr>
            <w:r>
              <w:t>569.87</w:t>
            </w:r>
          </w:p>
        </w:tc>
        <w:tc>
          <w:tcPr>
            <w:tcW w:w="359" w:type="dxa"/>
            <w:tcBorders>
              <w:top w:val="nil"/>
              <w:left w:val="nil"/>
              <w:bottom w:val="nil"/>
              <w:right w:val="nil"/>
            </w:tcBorders>
            <w:vAlign w:val="center"/>
          </w:tcPr>
          <w:p w14:paraId="6852A04B" w14:textId="77777777" w:rsidR="00334FE2" w:rsidRDefault="00334FE2" w:rsidP="00334FE2">
            <w:pPr>
              <w:spacing w:line="240" w:lineRule="auto"/>
              <w:jc w:val="center"/>
            </w:pPr>
            <w:r>
              <w:t>±</w:t>
            </w:r>
          </w:p>
        </w:tc>
        <w:tc>
          <w:tcPr>
            <w:tcW w:w="848" w:type="dxa"/>
            <w:tcBorders>
              <w:top w:val="nil"/>
              <w:left w:val="nil"/>
              <w:bottom w:val="nil"/>
              <w:right w:val="single" w:sz="4" w:space="0" w:color="auto"/>
            </w:tcBorders>
            <w:vAlign w:val="center"/>
          </w:tcPr>
          <w:p w14:paraId="44DC3E21" w14:textId="77777777" w:rsidR="00334FE2" w:rsidRDefault="00334FE2" w:rsidP="00334FE2">
            <w:pPr>
              <w:spacing w:line="240" w:lineRule="auto"/>
              <w:jc w:val="left"/>
            </w:pPr>
            <w:r>
              <w:t>22.61</w:t>
            </w:r>
          </w:p>
        </w:tc>
        <w:tc>
          <w:tcPr>
            <w:tcW w:w="1203" w:type="dxa"/>
            <w:tcBorders>
              <w:top w:val="nil"/>
              <w:left w:val="single" w:sz="4" w:space="0" w:color="auto"/>
              <w:bottom w:val="nil"/>
              <w:right w:val="single" w:sz="4" w:space="0" w:color="auto"/>
            </w:tcBorders>
            <w:vAlign w:val="center"/>
          </w:tcPr>
          <w:p w14:paraId="50484C82" w14:textId="77777777" w:rsidR="00334FE2" w:rsidRPr="00E12D71" w:rsidRDefault="00334FE2" w:rsidP="00334FE2">
            <w:pPr>
              <w:spacing w:line="240" w:lineRule="auto"/>
              <w:jc w:val="center"/>
              <w:rPr>
                <w:i/>
              </w:rPr>
            </w:pPr>
            <w:r>
              <w:rPr>
                <w:i/>
              </w:rPr>
              <w:t>-0.2%</w:t>
            </w:r>
          </w:p>
        </w:tc>
        <w:tc>
          <w:tcPr>
            <w:tcW w:w="350" w:type="dxa"/>
            <w:tcBorders>
              <w:top w:val="nil"/>
              <w:left w:val="single" w:sz="4" w:space="0" w:color="auto"/>
              <w:bottom w:val="nil"/>
              <w:right w:val="single" w:sz="4" w:space="0" w:color="auto"/>
            </w:tcBorders>
            <w:vAlign w:val="center"/>
          </w:tcPr>
          <w:p w14:paraId="00ABECE0" w14:textId="77777777" w:rsidR="00334FE2" w:rsidRDefault="00334FE2" w:rsidP="00334FE2">
            <w:pPr>
              <w:spacing w:line="240" w:lineRule="auto"/>
              <w:jc w:val="center"/>
            </w:pPr>
          </w:p>
        </w:tc>
        <w:tc>
          <w:tcPr>
            <w:tcW w:w="856" w:type="dxa"/>
            <w:tcBorders>
              <w:top w:val="nil"/>
              <w:left w:val="single" w:sz="4" w:space="0" w:color="auto"/>
              <w:bottom w:val="nil"/>
              <w:right w:val="nil"/>
            </w:tcBorders>
            <w:vAlign w:val="center"/>
          </w:tcPr>
          <w:p w14:paraId="5EAAF217" w14:textId="77777777" w:rsidR="00334FE2" w:rsidRDefault="00334FE2" w:rsidP="00334FE2">
            <w:pPr>
              <w:spacing w:line="240" w:lineRule="auto"/>
              <w:jc w:val="right"/>
            </w:pPr>
            <w:r>
              <w:t>753.29</w:t>
            </w:r>
          </w:p>
        </w:tc>
        <w:tc>
          <w:tcPr>
            <w:tcW w:w="359" w:type="dxa"/>
            <w:tcBorders>
              <w:top w:val="nil"/>
              <w:left w:val="nil"/>
              <w:bottom w:val="nil"/>
              <w:right w:val="nil"/>
            </w:tcBorders>
            <w:vAlign w:val="center"/>
          </w:tcPr>
          <w:p w14:paraId="5F163658" w14:textId="77777777" w:rsidR="00334FE2" w:rsidRDefault="00334FE2" w:rsidP="00334FE2">
            <w:pPr>
              <w:spacing w:line="240" w:lineRule="auto"/>
              <w:jc w:val="center"/>
            </w:pPr>
            <w:r>
              <w:t>±</w:t>
            </w:r>
          </w:p>
        </w:tc>
        <w:tc>
          <w:tcPr>
            <w:tcW w:w="848" w:type="dxa"/>
            <w:tcBorders>
              <w:top w:val="nil"/>
              <w:left w:val="nil"/>
              <w:bottom w:val="nil"/>
              <w:right w:val="single" w:sz="4" w:space="0" w:color="auto"/>
            </w:tcBorders>
            <w:vAlign w:val="center"/>
          </w:tcPr>
          <w:p w14:paraId="722FB90A" w14:textId="77777777" w:rsidR="00334FE2" w:rsidRDefault="00334FE2" w:rsidP="00334FE2">
            <w:pPr>
              <w:spacing w:line="240" w:lineRule="auto"/>
              <w:jc w:val="left"/>
            </w:pPr>
            <w:r>
              <w:t>37.82</w:t>
            </w:r>
          </w:p>
        </w:tc>
        <w:tc>
          <w:tcPr>
            <w:tcW w:w="1203" w:type="dxa"/>
            <w:tcBorders>
              <w:top w:val="nil"/>
              <w:left w:val="single" w:sz="4" w:space="0" w:color="auto"/>
              <w:bottom w:val="nil"/>
              <w:right w:val="single" w:sz="4" w:space="0" w:color="auto"/>
            </w:tcBorders>
            <w:vAlign w:val="center"/>
          </w:tcPr>
          <w:p w14:paraId="2BDAA421" w14:textId="77777777" w:rsidR="00334FE2" w:rsidRPr="00E12D71" w:rsidRDefault="00334FE2" w:rsidP="00334FE2">
            <w:pPr>
              <w:spacing w:line="240" w:lineRule="auto"/>
              <w:jc w:val="center"/>
              <w:rPr>
                <w:i/>
              </w:rPr>
            </w:pPr>
            <w:r>
              <w:rPr>
                <w:i/>
              </w:rPr>
              <w:t>5.6%</w:t>
            </w:r>
          </w:p>
        </w:tc>
      </w:tr>
      <w:tr w:rsidR="00334FE2" w14:paraId="12ED95D6" w14:textId="77777777" w:rsidTr="00334FE2">
        <w:trPr>
          <w:trHeight w:val="360"/>
        </w:trPr>
        <w:tc>
          <w:tcPr>
            <w:tcW w:w="572" w:type="dxa"/>
            <w:vMerge/>
            <w:tcBorders>
              <w:top w:val="nil"/>
              <w:left w:val="single" w:sz="4" w:space="0" w:color="auto"/>
              <w:bottom w:val="single" w:sz="4" w:space="0" w:color="auto"/>
              <w:right w:val="nil"/>
            </w:tcBorders>
            <w:vAlign w:val="center"/>
          </w:tcPr>
          <w:p w14:paraId="46624948" w14:textId="77777777" w:rsidR="00334FE2" w:rsidRDefault="00334FE2" w:rsidP="00334FE2">
            <w:pPr>
              <w:spacing w:line="240" w:lineRule="auto"/>
              <w:jc w:val="center"/>
            </w:pPr>
          </w:p>
        </w:tc>
        <w:tc>
          <w:tcPr>
            <w:tcW w:w="1258" w:type="dxa"/>
            <w:tcBorders>
              <w:top w:val="nil"/>
              <w:left w:val="nil"/>
              <w:bottom w:val="single" w:sz="4" w:space="0" w:color="auto"/>
              <w:right w:val="single" w:sz="4" w:space="0" w:color="auto"/>
            </w:tcBorders>
            <w:vAlign w:val="center"/>
          </w:tcPr>
          <w:p w14:paraId="43A216B6" w14:textId="77777777" w:rsidR="00334FE2" w:rsidRDefault="00334FE2" w:rsidP="00334FE2">
            <w:pPr>
              <w:spacing w:line="240" w:lineRule="auto"/>
              <w:jc w:val="center"/>
            </w:pPr>
            <w:r>
              <w:t>482.6</w:t>
            </w:r>
          </w:p>
        </w:tc>
        <w:tc>
          <w:tcPr>
            <w:tcW w:w="856" w:type="dxa"/>
            <w:tcBorders>
              <w:top w:val="nil"/>
              <w:left w:val="single" w:sz="4" w:space="0" w:color="auto"/>
              <w:bottom w:val="single" w:sz="4" w:space="0" w:color="auto"/>
              <w:right w:val="nil"/>
            </w:tcBorders>
            <w:vAlign w:val="center"/>
          </w:tcPr>
          <w:p w14:paraId="3C4E2FDD" w14:textId="77777777" w:rsidR="00334FE2" w:rsidRDefault="00334FE2" w:rsidP="00334FE2">
            <w:pPr>
              <w:spacing w:line="240" w:lineRule="auto"/>
              <w:jc w:val="right"/>
            </w:pPr>
            <w:r>
              <w:t>588.28</w:t>
            </w:r>
          </w:p>
        </w:tc>
        <w:tc>
          <w:tcPr>
            <w:tcW w:w="359" w:type="dxa"/>
            <w:tcBorders>
              <w:top w:val="nil"/>
              <w:left w:val="nil"/>
              <w:bottom w:val="single" w:sz="4" w:space="0" w:color="auto"/>
              <w:right w:val="nil"/>
            </w:tcBorders>
            <w:vAlign w:val="center"/>
          </w:tcPr>
          <w:p w14:paraId="1E8F12C5" w14:textId="77777777" w:rsidR="00334FE2" w:rsidRDefault="00334FE2" w:rsidP="00334FE2">
            <w:pPr>
              <w:spacing w:line="240" w:lineRule="auto"/>
              <w:jc w:val="center"/>
            </w:pPr>
            <w:r>
              <w:t>±</w:t>
            </w:r>
          </w:p>
        </w:tc>
        <w:tc>
          <w:tcPr>
            <w:tcW w:w="848" w:type="dxa"/>
            <w:tcBorders>
              <w:top w:val="nil"/>
              <w:left w:val="nil"/>
              <w:bottom w:val="single" w:sz="4" w:space="0" w:color="auto"/>
              <w:right w:val="single" w:sz="4" w:space="0" w:color="auto"/>
            </w:tcBorders>
            <w:vAlign w:val="center"/>
          </w:tcPr>
          <w:p w14:paraId="71CFCF1A" w14:textId="77777777" w:rsidR="00334FE2" w:rsidRDefault="00334FE2" w:rsidP="00334FE2">
            <w:pPr>
              <w:spacing w:line="240" w:lineRule="auto"/>
              <w:jc w:val="left"/>
            </w:pPr>
            <w:r>
              <w:t>16.08</w:t>
            </w:r>
          </w:p>
        </w:tc>
        <w:tc>
          <w:tcPr>
            <w:tcW w:w="1203" w:type="dxa"/>
            <w:tcBorders>
              <w:top w:val="nil"/>
              <w:left w:val="single" w:sz="4" w:space="0" w:color="auto"/>
              <w:bottom w:val="single" w:sz="4" w:space="0" w:color="auto"/>
              <w:right w:val="single" w:sz="4" w:space="0" w:color="auto"/>
            </w:tcBorders>
            <w:vAlign w:val="center"/>
          </w:tcPr>
          <w:p w14:paraId="4C4919D9" w14:textId="77777777" w:rsidR="00334FE2" w:rsidRPr="00E12D71" w:rsidRDefault="00334FE2" w:rsidP="00334FE2">
            <w:pPr>
              <w:spacing w:line="240" w:lineRule="auto"/>
              <w:jc w:val="center"/>
              <w:rPr>
                <w:i/>
              </w:rPr>
            </w:pPr>
            <w:r>
              <w:rPr>
                <w:i/>
              </w:rPr>
              <w:t>2.4%</w:t>
            </w:r>
          </w:p>
        </w:tc>
        <w:tc>
          <w:tcPr>
            <w:tcW w:w="350" w:type="dxa"/>
            <w:tcBorders>
              <w:top w:val="nil"/>
              <w:left w:val="single" w:sz="4" w:space="0" w:color="auto"/>
              <w:bottom w:val="nil"/>
              <w:right w:val="single" w:sz="4" w:space="0" w:color="auto"/>
            </w:tcBorders>
            <w:vAlign w:val="center"/>
          </w:tcPr>
          <w:p w14:paraId="2B7167FC" w14:textId="77777777" w:rsidR="00334FE2" w:rsidRDefault="00334FE2" w:rsidP="00334FE2">
            <w:pPr>
              <w:spacing w:line="240" w:lineRule="auto"/>
              <w:jc w:val="center"/>
            </w:pPr>
          </w:p>
        </w:tc>
        <w:tc>
          <w:tcPr>
            <w:tcW w:w="856" w:type="dxa"/>
            <w:tcBorders>
              <w:top w:val="nil"/>
              <w:left w:val="single" w:sz="4" w:space="0" w:color="auto"/>
              <w:bottom w:val="single" w:sz="4" w:space="0" w:color="auto"/>
              <w:right w:val="nil"/>
            </w:tcBorders>
            <w:vAlign w:val="center"/>
          </w:tcPr>
          <w:p w14:paraId="38AEF355" w14:textId="77777777" w:rsidR="00334FE2" w:rsidRDefault="00334FE2" w:rsidP="00334FE2">
            <w:pPr>
              <w:spacing w:line="240" w:lineRule="auto"/>
              <w:jc w:val="right"/>
            </w:pPr>
            <w:r>
              <w:t>827.44</w:t>
            </w:r>
          </w:p>
        </w:tc>
        <w:tc>
          <w:tcPr>
            <w:tcW w:w="359" w:type="dxa"/>
            <w:tcBorders>
              <w:top w:val="nil"/>
              <w:left w:val="nil"/>
              <w:bottom w:val="single" w:sz="4" w:space="0" w:color="auto"/>
              <w:right w:val="nil"/>
            </w:tcBorders>
            <w:vAlign w:val="center"/>
          </w:tcPr>
          <w:p w14:paraId="2AB9D3FB" w14:textId="77777777" w:rsidR="00334FE2" w:rsidRDefault="00334FE2" w:rsidP="00334FE2">
            <w:pPr>
              <w:spacing w:line="240" w:lineRule="auto"/>
              <w:jc w:val="center"/>
            </w:pPr>
            <w:r>
              <w:t>±</w:t>
            </w:r>
          </w:p>
        </w:tc>
        <w:tc>
          <w:tcPr>
            <w:tcW w:w="848" w:type="dxa"/>
            <w:tcBorders>
              <w:top w:val="nil"/>
              <w:left w:val="nil"/>
              <w:bottom w:val="single" w:sz="4" w:space="0" w:color="auto"/>
              <w:right w:val="single" w:sz="4" w:space="0" w:color="auto"/>
            </w:tcBorders>
            <w:vAlign w:val="center"/>
          </w:tcPr>
          <w:p w14:paraId="3605FE54" w14:textId="77777777" w:rsidR="00334FE2" w:rsidRDefault="00334FE2" w:rsidP="00334FE2">
            <w:pPr>
              <w:spacing w:line="240" w:lineRule="auto"/>
              <w:jc w:val="left"/>
            </w:pPr>
            <w:r>
              <w:t>38.26</w:t>
            </w:r>
          </w:p>
        </w:tc>
        <w:tc>
          <w:tcPr>
            <w:tcW w:w="1203" w:type="dxa"/>
            <w:tcBorders>
              <w:top w:val="nil"/>
              <w:left w:val="single" w:sz="4" w:space="0" w:color="auto"/>
              <w:bottom w:val="single" w:sz="4" w:space="0" w:color="auto"/>
              <w:right w:val="single" w:sz="4" w:space="0" w:color="auto"/>
            </w:tcBorders>
            <w:vAlign w:val="center"/>
          </w:tcPr>
          <w:p w14:paraId="1EFAB48F" w14:textId="77777777" w:rsidR="00334FE2" w:rsidRPr="00E12D71" w:rsidRDefault="00334FE2" w:rsidP="00334FE2">
            <w:pPr>
              <w:spacing w:line="240" w:lineRule="auto"/>
              <w:jc w:val="center"/>
              <w:rPr>
                <w:i/>
              </w:rPr>
            </w:pPr>
            <w:r>
              <w:rPr>
                <w:i/>
              </w:rPr>
              <w:t>-1.1%</w:t>
            </w:r>
          </w:p>
        </w:tc>
      </w:tr>
      <w:tr w:rsidR="00334FE2" w14:paraId="0F6F1F9C" w14:textId="77777777" w:rsidTr="00334FE2">
        <w:trPr>
          <w:trHeight w:val="360"/>
        </w:trPr>
        <w:tc>
          <w:tcPr>
            <w:tcW w:w="572" w:type="dxa"/>
            <w:vMerge w:val="restart"/>
            <w:tcBorders>
              <w:top w:val="single" w:sz="4" w:space="0" w:color="auto"/>
              <w:left w:val="single" w:sz="4" w:space="0" w:color="auto"/>
              <w:bottom w:val="nil"/>
              <w:right w:val="nil"/>
            </w:tcBorders>
            <w:textDirection w:val="btLr"/>
            <w:vAlign w:val="center"/>
          </w:tcPr>
          <w:p w14:paraId="3F99FBF3" w14:textId="77777777" w:rsidR="00334FE2" w:rsidRDefault="00334FE2" w:rsidP="00334FE2">
            <w:pPr>
              <w:spacing w:line="240" w:lineRule="auto"/>
              <w:ind w:left="113" w:right="113"/>
              <w:jc w:val="center"/>
            </w:pPr>
            <w:r>
              <w:t>40% RH</w:t>
            </w:r>
          </w:p>
        </w:tc>
        <w:tc>
          <w:tcPr>
            <w:tcW w:w="1258" w:type="dxa"/>
            <w:tcBorders>
              <w:top w:val="single" w:sz="4" w:space="0" w:color="auto"/>
              <w:left w:val="nil"/>
              <w:bottom w:val="nil"/>
              <w:right w:val="single" w:sz="4" w:space="0" w:color="auto"/>
            </w:tcBorders>
            <w:vAlign w:val="center"/>
          </w:tcPr>
          <w:p w14:paraId="11635E84" w14:textId="77777777" w:rsidR="00334FE2" w:rsidRDefault="00334FE2" w:rsidP="00334FE2">
            <w:pPr>
              <w:spacing w:line="240" w:lineRule="auto"/>
              <w:jc w:val="center"/>
            </w:pPr>
            <w:r>
              <w:t>68.9</w:t>
            </w:r>
          </w:p>
        </w:tc>
        <w:tc>
          <w:tcPr>
            <w:tcW w:w="856" w:type="dxa"/>
            <w:tcBorders>
              <w:top w:val="single" w:sz="4" w:space="0" w:color="auto"/>
              <w:left w:val="single" w:sz="4" w:space="0" w:color="auto"/>
              <w:bottom w:val="nil"/>
              <w:right w:val="nil"/>
            </w:tcBorders>
            <w:vAlign w:val="center"/>
          </w:tcPr>
          <w:p w14:paraId="2C2D9B23" w14:textId="77777777" w:rsidR="00334FE2" w:rsidRDefault="00334FE2" w:rsidP="00334FE2">
            <w:pPr>
              <w:spacing w:line="240" w:lineRule="auto"/>
              <w:jc w:val="right"/>
            </w:pPr>
            <w:r>
              <w:t>427.11</w:t>
            </w:r>
          </w:p>
        </w:tc>
        <w:tc>
          <w:tcPr>
            <w:tcW w:w="359" w:type="dxa"/>
            <w:tcBorders>
              <w:top w:val="single" w:sz="4" w:space="0" w:color="auto"/>
              <w:left w:val="nil"/>
              <w:bottom w:val="nil"/>
              <w:right w:val="nil"/>
            </w:tcBorders>
            <w:vAlign w:val="center"/>
          </w:tcPr>
          <w:p w14:paraId="6CA5557E" w14:textId="77777777" w:rsidR="00334FE2" w:rsidRDefault="00334FE2" w:rsidP="00334FE2">
            <w:pPr>
              <w:spacing w:line="240" w:lineRule="auto"/>
              <w:jc w:val="center"/>
            </w:pPr>
            <w:r>
              <w:t>±</w:t>
            </w:r>
          </w:p>
        </w:tc>
        <w:tc>
          <w:tcPr>
            <w:tcW w:w="848" w:type="dxa"/>
            <w:tcBorders>
              <w:top w:val="single" w:sz="4" w:space="0" w:color="auto"/>
              <w:left w:val="nil"/>
              <w:bottom w:val="nil"/>
              <w:right w:val="single" w:sz="4" w:space="0" w:color="auto"/>
            </w:tcBorders>
            <w:vAlign w:val="center"/>
          </w:tcPr>
          <w:p w14:paraId="1DCDC36D" w14:textId="77777777" w:rsidR="00334FE2" w:rsidRDefault="00334FE2" w:rsidP="00334FE2">
            <w:pPr>
              <w:spacing w:line="240" w:lineRule="auto"/>
              <w:jc w:val="left"/>
            </w:pPr>
            <w:r>
              <w:t>18.23</w:t>
            </w:r>
          </w:p>
        </w:tc>
        <w:tc>
          <w:tcPr>
            <w:tcW w:w="1203" w:type="dxa"/>
            <w:tcBorders>
              <w:top w:val="single" w:sz="4" w:space="0" w:color="auto"/>
              <w:left w:val="single" w:sz="4" w:space="0" w:color="auto"/>
              <w:bottom w:val="nil"/>
              <w:right w:val="single" w:sz="4" w:space="0" w:color="auto"/>
            </w:tcBorders>
            <w:vAlign w:val="center"/>
          </w:tcPr>
          <w:p w14:paraId="79CF01CA" w14:textId="77777777" w:rsidR="00334FE2" w:rsidRPr="00E12D71" w:rsidRDefault="00334FE2" w:rsidP="00334FE2">
            <w:pPr>
              <w:spacing w:line="240" w:lineRule="auto"/>
              <w:jc w:val="center"/>
              <w:rPr>
                <w:i/>
              </w:rPr>
            </w:pPr>
            <w:r>
              <w:rPr>
                <w:i/>
              </w:rPr>
              <w:t>7.8%</w:t>
            </w:r>
          </w:p>
        </w:tc>
        <w:tc>
          <w:tcPr>
            <w:tcW w:w="350" w:type="dxa"/>
            <w:tcBorders>
              <w:top w:val="nil"/>
              <w:left w:val="single" w:sz="4" w:space="0" w:color="auto"/>
              <w:bottom w:val="nil"/>
              <w:right w:val="single" w:sz="4" w:space="0" w:color="auto"/>
            </w:tcBorders>
            <w:vAlign w:val="center"/>
          </w:tcPr>
          <w:p w14:paraId="15849061" w14:textId="77777777" w:rsidR="00334FE2" w:rsidRDefault="00334FE2" w:rsidP="00334FE2">
            <w:pPr>
              <w:spacing w:line="240" w:lineRule="auto"/>
              <w:jc w:val="center"/>
            </w:pPr>
          </w:p>
        </w:tc>
        <w:tc>
          <w:tcPr>
            <w:tcW w:w="856" w:type="dxa"/>
            <w:tcBorders>
              <w:top w:val="single" w:sz="4" w:space="0" w:color="auto"/>
              <w:left w:val="single" w:sz="4" w:space="0" w:color="auto"/>
              <w:bottom w:val="nil"/>
              <w:right w:val="nil"/>
            </w:tcBorders>
            <w:vAlign w:val="center"/>
          </w:tcPr>
          <w:p w14:paraId="19A3A598" w14:textId="77777777" w:rsidR="00334FE2" w:rsidRDefault="00334FE2" w:rsidP="00334FE2">
            <w:pPr>
              <w:spacing w:line="240" w:lineRule="auto"/>
              <w:jc w:val="right"/>
            </w:pPr>
            <w:r>
              <w:t>616.38</w:t>
            </w:r>
          </w:p>
        </w:tc>
        <w:tc>
          <w:tcPr>
            <w:tcW w:w="359" w:type="dxa"/>
            <w:tcBorders>
              <w:top w:val="single" w:sz="4" w:space="0" w:color="auto"/>
              <w:left w:val="nil"/>
              <w:bottom w:val="nil"/>
              <w:right w:val="nil"/>
            </w:tcBorders>
            <w:vAlign w:val="center"/>
          </w:tcPr>
          <w:p w14:paraId="36146F38" w14:textId="77777777" w:rsidR="00334FE2" w:rsidRDefault="00334FE2" w:rsidP="00334FE2">
            <w:pPr>
              <w:spacing w:line="240" w:lineRule="auto"/>
              <w:jc w:val="center"/>
            </w:pPr>
            <w:r>
              <w:t>±</w:t>
            </w:r>
          </w:p>
        </w:tc>
        <w:tc>
          <w:tcPr>
            <w:tcW w:w="848" w:type="dxa"/>
            <w:tcBorders>
              <w:top w:val="single" w:sz="4" w:space="0" w:color="auto"/>
              <w:left w:val="nil"/>
              <w:bottom w:val="nil"/>
              <w:right w:val="single" w:sz="4" w:space="0" w:color="auto"/>
            </w:tcBorders>
            <w:vAlign w:val="center"/>
          </w:tcPr>
          <w:p w14:paraId="48FB7742" w14:textId="77777777" w:rsidR="00334FE2" w:rsidRDefault="00334FE2" w:rsidP="00334FE2">
            <w:pPr>
              <w:spacing w:line="240" w:lineRule="auto"/>
              <w:jc w:val="left"/>
            </w:pPr>
            <w:r>
              <w:t>55.57</w:t>
            </w:r>
          </w:p>
        </w:tc>
        <w:tc>
          <w:tcPr>
            <w:tcW w:w="1203" w:type="dxa"/>
            <w:tcBorders>
              <w:top w:val="single" w:sz="4" w:space="0" w:color="auto"/>
              <w:left w:val="single" w:sz="4" w:space="0" w:color="auto"/>
              <w:bottom w:val="nil"/>
              <w:right w:val="single" w:sz="4" w:space="0" w:color="auto"/>
            </w:tcBorders>
            <w:vAlign w:val="center"/>
          </w:tcPr>
          <w:p w14:paraId="721AF67D" w14:textId="77777777" w:rsidR="00334FE2" w:rsidRPr="00E12D71" w:rsidRDefault="00334FE2" w:rsidP="00334FE2">
            <w:pPr>
              <w:spacing w:line="240" w:lineRule="auto"/>
              <w:jc w:val="center"/>
              <w:rPr>
                <w:i/>
              </w:rPr>
            </w:pPr>
            <w:r>
              <w:rPr>
                <w:i/>
              </w:rPr>
              <w:t>8.1%</w:t>
            </w:r>
          </w:p>
        </w:tc>
      </w:tr>
      <w:tr w:rsidR="00334FE2" w14:paraId="3BF5F5F3" w14:textId="77777777" w:rsidTr="00334FE2">
        <w:trPr>
          <w:trHeight w:val="360"/>
        </w:trPr>
        <w:tc>
          <w:tcPr>
            <w:tcW w:w="572" w:type="dxa"/>
            <w:vMerge/>
            <w:tcBorders>
              <w:top w:val="nil"/>
              <w:left w:val="single" w:sz="4" w:space="0" w:color="auto"/>
              <w:bottom w:val="nil"/>
              <w:right w:val="nil"/>
            </w:tcBorders>
            <w:textDirection w:val="btLr"/>
            <w:vAlign w:val="center"/>
          </w:tcPr>
          <w:p w14:paraId="351C6370" w14:textId="77777777" w:rsidR="00334FE2" w:rsidRDefault="00334FE2" w:rsidP="00334FE2">
            <w:pPr>
              <w:spacing w:line="240" w:lineRule="auto"/>
              <w:ind w:left="113" w:right="113"/>
              <w:jc w:val="center"/>
            </w:pPr>
          </w:p>
        </w:tc>
        <w:tc>
          <w:tcPr>
            <w:tcW w:w="1258" w:type="dxa"/>
            <w:tcBorders>
              <w:top w:val="nil"/>
              <w:left w:val="nil"/>
              <w:bottom w:val="nil"/>
              <w:right w:val="single" w:sz="4" w:space="0" w:color="auto"/>
            </w:tcBorders>
            <w:vAlign w:val="center"/>
          </w:tcPr>
          <w:p w14:paraId="1D1F8945" w14:textId="77777777" w:rsidR="00334FE2" w:rsidRDefault="00334FE2" w:rsidP="00334FE2">
            <w:pPr>
              <w:spacing w:line="240" w:lineRule="auto"/>
              <w:jc w:val="center"/>
            </w:pPr>
            <w:r>
              <w:t>206.8</w:t>
            </w:r>
          </w:p>
        </w:tc>
        <w:tc>
          <w:tcPr>
            <w:tcW w:w="856" w:type="dxa"/>
            <w:tcBorders>
              <w:top w:val="nil"/>
              <w:left w:val="single" w:sz="4" w:space="0" w:color="auto"/>
              <w:bottom w:val="nil"/>
              <w:right w:val="nil"/>
            </w:tcBorders>
            <w:vAlign w:val="center"/>
          </w:tcPr>
          <w:p w14:paraId="5DE1DDC7" w14:textId="77777777" w:rsidR="00334FE2" w:rsidRDefault="00334FE2" w:rsidP="00334FE2">
            <w:pPr>
              <w:spacing w:line="240" w:lineRule="auto"/>
              <w:jc w:val="right"/>
            </w:pPr>
            <w:r>
              <w:t>512.82</w:t>
            </w:r>
          </w:p>
        </w:tc>
        <w:tc>
          <w:tcPr>
            <w:tcW w:w="359" w:type="dxa"/>
            <w:tcBorders>
              <w:top w:val="nil"/>
              <w:left w:val="nil"/>
              <w:bottom w:val="nil"/>
              <w:right w:val="nil"/>
            </w:tcBorders>
            <w:vAlign w:val="center"/>
          </w:tcPr>
          <w:p w14:paraId="3D060099" w14:textId="77777777" w:rsidR="00334FE2" w:rsidRDefault="00334FE2" w:rsidP="00334FE2">
            <w:pPr>
              <w:spacing w:line="240" w:lineRule="auto"/>
              <w:jc w:val="center"/>
            </w:pPr>
            <w:r>
              <w:t>±</w:t>
            </w:r>
          </w:p>
        </w:tc>
        <w:tc>
          <w:tcPr>
            <w:tcW w:w="848" w:type="dxa"/>
            <w:tcBorders>
              <w:top w:val="nil"/>
              <w:left w:val="nil"/>
              <w:bottom w:val="nil"/>
              <w:right w:val="single" w:sz="4" w:space="0" w:color="auto"/>
            </w:tcBorders>
            <w:vAlign w:val="center"/>
          </w:tcPr>
          <w:p w14:paraId="2A51B73D" w14:textId="77777777" w:rsidR="00334FE2" w:rsidRDefault="00334FE2" w:rsidP="00334FE2">
            <w:pPr>
              <w:spacing w:line="240" w:lineRule="auto"/>
              <w:jc w:val="left"/>
            </w:pPr>
            <w:r>
              <w:t>22.25</w:t>
            </w:r>
          </w:p>
        </w:tc>
        <w:tc>
          <w:tcPr>
            <w:tcW w:w="1203" w:type="dxa"/>
            <w:tcBorders>
              <w:top w:val="nil"/>
              <w:left w:val="single" w:sz="4" w:space="0" w:color="auto"/>
              <w:bottom w:val="nil"/>
              <w:right w:val="single" w:sz="4" w:space="0" w:color="auto"/>
            </w:tcBorders>
            <w:vAlign w:val="center"/>
          </w:tcPr>
          <w:p w14:paraId="1BEF67D8" w14:textId="77777777" w:rsidR="00334FE2" w:rsidRPr="00E12D71" w:rsidRDefault="00334FE2" w:rsidP="00334FE2">
            <w:pPr>
              <w:spacing w:line="240" w:lineRule="auto"/>
              <w:jc w:val="center"/>
              <w:rPr>
                <w:i/>
              </w:rPr>
            </w:pPr>
            <w:r>
              <w:rPr>
                <w:i/>
              </w:rPr>
              <w:t>4.5%</w:t>
            </w:r>
          </w:p>
        </w:tc>
        <w:tc>
          <w:tcPr>
            <w:tcW w:w="350" w:type="dxa"/>
            <w:tcBorders>
              <w:top w:val="nil"/>
              <w:left w:val="single" w:sz="4" w:space="0" w:color="auto"/>
              <w:bottom w:val="nil"/>
              <w:right w:val="single" w:sz="4" w:space="0" w:color="auto"/>
            </w:tcBorders>
            <w:vAlign w:val="center"/>
          </w:tcPr>
          <w:p w14:paraId="4A6F844A" w14:textId="77777777" w:rsidR="00334FE2" w:rsidRDefault="00334FE2" w:rsidP="00334FE2">
            <w:pPr>
              <w:spacing w:line="240" w:lineRule="auto"/>
              <w:jc w:val="center"/>
            </w:pPr>
          </w:p>
        </w:tc>
        <w:tc>
          <w:tcPr>
            <w:tcW w:w="856" w:type="dxa"/>
            <w:tcBorders>
              <w:top w:val="nil"/>
              <w:left w:val="single" w:sz="4" w:space="0" w:color="auto"/>
              <w:bottom w:val="nil"/>
              <w:right w:val="nil"/>
            </w:tcBorders>
            <w:vAlign w:val="center"/>
          </w:tcPr>
          <w:p w14:paraId="3332D4EA" w14:textId="77777777" w:rsidR="00334FE2" w:rsidRDefault="00334FE2" w:rsidP="00334FE2">
            <w:pPr>
              <w:spacing w:line="240" w:lineRule="auto"/>
              <w:jc w:val="right"/>
            </w:pPr>
            <w:r>
              <w:t>771.03</w:t>
            </w:r>
          </w:p>
        </w:tc>
        <w:tc>
          <w:tcPr>
            <w:tcW w:w="359" w:type="dxa"/>
            <w:tcBorders>
              <w:top w:val="nil"/>
              <w:left w:val="nil"/>
              <w:bottom w:val="nil"/>
              <w:right w:val="nil"/>
            </w:tcBorders>
            <w:vAlign w:val="center"/>
          </w:tcPr>
          <w:p w14:paraId="401EDA2B" w14:textId="77777777" w:rsidR="00334FE2" w:rsidRDefault="00334FE2" w:rsidP="00334FE2">
            <w:pPr>
              <w:spacing w:line="240" w:lineRule="auto"/>
              <w:jc w:val="center"/>
            </w:pPr>
            <w:r>
              <w:t>±</w:t>
            </w:r>
          </w:p>
        </w:tc>
        <w:tc>
          <w:tcPr>
            <w:tcW w:w="848" w:type="dxa"/>
            <w:tcBorders>
              <w:top w:val="nil"/>
              <w:left w:val="nil"/>
              <w:bottom w:val="nil"/>
              <w:right w:val="single" w:sz="4" w:space="0" w:color="auto"/>
            </w:tcBorders>
            <w:vAlign w:val="center"/>
          </w:tcPr>
          <w:p w14:paraId="7AA47032" w14:textId="77777777" w:rsidR="00334FE2" w:rsidRDefault="00334FE2" w:rsidP="00334FE2">
            <w:pPr>
              <w:spacing w:line="240" w:lineRule="auto"/>
              <w:jc w:val="left"/>
            </w:pPr>
            <w:r>
              <w:t>28.84</w:t>
            </w:r>
          </w:p>
        </w:tc>
        <w:tc>
          <w:tcPr>
            <w:tcW w:w="1203" w:type="dxa"/>
            <w:tcBorders>
              <w:top w:val="nil"/>
              <w:left w:val="single" w:sz="4" w:space="0" w:color="auto"/>
              <w:bottom w:val="nil"/>
              <w:right w:val="single" w:sz="4" w:space="0" w:color="auto"/>
            </w:tcBorders>
            <w:vAlign w:val="center"/>
          </w:tcPr>
          <w:p w14:paraId="1171206F" w14:textId="77777777" w:rsidR="00334FE2" w:rsidRPr="00E12D71" w:rsidRDefault="00334FE2" w:rsidP="00334FE2">
            <w:pPr>
              <w:spacing w:line="240" w:lineRule="auto"/>
              <w:jc w:val="center"/>
              <w:rPr>
                <w:i/>
              </w:rPr>
            </w:pPr>
            <w:r>
              <w:rPr>
                <w:i/>
              </w:rPr>
              <w:t>11.2%</w:t>
            </w:r>
          </w:p>
        </w:tc>
      </w:tr>
      <w:tr w:rsidR="00334FE2" w14:paraId="6ACE3051" w14:textId="77777777" w:rsidTr="00334FE2">
        <w:trPr>
          <w:trHeight w:val="360"/>
        </w:trPr>
        <w:tc>
          <w:tcPr>
            <w:tcW w:w="572" w:type="dxa"/>
            <w:vMerge/>
            <w:tcBorders>
              <w:top w:val="nil"/>
              <w:left w:val="single" w:sz="4" w:space="0" w:color="auto"/>
              <w:bottom w:val="nil"/>
              <w:right w:val="nil"/>
            </w:tcBorders>
            <w:textDirection w:val="btLr"/>
            <w:vAlign w:val="center"/>
          </w:tcPr>
          <w:p w14:paraId="65E94AE2" w14:textId="77777777" w:rsidR="00334FE2" w:rsidRDefault="00334FE2" w:rsidP="00334FE2">
            <w:pPr>
              <w:spacing w:line="240" w:lineRule="auto"/>
              <w:ind w:left="113" w:right="113"/>
              <w:jc w:val="center"/>
            </w:pPr>
          </w:p>
        </w:tc>
        <w:tc>
          <w:tcPr>
            <w:tcW w:w="1258" w:type="dxa"/>
            <w:tcBorders>
              <w:top w:val="nil"/>
              <w:left w:val="nil"/>
              <w:bottom w:val="nil"/>
              <w:right w:val="single" w:sz="4" w:space="0" w:color="auto"/>
            </w:tcBorders>
            <w:vAlign w:val="center"/>
          </w:tcPr>
          <w:p w14:paraId="41EAB79D" w14:textId="77777777" w:rsidR="00334FE2" w:rsidRDefault="00334FE2" w:rsidP="00334FE2">
            <w:pPr>
              <w:spacing w:line="240" w:lineRule="auto"/>
              <w:jc w:val="center"/>
            </w:pPr>
            <w:r>
              <w:t>344.7</w:t>
            </w:r>
          </w:p>
        </w:tc>
        <w:tc>
          <w:tcPr>
            <w:tcW w:w="856" w:type="dxa"/>
            <w:tcBorders>
              <w:top w:val="nil"/>
              <w:left w:val="single" w:sz="4" w:space="0" w:color="auto"/>
              <w:bottom w:val="nil"/>
              <w:right w:val="nil"/>
            </w:tcBorders>
            <w:vAlign w:val="center"/>
          </w:tcPr>
          <w:p w14:paraId="6492D102" w14:textId="77777777" w:rsidR="00334FE2" w:rsidRDefault="00334FE2" w:rsidP="00334FE2">
            <w:pPr>
              <w:spacing w:line="240" w:lineRule="auto"/>
              <w:jc w:val="right"/>
            </w:pPr>
            <w:r>
              <w:t>510.44</w:t>
            </w:r>
          </w:p>
        </w:tc>
        <w:tc>
          <w:tcPr>
            <w:tcW w:w="359" w:type="dxa"/>
            <w:tcBorders>
              <w:top w:val="nil"/>
              <w:left w:val="nil"/>
              <w:bottom w:val="nil"/>
              <w:right w:val="nil"/>
            </w:tcBorders>
            <w:vAlign w:val="center"/>
          </w:tcPr>
          <w:p w14:paraId="6F6924CC" w14:textId="77777777" w:rsidR="00334FE2" w:rsidRDefault="00334FE2" w:rsidP="00334FE2">
            <w:pPr>
              <w:spacing w:line="240" w:lineRule="auto"/>
              <w:jc w:val="center"/>
            </w:pPr>
            <w:r>
              <w:t>±</w:t>
            </w:r>
          </w:p>
        </w:tc>
        <w:tc>
          <w:tcPr>
            <w:tcW w:w="848" w:type="dxa"/>
            <w:tcBorders>
              <w:top w:val="nil"/>
              <w:left w:val="nil"/>
              <w:bottom w:val="nil"/>
              <w:right w:val="single" w:sz="4" w:space="0" w:color="auto"/>
            </w:tcBorders>
            <w:vAlign w:val="center"/>
          </w:tcPr>
          <w:p w14:paraId="2FB5959B" w14:textId="77777777" w:rsidR="00334FE2" w:rsidRDefault="00334FE2" w:rsidP="00334FE2">
            <w:pPr>
              <w:spacing w:line="240" w:lineRule="auto"/>
              <w:jc w:val="left"/>
            </w:pPr>
            <w:r>
              <w:t>24.62</w:t>
            </w:r>
          </w:p>
        </w:tc>
        <w:tc>
          <w:tcPr>
            <w:tcW w:w="1203" w:type="dxa"/>
            <w:tcBorders>
              <w:top w:val="nil"/>
              <w:left w:val="single" w:sz="4" w:space="0" w:color="auto"/>
              <w:bottom w:val="nil"/>
              <w:right w:val="single" w:sz="4" w:space="0" w:color="auto"/>
            </w:tcBorders>
            <w:vAlign w:val="center"/>
          </w:tcPr>
          <w:p w14:paraId="64391992" w14:textId="77777777" w:rsidR="00334FE2" w:rsidRPr="00E12D71" w:rsidRDefault="00334FE2" w:rsidP="00334FE2">
            <w:pPr>
              <w:spacing w:line="240" w:lineRule="auto"/>
              <w:jc w:val="center"/>
              <w:rPr>
                <w:i/>
              </w:rPr>
            </w:pPr>
            <w:r>
              <w:rPr>
                <w:i/>
              </w:rPr>
              <w:t>3.0%</w:t>
            </w:r>
          </w:p>
        </w:tc>
        <w:tc>
          <w:tcPr>
            <w:tcW w:w="350" w:type="dxa"/>
            <w:tcBorders>
              <w:top w:val="nil"/>
              <w:left w:val="single" w:sz="4" w:space="0" w:color="auto"/>
              <w:bottom w:val="nil"/>
              <w:right w:val="single" w:sz="4" w:space="0" w:color="auto"/>
            </w:tcBorders>
            <w:vAlign w:val="center"/>
          </w:tcPr>
          <w:p w14:paraId="7D96F411" w14:textId="77777777" w:rsidR="00334FE2" w:rsidRDefault="00334FE2" w:rsidP="00334FE2">
            <w:pPr>
              <w:spacing w:line="240" w:lineRule="auto"/>
              <w:jc w:val="center"/>
            </w:pPr>
          </w:p>
        </w:tc>
        <w:tc>
          <w:tcPr>
            <w:tcW w:w="856" w:type="dxa"/>
            <w:tcBorders>
              <w:top w:val="nil"/>
              <w:left w:val="single" w:sz="4" w:space="0" w:color="auto"/>
              <w:bottom w:val="nil"/>
              <w:right w:val="nil"/>
            </w:tcBorders>
            <w:vAlign w:val="center"/>
          </w:tcPr>
          <w:p w14:paraId="231E1DF3" w14:textId="77777777" w:rsidR="00334FE2" w:rsidRDefault="00334FE2" w:rsidP="00334FE2">
            <w:pPr>
              <w:spacing w:line="240" w:lineRule="auto"/>
              <w:jc w:val="right"/>
            </w:pPr>
            <w:r>
              <w:t>738.81</w:t>
            </w:r>
          </w:p>
        </w:tc>
        <w:tc>
          <w:tcPr>
            <w:tcW w:w="359" w:type="dxa"/>
            <w:tcBorders>
              <w:top w:val="nil"/>
              <w:left w:val="nil"/>
              <w:bottom w:val="nil"/>
              <w:right w:val="nil"/>
            </w:tcBorders>
            <w:vAlign w:val="center"/>
          </w:tcPr>
          <w:p w14:paraId="556FAACC" w14:textId="77777777" w:rsidR="00334FE2" w:rsidRDefault="00334FE2" w:rsidP="00334FE2">
            <w:pPr>
              <w:spacing w:line="240" w:lineRule="auto"/>
              <w:jc w:val="center"/>
            </w:pPr>
            <w:r>
              <w:t>±</w:t>
            </w:r>
          </w:p>
        </w:tc>
        <w:tc>
          <w:tcPr>
            <w:tcW w:w="848" w:type="dxa"/>
            <w:tcBorders>
              <w:top w:val="nil"/>
              <w:left w:val="nil"/>
              <w:bottom w:val="nil"/>
              <w:right w:val="single" w:sz="4" w:space="0" w:color="auto"/>
            </w:tcBorders>
            <w:vAlign w:val="center"/>
          </w:tcPr>
          <w:p w14:paraId="37F844CD" w14:textId="77777777" w:rsidR="00334FE2" w:rsidRDefault="00334FE2" w:rsidP="00334FE2">
            <w:pPr>
              <w:spacing w:line="240" w:lineRule="auto"/>
              <w:jc w:val="left"/>
            </w:pPr>
            <w:r>
              <w:t>52.72</w:t>
            </w:r>
          </w:p>
        </w:tc>
        <w:tc>
          <w:tcPr>
            <w:tcW w:w="1203" w:type="dxa"/>
            <w:tcBorders>
              <w:top w:val="nil"/>
              <w:left w:val="single" w:sz="4" w:space="0" w:color="auto"/>
              <w:bottom w:val="nil"/>
              <w:right w:val="single" w:sz="4" w:space="0" w:color="auto"/>
            </w:tcBorders>
            <w:vAlign w:val="center"/>
          </w:tcPr>
          <w:p w14:paraId="4A744D81" w14:textId="77777777" w:rsidR="00334FE2" w:rsidRPr="00E12D71" w:rsidRDefault="00334FE2" w:rsidP="00334FE2">
            <w:pPr>
              <w:spacing w:line="240" w:lineRule="auto"/>
              <w:jc w:val="center"/>
              <w:rPr>
                <w:i/>
              </w:rPr>
            </w:pPr>
            <w:r>
              <w:rPr>
                <w:i/>
              </w:rPr>
              <w:t>5.3%</w:t>
            </w:r>
          </w:p>
        </w:tc>
      </w:tr>
      <w:tr w:rsidR="00334FE2" w14:paraId="47CBBEE5" w14:textId="77777777" w:rsidTr="00334FE2">
        <w:trPr>
          <w:trHeight w:val="360"/>
        </w:trPr>
        <w:tc>
          <w:tcPr>
            <w:tcW w:w="572" w:type="dxa"/>
            <w:vMerge/>
            <w:tcBorders>
              <w:top w:val="nil"/>
              <w:left w:val="single" w:sz="4" w:space="0" w:color="auto"/>
              <w:bottom w:val="single" w:sz="4" w:space="0" w:color="auto"/>
              <w:right w:val="nil"/>
            </w:tcBorders>
            <w:textDirection w:val="btLr"/>
            <w:vAlign w:val="center"/>
          </w:tcPr>
          <w:p w14:paraId="03208732" w14:textId="77777777" w:rsidR="00334FE2" w:rsidRDefault="00334FE2" w:rsidP="00334FE2">
            <w:pPr>
              <w:spacing w:line="240" w:lineRule="auto"/>
              <w:ind w:left="113" w:right="113"/>
              <w:jc w:val="center"/>
            </w:pPr>
          </w:p>
        </w:tc>
        <w:tc>
          <w:tcPr>
            <w:tcW w:w="1258" w:type="dxa"/>
            <w:tcBorders>
              <w:top w:val="nil"/>
              <w:left w:val="nil"/>
              <w:bottom w:val="single" w:sz="4" w:space="0" w:color="auto"/>
              <w:right w:val="single" w:sz="4" w:space="0" w:color="auto"/>
            </w:tcBorders>
            <w:vAlign w:val="center"/>
          </w:tcPr>
          <w:p w14:paraId="11EF2EB5" w14:textId="77777777" w:rsidR="00334FE2" w:rsidRDefault="00334FE2" w:rsidP="00334FE2">
            <w:pPr>
              <w:spacing w:line="240" w:lineRule="auto"/>
              <w:jc w:val="center"/>
            </w:pPr>
            <w:r>
              <w:t>482.6</w:t>
            </w:r>
          </w:p>
        </w:tc>
        <w:tc>
          <w:tcPr>
            <w:tcW w:w="856" w:type="dxa"/>
            <w:tcBorders>
              <w:top w:val="nil"/>
              <w:left w:val="single" w:sz="4" w:space="0" w:color="auto"/>
              <w:bottom w:val="single" w:sz="4" w:space="0" w:color="auto"/>
              <w:right w:val="nil"/>
            </w:tcBorders>
            <w:vAlign w:val="center"/>
          </w:tcPr>
          <w:p w14:paraId="1FDF894F" w14:textId="77777777" w:rsidR="00334FE2" w:rsidRDefault="00334FE2" w:rsidP="00334FE2">
            <w:pPr>
              <w:spacing w:line="240" w:lineRule="auto"/>
              <w:jc w:val="right"/>
            </w:pPr>
            <w:r>
              <w:t>522.42</w:t>
            </w:r>
          </w:p>
        </w:tc>
        <w:tc>
          <w:tcPr>
            <w:tcW w:w="359" w:type="dxa"/>
            <w:tcBorders>
              <w:top w:val="nil"/>
              <w:left w:val="nil"/>
              <w:bottom w:val="single" w:sz="4" w:space="0" w:color="auto"/>
              <w:right w:val="nil"/>
            </w:tcBorders>
            <w:vAlign w:val="center"/>
          </w:tcPr>
          <w:p w14:paraId="5DA364FA" w14:textId="77777777" w:rsidR="00334FE2" w:rsidRDefault="00334FE2" w:rsidP="00334FE2">
            <w:pPr>
              <w:spacing w:line="240" w:lineRule="auto"/>
              <w:jc w:val="center"/>
            </w:pPr>
            <w:r>
              <w:t>±</w:t>
            </w:r>
          </w:p>
        </w:tc>
        <w:tc>
          <w:tcPr>
            <w:tcW w:w="848" w:type="dxa"/>
            <w:tcBorders>
              <w:top w:val="nil"/>
              <w:left w:val="nil"/>
              <w:bottom w:val="single" w:sz="4" w:space="0" w:color="auto"/>
              <w:right w:val="single" w:sz="4" w:space="0" w:color="auto"/>
            </w:tcBorders>
            <w:vAlign w:val="center"/>
          </w:tcPr>
          <w:p w14:paraId="6065BD62" w14:textId="77777777" w:rsidR="00334FE2" w:rsidRDefault="00334FE2" w:rsidP="00334FE2">
            <w:pPr>
              <w:spacing w:line="240" w:lineRule="auto"/>
              <w:jc w:val="left"/>
            </w:pPr>
            <w:r>
              <w:t>18.89</w:t>
            </w:r>
          </w:p>
        </w:tc>
        <w:tc>
          <w:tcPr>
            <w:tcW w:w="1203" w:type="dxa"/>
            <w:tcBorders>
              <w:top w:val="nil"/>
              <w:left w:val="single" w:sz="4" w:space="0" w:color="auto"/>
              <w:bottom w:val="single" w:sz="4" w:space="0" w:color="auto"/>
              <w:right w:val="single" w:sz="4" w:space="0" w:color="auto"/>
            </w:tcBorders>
            <w:vAlign w:val="center"/>
          </w:tcPr>
          <w:p w14:paraId="3A1F4E64" w14:textId="77777777" w:rsidR="00334FE2" w:rsidRPr="00E12D71" w:rsidRDefault="00334FE2" w:rsidP="00334FE2">
            <w:pPr>
              <w:spacing w:line="240" w:lineRule="auto"/>
              <w:jc w:val="center"/>
              <w:rPr>
                <w:i/>
              </w:rPr>
            </w:pPr>
            <w:r>
              <w:rPr>
                <w:i/>
              </w:rPr>
              <w:t>4.3%</w:t>
            </w:r>
          </w:p>
        </w:tc>
        <w:tc>
          <w:tcPr>
            <w:tcW w:w="350" w:type="dxa"/>
            <w:tcBorders>
              <w:top w:val="nil"/>
              <w:left w:val="single" w:sz="4" w:space="0" w:color="auto"/>
              <w:bottom w:val="nil"/>
              <w:right w:val="single" w:sz="4" w:space="0" w:color="auto"/>
            </w:tcBorders>
            <w:vAlign w:val="center"/>
          </w:tcPr>
          <w:p w14:paraId="5E0F1A7C" w14:textId="77777777" w:rsidR="00334FE2" w:rsidRDefault="00334FE2" w:rsidP="00334FE2">
            <w:pPr>
              <w:spacing w:line="240" w:lineRule="auto"/>
              <w:jc w:val="center"/>
            </w:pPr>
          </w:p>
        </w:tc>
        <w:tc>
          <w:tcPr>
            <w:tcW w:w="856" w:type="dxa"/>
            <w:tcBorders>
              <w:top w:val="nil"/>
              <w:left w:val="single" w:sz="4" w:space="0" w:color="auto"/>
              <w:bottom w:val="single" w:sz="4" w:space="0" w:color="auto"/>
              <w:right w:val="nil"/>
            </w:tcBorders>
            <w:vAlign w:val="center"/>
          </w:tcPr>
          <w:p w14:paraId="0477DDD1" w14:textId="77777777" w:rsidR="00334FE2" w:rsidRDefault="00334FE2" w:rsidP="00334FE2">
            <w:pPr>
              <w:spacing w:line="240" w:lineRule="auto"/>
              <w:jc w:val="right"/>
            </w:pPr>
            <w:r>
              <w:t>829.16</w:t>
            </w:r>
          </w:p>
        </w:tc>
        <w:tc>
          <w:tcPr>
            <w:tcW w:w="359" w:type="dxa"/>
            <w:tcBorders>
              <w:top w:val="nil"/>
              <w:left w:val="nil"/>
              <w:bottom w:val="single" w:sz="4" w:space="0" w:color="auto"/>
              <w:right w:val="nil"/>
            </w:tcBorders>
            <w:vAlign w:val="center"/>
          </w:tcPr>
          <w:p w14:paraId="05855B71" w14:textId="77777777" w:rsidR="00334FE2" w:rsidRDefault="00334FE2" w:rsidP="00334FE2">
            <w:pPr>
              <w:spacing w:line="240" w:lineRule="auto"/>
              <w:jc w:val="center"/>
            </w:pPr>
            <w:r>
              <w:t>±</w:t>
            </w:r>
          </w:p>
        </w:tc>
        <w:tc>
          <w:tcPr>
            <w:tcW w:w="848" w:type="dxa"/>
            <w:tcBorders>
              <w:top w:val="nil"/>
              <w:left w:val="nil"/>
              <w:bottom w:val="single" w:sz="4" w:space="0" w:color="auto"/>
              <w:right w:val="single" w:sz="4" w:space="0" w:color="auto"/>
            </w:tcBorders>
            <w:vAlign w:val="center"/>
          </w:tcPr>
          <w:p w14:paraId="6811C096" w14:textId="77777777" w:rsidR="00334FE2" w:rsidRDefault="00334FE2" w:rsidP="00334FE2">
            <w:pPr>
              <w:spacing w:line="240" w:lineRule="auto"/>
              <w:jc w:val="left"/>
            </w:pPr>
            <w:r>
              <w:t>32.04</w:t>
            </w:r>
          </w:p>
        </w:tc>
        <w:tc>
          <w:tcPr>
            <w:tcW w:w="1203" w:type="dxa"/>
            <w:tcBorders>
              <w:top w:val="nil"/>
              <w:left w:val="single" w:sz="4" w:space="0" w:color="auto"/>
              <w:bottom w:val="single" w:sz="4" w:space="0" w:color="auto"/>
              <w:right w:val="single" w:sz="4" w:space="0" w:color="auto"/>
            </w:tcBorders>
            <w:vAlign w:val="center"/>
          </w:tcPr>
          <w:p w14:paraId="0C161FB9" w14:textId="77777777" w:rsidR="00334FE2" w:rsidRPr="00E12D71" w:rsidRDefault="00334FE2" w:rsidP="00334FE2">
            <w:pPr>
              <w:spacing w:line="240" w:lineRule="auto"/>
              <w:jc w:val="center"/>
              <w:rPr>
                <w:i/>
              </w:rPr>
            </w:pPr>
            <w:r>
              <w:rPr>
                <w:i/>
              </w:rPr>
              <w:t>14.3%</w:t>
            </w:r>
          </w:p>
        </w:tc>
      </w:tr>
      <w:tr w:rsidR="00334FE2" w14:paraId="61AD650A" w14:textId="77777777" w:rsidTr="00334FE2">
        <w:trPr>
          <w:trHeight w:val="360"/>
        </w:trPr>
        <w:tc>
          <w:tcPr>
            <w:tcW w:w="572" w:type="dxa"/>
            <w:vMerge w:val="restart"/>
            <w:tcBorders>
              <w:top w:val="single" w:sz="4" w:space="0" w:color="auto"/>
              <w:left w:val="single" w:sz="4" w:space="0" w:color="auto"/>
              <w:bottom w:val="nil"/>
              <w:right w:val="nil"/>
            </w:tcBorders>
            <w:textDirection w:val="btLr"/>
            <w:vAlign w:val="center"/>
          </w:tcPr>
          <w:p w14:paraId="6E6723FE" w14:textId="77777777" w:rsidR="00334FE2" w:rsidRDefault="00334FE2" w:rsidP="00334FE2">
            <w:pPr>
              <w:spacing w:line="240" w:lineRule="auto"/>
              <w:ind w:left="113" w:right="113"/>
              <w:jc w:val="center"/>
            </w:pPr>
            <w:r>
              <w:t>70% RH</w:t>
            </w:r>
          </w:p>
        </w:tc>
        <w:tc>
          <w:tcPr>
            <w:tcW w:w="1258" w:type="dxa"/>
            <w:tcBorders>
              <w:top w:val="single" w:sz="4" w:space="0" w:color="auto"/>
              <w:left w:val="nil"/>
              <w:bottom w:val="nil"/>
              <w:right w:val="single" w:sz="4" w:space="0" w:color="auto"/>
            </w:tcBorders>
            <w:vAlign w:val="center"/>
          </w:tcPr>
          <w:p w14:paraId="05DCA816" w14:textId="77777777" w:rsidR="00334FE2" w:rsidRDefault="00334FE2" w:rsidP="00334FE2">
            <w:pPr>
              <w:spacing w:line="240" w:lineRule="auto"/>
              <w:jc w:val="center"/>
            </w:pPr>
            <w:r>
              <w:t>68.9</w:t>
            </w:r>
          </w:p>
        </w:tc>
        <w:tc>
          <w:tcPr>
            <w:tcW w:w="856" w:type="dxa"/>
            <w:tcBorders>
              <w:top w:val="single" w:sz="4" w:space="0" w:color="auto"/>
              <w:left w:val="single" w:sz="4" w:space="0" w:color="auto"/>
              <w:bottom w:val="nil"/>
              <w:right w:val="nil"/>
            </w:tcBorders>
            <w:vAlign w:val="center"/>
          </w:tcPr>
          <w:p w14:paraId="7D28FB2D" w14:textId="77777777" w:rsidR="00334FE2" w:rsidRDefault="00334FE2" w:rsidP="00334FE2">
            <w:pPr>
              <w:spacing w:line="240" w:lineRule="auto"/>
              <w:jc w:val="right"/>
            </w:pPr>
            <w:r>
              <w:t>396.03</w:t>
            </w:r>
          </w:p>
        </w:tc>
        <w:tc>
          <w:tcPr>
            <w:tcW w:w="359" w:type="dxa"/>
            <w:tcBorders>
              <w:top w:val="single" w:sz="4" w:space="0" w:color="auto"/>
              <w:left w:val="nil"/>
              <w:bottom w:val="nil"/>
              <w:right w:val="nil"/>
            </w:tcBorders>
            <w:vAlign w:val="center"/>
          </w:tcPr>
          <w:p w14:paraId="2838ED7A" w14:textId="77777777" w:rsidR="00334FE2" w:rsidRDefault="00334FE2" w:rsidP="00334FE2">
            <w:pPr>
              <w:spacing w:line="240" w:lineRule="auto"/>
              <w:jc w:val="center"/>
            </w:pPr>
            <w:r>
              <w:t>±</w:t>
            </w:r>
          </w:p>
        </w:tc>
        <w:tc>
          <w:tcPr>
            <w:tcW w:w="848" w:type="dxa"/>
            <w:tcBorders>
              <w:top w:val="single" w:sz="4" w:space="0" w:color="auto"/>
              <w:left w:val="nil"/>
              <w:bottom w:val="nil"/>
              <w:right w:val="single" w:sz="4" w:space="0" w:color="auto"/>
            </w:tcBorders>
            <w:vAlign w:val="center"/>
          </w:tcPr>
          <w:p w14:paraId="2AFB2C2D" w14:textId="77777777" w:rsidR="00334FE2" w:rsidRDefault="00334FE2" w:rsidP="00334FE2">
            <w:pPr>
              <w:spacing w:line="240" w:lineRule="auto"/>
              <w:jc w:val="left"/>
            </w:pPr>
            <w:r>
              <w:t>18.64</w:t>
            </w:r>
          </w:p>
        </w:tc>
        <w:tc>
          <w:tcPr>
            <w:tcW w:w="1203" w:type="dxa"/>
            <w:tcBorders>
              <w:top w:val="single" w:sz="4" w:space="0" w:color="auto"/>
              <w:left w:val="single" w:sz="4" w:space="0" w:color="auto"/>
              <w:bottom w:val="nil"/>
              <w:right w:val="single" w:sz="4" w:space="0" w:color="auto"/>
            </w:tcBorders>
            <w:vAlign w:val="center"/>
          </w:tcPr>
          <w:p w14:paraId="00DA7F70" w14:textId="77777777" w:rsidR="00334FE2" w:rsidRPr="00E12D71" w:rsidRDefault="00334FE2" w:rsidP="00334FE2">
            <w:pPr>
              <w:spacing w:line="240" w:lineRule="auto"/>
              <w:jc w:val="center"/>
              <w:rPr>
                <w:i/>
              </w:rPr>
            </w:pPr>
            <w:r>
              <w:rPr>
                <w:i/>
              </w:rPr>
              <w:t>6.8%</w:t>
            </w:r>
          </w:p>
        </w:tc>
        <w:tc>
          <w:tcPr>
            <w:tcW w:w="350" w:type="dxa"/>
            <w:tcBorders>
              <w:top w:val="nil"/>
              <w:left w:val="single" w:sz="4" w:space="0" w:color="auto"/>
              <w:bottom w:val="nil"/>
              <w:right w:val="single" w:sz="4" w:space="0" w:color="auto"/>
            </w:tcBorders>
            <w:vAlign w:val="center"/>
          </w:tcPr>
          <w:p w14:paraId="59578AEE" w14:textId="77777777" w:rsidR="00334FE2" w:rsidRDefault="00334FE2" w:rsidP="00334FE2">
            <w:pPr>
              <w:spacing w:line="240" w:lineRule="auto"/>
              <w:jc w:val="center"/>
            </w:pPr>
          </w:p>
        </w:tc>
        <w:tc>
          <w:tcPr>
            <w:tcW w:w="856" w:type="dxa"/>
            <w:tcBorders>
              <w:top w:val="single" w:sz="4" w:space="0" w:color="auto"/>
              <w:left w:val="single" w:sz="4" w:space="0" w:color="auto"/>
              <w:bottom w:val="nil"/>
              <w:right w:val="nil"/>
            </w:tcBorders>
            <w:vAlign w:val="center"/>
          </w:tcPr>
          <w:p w14:paraId="0E79C2DA" w14:textId="77777777" w:rsidR="00334FE2" w:rsidRDefault="00334FE2" w:rsidP="00334FE2">
            <w:pPr>
              <w:spacing w:line="240" w:lineRule="auto"/>
              <w:jc w:val="right"/>
            </w:pPr>
            <w:r>
              <w:t>571.97</w:t>
            </w:r>
          </w:p>
        </w:tc>
        <w:tc>
          <w:tcPr>
            <w:tcW w:w="359" w:type="dxa"/>
            <w:tcBorders>
              <w:top w:val="single" w:sz="4" w:space="0" w:color="auto"/>
              <w:left w:val="nil"/>
              <w:bottom w:val="nil"/>
              <w:right w:val="nil"/>
            </w:tcBorders>
            <w:vAlign w:val="center"/>
          </w:tcPr>
          <w:p w14:paraId="7034E3D5" w14:textId="77777777" w:rsidR="00334FE2" w:rsidRDefault="00334FE2" w:rsidP="00334FE2">
            <w:pPr>
              <w:spacing w:line="240" w:lineRule="auto"/>
              <w:jc w:val="center"/>
            </w:pPr>
            <w:r>
              <w:t>±</w:t>
            </w:r>
          </w:p>
        </w:tc>
        <w:tc>
          <w:tcPr>
            <w:tcW w:w="848" w:type="dxa"/>
            <w:tcBorders>
              <w:top w:val="single" w:sz="4" w:space="0" w:color="auto"/>
              <w:left w:val="nil"/>
              <w:bottom w:val="nil"/>
              <w:right w:val="single" w:sz="4" w:space="0" w:color="auto"/>
            </w:tcBorders>
            <w:vAlign w:val="center"/>
          </w:tcPr>
          <w:p w14:paraId="38155CE3" w14:textId="77777777" w:rsidR="00334FE2" w:rsidRDefault="00334FE2" w:rsidP="00334FE2">
            <w:pPr>
              <w:spacing w:line="240" w:lineRule="auto"/>
              <w:jc w:val="left"/>
            </w:pPr>
            <w:r>
              <w:t>39.50</w:t>
            </w:r>
          </w:p>
        </w:tc>
        <w:tc>
          <w:tcPr>
            <w:tcW w:w="1203" w:type="dxa"/>
            <w:tcBorders>
              <w:top w:val="single" w:sz="4" w:space="0" w:color="auto"/>
              <w:left w:val="single" w:sz="4" w:space="0" w:color="auto"/>
              <w:bottom w:val="nil"/>
              <w:right w:val="single" w:sz="4" w:space="0" w:color="auto"/>
            </w:tcBorders>
            <w:vAlign w:val="center"/>
          </w:tcPr>
          <w:p w14:paraId="269949B5" w14:textId="77777777" w:rsidR="00334FE2" w:rsidRPr="00E12D71" w:rsidRDefault="00334FE2" w:rsidP="00334FE2">
            <w:pPr>
              <w:spacing w:line="240" w:lineRule="auto"/>
              <w:jc w:val="center"/>
              <w:rPr>
                <w:i/>
              </w:rPr>
            </w:pPr>
            <w:r>
              <w:rPr>
                <w:i/>
              </w:rPr>
              <w:t>7.6%</w:t>
            </w:r>
          </w:p>
        </w:tc>
      </w:tr>
      <w:tr w:rsidR="00334FE2" w14:paraId="30D01D89" w14:textId="77777777" w:rsidTr="00334FE2">
        <w:trPr>
          <w:trHeight w:val="360"/>
        </w:trPr>
        <w:tc>
          <w:tcPr>
            <w:tcW w:w="572" w:type="dxa"/>
            <w:vMerge/>
            <w:tcBorders>
              <w:top w:val="nil"/>
              <w:left w:val="single" w:sz="4" w:space="0" w:color="auto"/>
              <w:bottom w:val="nil"/>
              <w:right w:val="nil"/>
            </w:tcBorders>
            <w:textDirection w:val="btLr"/>
            <w:vAlign w:val="center"/>
          </w:tcPr>
          <w:p w14:paraId="540A2AFD" w14:textId="77777777" w:rsidR="00334FE2" w:rsidRDefault="00334FE2" w:rsidP="00334FE2">
            <w:pPr>
              <w:spacing w:line="240" w:lineRule="auto"/>
              <w:ind w:left="113" w:right="113"/>
              <w:jc w:val="center"/>
            </w:pPr>
          </w:p>
        </w:tc>
        <w:tc>
          <w:tcPr>
            <w:tcW w:w="1258" w:type="dxa"/>
            <w:tcBorders>
              <w:top w:val="nil"/>
              <w:left w:val="nil"/>
              <w:bottom w:val="nil"/>
              <w:right w:val="single" w:sz="4" w:space="0" w:color="auto"/>
            </w:tcBorders>
            <w:vAlign w:val="center"/>
          </w:tcPr>
          <w:p w14:paraId="25201D81" w14:textId="77777777" w:rsidR="00334FE2" w:rsidRDefault="00334FE2" w:rsidP="00334FE2">
            <w:pPr>
              <w:spacing w:line="240" w:lineRule="auto"/>
              <w:jc w:val="center"/>
            </w:pPr>
            <w:r>
              <w:t>206.8</w:t>
            </w:r>
          </w:p>
        </w:tc>
        <w:tc>
          <w:tcPr>
            <w:tcW w:w="856" w:type="dxa"/>
            <w:tcBorders>
              <w:top w:val="nil"/>
              <w:left w:val="single" w:sz="4" w:space="0" w:color="auto"/>
              <w:bottom w:val="nil"/>
              <w:right w:val="nil"/>
            </w:tcBorders>
            <w:vAlign w:val="center"/>
          </w:tcPr>
          <w:p w14:paraId="5C189F6D" w14:textId="77777777" w:rsidR="00334FE2" w:rsidRDefault="00334FE2" w:rsidP="00334FE2">
            <w:pPr>
              <w:spacing w:line="240" w:lineRule="auto"/>
              <w:jc w:val="right"/>
            </w:pPr>
            <w:r>
              <w:t>461.70</w:t>
            </w:r>
          </w:p>
        </w:tc>
        <w:tc>
          <w:tcPr>
            <w:tcW w:w="359" w:type="dxa"/>
            <w:tcBorders>
              <w:top w:val="nil"/>
              <w:left w:val="nil"/>
              <w:bottom w:val="nil"/>
              <w:right w:val="nil"/>
            </w:tcBorders>
            <w:vAlign w:val="center"/>
          </w:tcPr>
          <w:p w14:paraId="37A8EFF7" w14:textId="77777777" w:rsidR="00334FE2" w:rsidRDefault="00334FE2" w:rsidP="00334FE2">
            <w:pPr>
              <w:spacing w:line="240" w:lineRule="auto"/>
              <w:jc w:val="center"/>
            </w:pPr>
            <w:r>
              <w:t>±</w:t>
            </w:r>
          </w:p>
        </w:tc>
        <w:tc>
          <w:tcPr>
            <w:tcW w:w="848" w:type="dxa"/>
            <w:tcBorders>
              <w:top w:val="nil"/>
              <w:left w:val="nil"/>
              <w:bottom w:val="nil"/>
              <w:right w:val="single" w:sz="4" w:space="0" w:color="auto"/>
            </w:tcBorders>
            <w:vAlign w:val="center"/>
          </w:tcPr>
          <w:p w14:paraId="670AA8A0" w14:textId="77777777" w:rsidR="00334FE2" w:rsidRDefault="00334FE2" w:rsidP="00334FE2">
            <w:pPr>
              <w:spacing w:line="240" w:lineRule="auto"/>
              <w:jc w:val="left"/>
            </w:pPr>
            <w:r>
              <w:t>22.33</w:t>
            </w:r>
          </w:p>
        </w:tc>
        <w:tc>
          <w:tcPr>
            <w:tcW w:w="1203" w:type="dxa"/>
            <w:tcBorders>
              <w:top w:val="nil"/>
              <w:left w:val="single" w:sz="4" w:space="0" w:color="auto"/>
              <w:bottom w:val="nil"/>
              <w:right w:val="single" w:sz="4" w:space="0" w:color="auto"/>
            </w:tcBorders>
            <w:vAlign w:val="center"/>
          </w:tcPr>
          <w:p w14:paraId="1EF3F06C" w14:textId="77777777" w:rsidR="00334FE2" w:rsidRPr="00E12D71" w:rsidRDefault="00334FE2" w:rsidP="00334FE2">
            <w:pPr>
              <w:spacing w:line="240" w:lineRule="auto"/>
              <w:jc w:val="center"/>
              <w:rPr>
                <w:i/>
              </w:rPr>
            </w:pPr>
            <w:r>
              <w:rPr>
                <w:i/>
              </w:rPr>
              <w:t>5.5%</w:t>
            </w:r>
          </w:p>
        </w:tc>
        <w:tc>
          <w:tcPr>
            <w:tcW w:w="350" w:type="dxa"/>
            <w:tcBorders>
              <w:top w:val="nil"/>
              <w:left w:val="single" w:sz="4" w:space="0" w:color="auto"/>
              <w:bottom w:val="nil"/>
              <w:right w:val="single" w:sz="4" w:space="0" w:color="auto"/>
            </w:tcBorders>
            <w:vAlign w:val="center"/>
          </w:tcPr>
          <w:p w14:paraId="0F5B211A" w14:textId="77777777" w:rsidR="00334FE2" w:rsidRDefault="00334FE2" w:rsidP="00334FE2">
            <w:pPr>
              <w:spacing w:line="240" w:lineRule="auto"/>
              <w:jc w:val="center"/>
            </w:pPr>
          </w:p>
        </w:tc>
        <w:tc>
          <w:tcPr>
            <w:tcW w:w="856" w:type="dxa"/>
            <w:tcBorders>
              <w:top w:val="nil"/>
              <w:left w:val="single" w:sz="4" w:space="0" w:color="auto"/>
              <w:bottom w:val="nil"/>
              <w:right w:val="nil"/>
            </w:tcBorders>
            <w:vAlign w:val="center"/>
          </w:tcPr>
          <w:p w14:paraId="361188F6" w14:textId="77777777" w:rsidR="00334FE2" w:rsidRDefault="00334FE2" w:rsidP="00334FE2">
            <w:pPr>
              <w:spacing w:line="240" w:lineRule="auto"/>
              <w:jc w:val="right"/>
            </w:pPr>
            <w:r>
              <w:t>688.57</w:t>
            </w:r>
          </w:p>
        </w:tc>
        <w:tc>
          <w:tcPr>
            <w:tcW w:w="359" w:type="dxa"/>
            <w:tcBorders>
              <w:top w:val="nil"/>
              <w:left w:val="nil"/>
              <w:bottom w:val="nil"/>
              <w:right w:val="nil"/>
            </w:tcBorders>
            <w:vAlign w:val="center"/>
          </w:tcPr>
          <w:p w14:paraId="59C006C7" w14:textId="77777777" w:rsidR="00334FE2" w:rsidRDefault="00334FE2" w:rsidP="00334FE2">
            <w:pPr>
              <w:spacing w:line="240" w:lineRule="auto"/>
              <w:jc w:val="center"/>
            </w:pPr>
            <w:r>
              <w:t>±</w:t>
            </w:r>
          </w:p>
        </w:tc>
        <w:tc>
          <w:tcPr>
            <w:tcW w:w="848" w:type="dxa"/>
            <w:tcBorders>
              <w:top w:val="nil"/>
              <w:left w:val="nil"/>
              <w:bottom w:val="nil"/>
              <w:right w:val="single" w:sz="4" w:space="0" w:color="auto"/>
            </w:tcBorders>
            <w:vAlign w:val="center"/>
          </w:tcPr>
          <w:p w14:paraId="36D0F016" w14:textId="77777777" w:rsidR="00334FE2" w:rsidRDefault="00334FE2" w:rsidP="00334FE2">
            <w:pPr>
              <w:spacing w:line="240" w:lineRule="auto"/>
              <w:jc w:val="left"/>
            </w:pPr>
            <w:r>
              <w:t>47.48</w:t>
            </w:r>
          </w:p>
        </w:tc>
        <w:tc>
          <w:tcPr>
            <w:tcW w:w="1203" w:type="dxa"/>
            <w:tcBorders>
              <w:top w:val="nil"/>
              <w:left w:val="single" w:sz="4" w:space="0" w:color="auto"/>
              <w:bottom w:val="nil"/>
              <w:right w:val="single" w:sz="4" w:space="0" w:color="auto"/>
            </w:tcBorders>
            <w:vAlign w:val="center"/>
          </w:tcPr>
          <w:p w14:paraId="08975622" w14:textId="77777777" w:rsidR="00334FE2" w:rsidRPr="00E12D71" w:rsidRDefault="00334FE2" w:rsidP="00334FE2">
            <w:pPr>
              <w:spacing w:line="240" w:lineRule="auto"/>
              <w:jc w:val="center"/>
              <w:rPr>
                <w:i/>
              </w:rPr>
            </w:pPr>
            <w:r>
              <w:rPr>
                <w:i/>
              </w:rPr>
              <w:t>11.0%</w:t>
            </w:r>
          </w:p>
        </w:tc>
      </w:tr>
      <w:tr w:rsidR="00334FE2" w14:paraId="526B3136" w14:textId="77777777" w:rsidTr="00334FE2">
        <w:trPr>
          <w:trHeight w:val="360"/>
        </w:trPr>
        <w:tc>
          <w:tcPr>
            <w:tcW w:w="572" w:type="dxa"/>
            <w:vMerge/>
            <w:tcBorders>
              <w:top w:val="nil"/>
              <w:left w:val="single" w:sz="4" w:space="0" w:color="auto"/>
              <w:bottom w:val="nil"/>
              <w:right w:val="nil"/>
            </w:tcBorders>
            <w:textDirection w:val="btLr"/>
            <w:vAlign w:val="center"/>
          </w:tcPr>
          <w:p w14:paraId="3B09D9AD" w14:textId="77777777" w:rsidR="00334FE2" w:rsidRDefault="00334FE2" w:rsidP="00334FE2">
            <w:pPr>
              <w:spacing w:line="240" w:lineRule="auto"/>
              <w:ind w:left="113" w:right="113"/>
              <w:jc w:val="center"/>
            </w:pPr>
          </w:p>
        </w:tc>
        <w:tc>
          <w:tcPr>
            <w:tcW w:w="1258" w:type="dxa"/>
            <w:tcBorders>
              <w:top w:val="nil"/>
              <w:left w:val="nil"/>
              <w:bottom w:val="nil"/>
              <w:right w:val="single" w:sz="4" w:space="0" w:color="auto"/>
            </w:tcBorders>
            <w:vAlign w:val="center"/>
          </w:tcPr>
          <w:p w14:paraId="03F09193" w14:textId="77777777" w:rsidR="00334FE2" w:rsidRDefault="00334FE2" w:rsidP="00334FE2">
            <w:pPr>
              <w:spacing w:line="240" w:lineRule="auto"/>
              <w:jc w:val="center"/>
            </w:pPr>
            <w:r>
              <w:t>344.7</w:t>
            </w:r>
          </w:p>
        </w:tc>
        <w:tc>
          <w:tcPr>
            <w:tcW w:w="856" w:type="dxa"/>
            <w:tcBorders>
              <w:top w:val="nil"/>
              <w:left w:val="single" w:sz="4" w:space="0" w:color="auto"/>
              <w:bottom w:val="nil"/>
              <w:right w:val="nil"/>
            </w:tcBorders>
            <w:vAlign w:val="center"/>
          </w:tcPr>
          <w:p w14:paraId="3F0D7212" w14:textId="77777777" w:rsidR="00334FE2" w:rsidRDefault="00334FE2" w:rsidP="00334FE2">
            <w:pPr>
              <w:spacing w:line="240" w:lineRule="auto"/>
              <w:jc w:val="right"/>
            </w:pPr>
            <w:r>
              <w:t>487.80</w:t>
            </w:r>
          </w:p>
        </w:tc>
        <w:tc>
          <w:tcPr>
            <w:tcW w:w="359" w:type="dxa"/>
            <w:tcBorders>
              <w:top w:val="nil"/>
              <w:left w:val="nil"/>
              <w:bottom w:val="nil"/>
              <w:right w:val="nil"/>
            </w:tcBorders>
            <w:vAlign w:val="center"/>
          </w:tcPr>
          <w:p w14:paraId="01DDE2D3" w14:textId="77777777" w:rsidR="00334FE2" w:rsidRDefault="00334FE2" w:rsidP="00334FE2">
            <w:pPr>
              <w:spacing w:line="240" w:lineRule="auto"/>
              <w:jc w:val="center"/>
            </w:pPr>
            <w:r>
              <w:t>±</w:t>
            </w:r>
          </w:p>
        </w:tc>
        <w:tc>
          <w:tcPr>
            <w:tcW w:w="848" w:type="dxa"/>
            <w:tcBorders>
              <w:top w:val="nil"/>
              <w:left w:val="nil"/>
              <w:bottom w:val="nil"/>
              <w:right w:val="single" w:sz="4" w:space="0" w:color="auto"/>
            </w:tcBorders>
            <w:vAlign w:val="center"/>
          </w:tcPr>
          <w:p w14:paraId="38537AAA" w14:textId="77777777" w:rsidR="00334FE2" w:rsidRDefault="00334FE2" w:rsidP="00334FE2">
            <w:pPr>
              <w:spacing w:line="240" w:lineRule="auto"/>
              <w:jc w:val="left"/>
            </w:pPr>
            <w:r>
              <w:t>13.99</w:t>
            </w:r>
          </w:p>
        </w:tc>
        <w:tc>
          <w:tcPr>
            <w:tcW w:w="1203" w:type="dxa"/>
            <w:tcBorders>
              <w:top w:val="nil"/>
              <w:left w:val="single" w:sz="4" w:space="0" w:color="auto"/>
              <w:bottom w:val="nil"/>
              <w:right w:val="single" w:sz="4" w:space="0" w:color="auto"/>
            </w:tcBorders>
            <w:vAlign w:val="center"/>
          </w:tcPr>
          <w:p w14:paraId="7595A692" w14:textId="77777777" w:rsidR="00334FE2" w:rsidRPr="00E12D71" w:rsidRDefault="00334FE2" w:rsidP="00334FE2">
            <w:pPr>
              <w:spacing w:line="240" w:lineRule="auto"/>
              <w:jc w:val="center"/>
              <w:rPr>
                <w:i/>
              </w:rPr>
            </w:pPr>
            <w:r>
              <w:rPr>
                <w:i/>
              </w:rPr>
              <w:t>3.9%</w:t>
            </w:r>
          </w:p>
        </w:tc>
        <w:tc>
          <w:tcPr>
            <w:tcW w:w="350" w:type="dxa"/>
            <w:tcBorders>
              <w:top w:val="nil"/>
              <w:left w:val="single" w:sz="4" w:space="0" w:color="auto"/>
              <w:bottom w:val="nil"/>
              <w:right w:val="single" w:sz="4" w:space="0" w:color="auto"/>
            </w:tcBorders>
            <w:vAlign w:val="center"/>
          </w:tcPr>
          <w:p w14:paraId="09242594" w14:textId="77777777" w:rsidR="00334FE2" w:rsidRDefault="00334FE2" w:rsidP="00334FE2">
            <w:pPr>
              <w:spacing w:line="240" w:lineRule="auto"/>
              <w:jc w:val="center"/>
            </w:pPr>
          </w:p>
        </w:tc>
        <w:tc>
          <w:tcPr>
            <w:tcW w:w="856" w:type="dxa"/>
            <w:tcBorders>
              <w:top w:val="nil"/>
              <w:left w:val="single" w:sz="4" w:space="0" w:color="auto"/>
              <w:bottom w:val="nil"/>
              <w:right w:val="nil"/>
            </w:tcBorders>
            <w:vAlign w:val="center"/>
          </w:tcPr>
          <w:p w14:paraId="4AC26007" w14:textId="77777777" w:rsidR="00334FE2" w:rsidRDefault="00334FE2" w:rsidP="00334FE2">
            <w:pPr>
              <w:spacing w:line="240" w:lineRule="auto"/>
              <w:jc w:val="right"/>
            </w:pPr>
            <w:r>
              <w:t>755.78</w:t>
            </w:r>
          </w:p>
        </w:tc>
        <w:tc>
          <w:tcPr>
            <w:tcW w:w="359" w:type="dxa"/>
            <w:tcBorders>
              <w:top w:val="nil"/>
              <w:left w:val="nil"/>
              <w:bottom w:val="nil"/>
              <w:right w:val="nil"/>
            </w:tcBorders>
            <w:vAlign w:val="center"/>
          </w:tcPr>
          <w:p w14:paraId="1DEACE67" w14:textId="77777777" w:rsidR="00334FE2" w:rsidRDefault="00334FE2" w:rsidP="00334FE2">
            <w:pPr>
              <w:spacing w:line="240" w:lineRule="auto"/>
              <w:jc w:val="center"/>
            </w:pPr>
            <w:r>
              <w:t>±</w:t>
            </w:r>
          </w:p>
        </w:tc>
        <w:tc>
          <w:tcPr>
            <w:tcW w:w="848" w:type="dxa"/>
            <w:tcBorders>
              <w:top w:val="nil"/>
              <w:left w:val="nil"/>
              <w:bottom w:val="nil"/>
              <w:right w:val="single" w:sz="4" w:space="0" w:color="auto"/>
            </w:tcBorders>
            <w:vAlign w:val="center"/>
          </w:tcPr>
          <w:p w14:paraId="53FD016F" w14:textId="77777777" w:rsidR="00334FE2" w:rsidRDefault="00334FE2" w:rsidP="00334FE2">
            <w:pPr>
              <w:spacing w:line="240" w:lineRule="auto"/>
              <w:jc w:val="left"/>
            </w:pPr>
            <w:r>
              <w:t>51.33</w:t>
            </w:r>
          </w:p>
        </w:tc>
        <w:tc>
          <w:tcPr>
            <w:tcW w:w="1203" w:type="dxa"/>
            <w:tcBorders>
              <w:top w:val="nil"/>
              <w:left w:val="single" w:sz="4" w:space="0" w:color="auto"/>
              <w:bottom w:val="nil"/>
              <w:right w:val="single" w:sz="4" w:space="0" w:color="auto"/>
            </w:tcBorders>
            <w:vAlign w:val="center"/>
          </w:tcPr>
          <w:p w14:paraId="2C2CEC1F" w14:textId="77777777" w:rsidR="00334FE2" w:rsidRPr="00E12D71" w:rsidRDefault="00334FE2" w:rsidP="00334FE2">
            <w:pPr>
              <w:spacing w:line="240" w:lineRule="auto"/>
              <w:jc w:val="center"/>
              <w:rPr>
                <w:i/>
              </w:rPr>
            </w:pPr>
            <w:r>
              <w:rPr>
                <w:i/>
              </w:rPr>
              <w:t>11.4%</w:t>
            </w:r>
          </w:p>
        </w:tc>
      </w:tr>
      <w:tr w:rsidR="00334FE2" w14:paraId="395708C2" w14:textId="77777777" w:rsidTr="00334FE2">
        <w:trPr>
          <w:trHeight w:val="360"/>
        </w:trPr>
        <w:tc>
          <w:tcPr>
            <w:tcW w:w="572" w:type="dxa"/>
            <w:vMerge/>
            <w:tcBorders>
              <w:top w:val="nil"/>
              <w:left w:val="single" w:sz="4" w:space="0" w:color="auto"/>
              <w:bottom w:val="single" w:sz="4" w:space="0" w:color="auto"/>
              <w:right w:val="nil"/>
            </w:tcBorders>
            <w:textDirection w:val="btLr"/>
            <w:vAlign w:val="center"/>
          </w:tcPr>
          <w:p w14:paraId="754BB72F" w14:textId="77777777" w:rsidR="00334FE2" w:rsidRDefault="00334FE2" w:rsidP="00334FE2">
            <w:pPr>
              <w:spacing w:line="240" w:lineRule="auto"/>
              <w:ind w:left="113" w:right="113"/>
              <w:jc w:val="center"/>
            </w:pPr>
          </w:p>
        </w:tc>
        <w:tc>
          <w:tcPr>
            <w:tcW w:w="1258" w:type="dxa"/>
            <w:tcBorders>
              <w:top w:val="nil"/>
              <w:left w:val="nil"/>
              <w:bottom w:val="single" w:sz="4" w:space="0" w:color="auto"/>
              <w:right w:val="single" w:sz="4" w:space="0" w:color="auto"/>
            </w:tcBorders>
            <w:vAlign w:val="center"/>
          </w:tcPr>
          <w:p w14:paraId="74BF8CB8" w14:textId="77777777" w:rsidR="00334FE2" w:rsidRDefault="00334FE2" w:rsidP="00334FE2">
            <w:pPr>
              <w:spacing w:line="240" w:lineRule="auto"/>
              <w:jc w:val="center"/>
            </w:pPr>
            <w:r>
              <w:t>482.6</w:t>
            </w:r>
          </w:p>
        </w:tc>
        <w:tc>
          <w:tcPr>
            <w:tcW w:w="856" w:type="dxa"/>
            <w:tcBorders>
              <w:top w:val="nil"/>
              <w:left w:val="single" w:sz="4" w:space="0" w:color="auto"/>
              <w:bottom w:val="single" w:sz="4" w:space="0" w:color="auto"/>
              <w:right w:val="nil"/>
            </w:tcBorders>
            <w:vAlign w:val="center"/>
          </w:tcPr>
          <w:p w14:paraId="7386586A" w14:textId="77777777" w:rsidR="00334FE2" w:rsidRDefault="00334FE2" w:rsidP="00334FE2">
            <w:pPr>
              <w:spacing w:line="240" w:lineRule="auto"/>
              <w:jc w:val="right"/>
            </w:pPr>
            <w:r>
              <w:t>493.98</w:t>
            </w:r>
          </w:p>
        </w:tc>
        <w:tc>
          <w:tcPr>
            <w:tcW w:w="359" w:type="dxa"/>
            <w:tcBorders>
              <w:top w:val="nil"/>
              <w:left w:val="nil"/>
              <w:bottom w:val="single" w:sz="4" w:space="0" w:color="auto"/>
              <w:right w:val="nil"/>
            </w:tcBorders>
            <w:vAlign w:val="center"/>
          </w:tcPr>
          <w:p w14:paraId="03FAD82B" w14:textId="77777777" w:rsidR="00334FE2" w:rsidRDefault="00334FE2" w:rsidP="00334FE2">
            <w:pPr>
              <w:spacing w:line="240" w:lineRule="auto"/>
              <w:jc w:val="center"/>
            </w:pPr>
            <w:r>
              <w:t>±</w:t>
            </w:r>
          </w:p>
        </w:tc>
        <w:tc>
          <w:tcPr>
            <w:tcW w:w="848" w:type="dxa"/>
            <w:tcBorders>
              <w:top w:val="nil"/>
              <w:left w:val="nil"/>
              <w:bottom w:val="single" w:sz="4" w:space="0" w:color="auto"/>
              <w:right w:val="single" w:sz="4" w:space="0" w:color="auto"/>
            </w:tcBorders>
            <w:vAlign w:val="center"/>
          </w:tcPr>
          <w:p w14:paraId="49438E43" w14:textId="77777777" w:rsidR="00334FE2" w:rsidRDefault="00334FE2" w:rsidP="00334FE2">
            <w:pPr>
              <w:spacing w:line="240" w:lineRule="auto"/>
              <w:jc w:val="left"/>
            </w:pPr>
            <w:r>
              <w:t>13.90</w:t>
            </w:r>
          </w:p>
        </w:tc>
        <w:tc>
          <w:tcPr>
            <w:tcW w:w="1203" w:type="dxa"/>
            <w:tcBorders>
              <w:top w:val="nil"/>
              <w:left w:val="single" w:sz="4" w:space="0" w:color="auto"/>
              <w:bottom w:val="single" w:sz="4" w:space="0" w:color="auto"/>
              <w:right w:val="single" w:sz="4" w:space="0" w:color="auto"/>
            </w:tcBorders>
            <w:vAlign w:val="center"/>
          </w:tcPr>
          <w:p w14:paraId="3FB5735C" w14:textId="77777777" w:rsidR="00334FE2" w:rsidRPr="00E12D71" w:rsidRDefault="00334FE2" w:rsidP="00334FE2">
            <w:pPr>
              <w:spacing w:line="240" w:lineRule="auto"/>
              <w:jc w:val="center"/>
              <w:rPr>
                <w:i/>
              </w:rPr>
            </w:pPr>
            <w:r>
              <w:rPr>
                <w:i/>
              </w:rPr>
              <w:t>5.9%</w:t>
            </w:r>
          </w:p>
        </w:tc>
        <w:tc>
          <w:tcPr>
            <w:tcW w:w="350" w:type="dxa"/>
            <w:tcBorders>
              <w:top w:val="nil"/>
              <w:left w:val="single" w:sz="4" w:space="0" w:color="auto"/>
              <w:bottom w:val="nil"/>
              <w:right w:val="single" w:sz="4" w:space="0" w:color="auto"/>
            </w:tcBorders>
            <w:vAlign w:val="center"/>
          </w:tcPr>
          <w:p w14:paraId="2F177427" w14:textId="77777777" w:rsidR="00334FE2" w:rsidRDefault="00334FE2" w:rsidP="00334FE2">
            <w:pPr>
              <w:spacing w:line="240" w:lineRule="auto"/>
              <w:jc w:val="center"/>
            </w:pPr>
          </w:p>
        </w:tc>
        <w:tc>
          <w:tcPr>
            <w:tcW w:w="856" w:type="dxa"/>
            <w:tcBorders>
              <w:top w:val="nil"/>
              <w:left w:val="single" w:sz="4" w:space="0" w:color="auto"/>
              <w:bottom w:val="single" w:sz="4" w:space="0" w:color="auto"/>
              <w:right w:val="nil"/>
            </w:tcBorders>
            <w:vAlign w:val="center"/>
          </w:tcPr>
          <w:p w14:paraId="31CFCCF1" w14:textId="77777777" w:rsidR="00334FE2" w:rsidRDefault="00334FE2" w:rsidP="00334FE2">
            <w:pPr>
              <w:spacing w:line="240" w:lineRule="auto"/>
              <w:jc w:val="right"/>
            </w:pPr>
            <w:r>
              <w:t>777.24</w:t>
            </w:r>
          </w:p>
        </w:tc>
        <w:tc>
          <w:tcPr>
            <w:tcW w:w="359" w:type="dxa"/>
            <w:tcBorders>
              <w:top w:val="nil"/>
              <w:left w:val="nil"/>
              <w:bottom w:val="single" w:sz="4" w:space="0" w:color="auto"/>
              <w:right w:val="nil"/>
            </w:tcBorders>
            <w:vAlign w:val="center"/>
          </w:tcPr>
          <w:p w14:paraId="0BF60C0D" w14:textId="77777777" w:rsidR="00334FE2" w:rsidRDefault="00334FE2" w:rsidP="00334FE2">
            <w:pPr>
              <w:spacing w:line="240" w:lineRule="auto"/>
              <w:jc w:val="center"/>
            </w:pPr>
            <w:r>
              <w:t>±</w:t>
            </w:r>
          </w:p>
        </w:tc>
        <w:tc>
          <w:tcPr>
            <w:tcW w:w="848" w:type="dxa"/>
            <w:tcBorders>
              <w:top w:val="nil"/>
              <w:left w:val="nil"/>
              <w:bottom w:val="single" w:sz="4" w:space="0" w:color="auto"/>
              <w:right w:val="single" w:sz="4" w:space="0" w:color="auto"/>
            </w:tcBorders>
            <w:vAlign w:val="center"/>
          </w:tcPr>
          <w:p w14:paraId="793901AC" w14:textId="77777777" w:rsidR="00334FE2" w:rsidRDefault="00334FE2" w:rsidP="00334FE2">
            <w:pPr>
              <w:spacing w:line="240" w:lineRule="auto"/>
              <w:jc w:val="left"/>
            </w:pPr>
            <w:r>
              <w:t>50.30</w:t>
            </w:r>
          </w:p>
        </w:tc>
        <w:tc>
          <w:tcPr>
            <w:tcW w:w="1203" w:type="dxa"/>
            <w:tcBorders>
              <w:top w:val="nil"/>
              <w:left w:val="single" w:sz="4" w:space="0" w:color="auto"/>
              <w:bottom w:val="single" w:sz="4" w:space="0" w:color="auto"/>
              <w:right w:val="single" w:sz="4" w:space="0" w:color="auto"/>
            </w:tcBorders>
            <w:vAlign w:val="center"/>
          </w:tcPr>
          <w:p w14:paraId="1B02111B" w14:textId="77777777" w:rsidR="00334FE2" w:rsidRPr="00E12D71" w:rsidRDefault="00334FE2" w:rsidP="00334FE2">
            <w:pPr>
              <w:spacing w:line="240" w:lineRule="auto"/>
              <w:jc w:val="center"/>
              <w:rPr>
                <w:i/>
              </w:rPr>
            </w:pPr>
            <w:r>
              <w:rPr>
                <w:i/>
              </w:rPr>
              <w:t>11.0%</w:t>
            </w:r>
          </w:p>
        </w:tc>
      </w:tr>
      <w:tr w:rsidR="00334FE2" w14:paraId="7C7D7D18" w14:textId="77777777" w:rsidTr="00334FE2">
        <w:trPr>
          <w:trHeight w:val="360"/>
        </w:trPr>
        <w:tc>
          <w:tcPr>
            <w:tcW w:w="572" w:type="dxa"/>
            <w:vMerge w:val="restart"/>
            <w:tcBorders>
              <w:top w:val="single" w:sz="4" w:space="0" w:color="auto"/>
              <w:left w:val="single" w:sz="4" w:space="0" w:color="auto"/>
              <w:bottom w:val="nil"/>
              <w:right w:val="nil"/>
            </w:tcBorders>
            <w:textDirection w:val="btLr"/>
            <w:vAlign w:val="center"/>
          </w:tcPr>
          <w:p w14:paraId="5AF7CD0C" w14:textId="77777777" w:rsidR="00334FE2" w:rsidRDefault="00334FE2" w:rsidP="00334FE2">
            <w:pPr>
              <w:spacing w:line="240" w:lineRule="auto"/>
              <w:ind w:left="113" w:right="113"/>
              <w:jc w:val="center"/>
            </w:pPr>
            <w:r>
              <w:t>99% RH</w:t>
            </w:r>
          </w:p>
        </w:tc>
        <w:tc>
          <w:tcPr>
            <w:tcW w:w="1258" w:type="dxa"/>
            <w:tcBorders>
              <w:top w:val="single" w:sz="4" w:space="0" w:color="auto"/>
              <w:left w:val="nil"/>
              <w:bottom w:val="nil"/>
              <w:right w:val="single" w:sz="4" w:space="0" w:color="auto"/>
            </w:tcBorders>
            <w:vAlign w:val="center"/>
          </w:tcPr>
          <w:p w14:paraId="6F8225A4" w14:textId="77777777" w:rsidR="00334FE2" w:rsidRDefault="00334FE2" w:rsidP="00334FE2">
            <w:pPr>
              <w:spacing w:line="240" w:lineRule="auto"/>
              <w:jc w:val="center"/>
            </w:pPr>
            <w:r>
              <w:t>68.9</w:t>
            </w:r>
          </w:p>
        </w:tc>
        <w:tc>
          <w:tcPr>
            <w:tcW w:w="856" w:type="dxa"/>
            <w:tcBorders>
              <w:top w:val="single" w:sz="4" w:space="0" w:color="auto"/>
              <w:left w:val="single" w:sz="4" w:space="0" w:color="auto"/>
              <w:bottom w:val="nil"/>
              <w:right w:val="nil"/>
            </w:tcBorders>
            <w:vAlign w:val="center"/>
          </w:tcPr>
          <w:p w14:paraId="6EEAEE13" w14:textId="77777777" w:rsidR="00334FE2" w:rsidRDefault="00334FE2" w:rsidP="00334FE2">
            <w:pPr>
              <w:spacing w:line="240" w:lineRule="auto"/>
              <w:jc w:val="right"/>
            </w:pPr>
            <w:r>
              <w:t>429.29</w:t>
            </w:r>
          </w:p>
        </w:tc>
        <w:tc>
          <w:tcPr>
            <w:tcW w:w="359" w:type="dxa"/>
            <w:tcBorders>
              <w:top w:val="single" w:sz="4" w:space="0" w:color="auto"/>
              <w:left w:val="nil"/>
              <w:bottom w:val="nil"/>
              <w:right w:val="nil"/>
            </w:tcBorders>
            <w:vAlign w:val="center"/>
          </w:tcPr>
          <w:p w14:paraId="45BC4584" w14:textId="77777777" w:rsidR="00334FE2" w:rsidRDefault="00334FE2" w:rsidP="00334FE2">
            <w:pPr>
              <w:spacing w:line="240" w:lineRule="auto"/>
              <w:jc w:val="center"/>
            </w:pPr>
            <w:r>
              <w:t>±</w:t>
            </w:r>
          </w:p>
        </w:tc>
        <w:tc>
          <w:tcPr>
            <w:tcW w:w="848" w:type="dxa"/>
            <w:tcBorders>
              <w:top w:val="single" w:sz="4" w:space="0" w:color="auto"/>
              <w:left w:val="nil"/>
              <w:bottom w:val="nil"/>
              <w:right w:val="single" w:sz="4" w:space="0" w:color="auto"/>
            </w:tcBorders>
            <w:vAlign w:val="center"/>
          </w:tcPr>
          <w:p w14:paraId="62C3A11B" w14:textId="77777777" w:rsidR="00334FE2" w:rsidRDefault="00334FE2" w:rsidP="00334FE2">
            <w:pPr>
              <w:spacing w:line="240" w:lineRule="auto"/>
              <w:jc w:val="left"/>
            </w:pPr>
            <w:r>
              <w:t>17.20</w:t>
            </w:r>
          </w:p>
        </w:tc>
        <w:tc>
          <w:tcPr>
            <w:tcW w:w="1203" w:type="dxa"/>
            <w:tcBorders>
              <w:top w:val="single" w:sz="4" w:space="0" w:color="auto"/>
              <w:left w:val="single" w:sz="4" w:space="0" w:color="auto"/>
              <w:bottom w:val="nil"/>
              <w:right w:val="single" w:sz="4" w:space="0" w:color="auto"/>
            </w:tcBorders>
            <w:vAlign w:val="center"/>
          </w:tcPr>
          <w:p w14:paraId="060885F1" w14:textId="77777777" w:rsidR="00334FE2" w:rsidRPr="00E12D71" w:rsidRDefault="00334FE2" w:rsidP="00334FE2">
            <w:pPr>
              <w:spacing w:line="240" w:lineRule="auto"/>
              <w:jc w:val="center"/>
              <w:rPr>
                <w:i/>
              </w:rPr>
            </w:pPr>
            <w:r>
              <w:rPr>
                <w:i/>
              </w:rPr>
              <w:t>4.8%</w:t>
            </w:r>
          </w:p>
        </w:tc>
        <w:tc>
          <w:tcPr>
            <w:tcW w:w="350" w:type="dxa"/>
            <w:tcBorders>
              <w:top w:val="nil"/>
              <w:left w:val="single" w:sz="4" w:space="0" w:color="auto"/>
              <w:bottom w:val="nil"/>
              <w:right w:val="single" w:sz="4" w:space="0" w:color="auto"/>
            </w:tcBorders>
            <w:vAlign w:val="center"/>
          </w:tcPr>
          <w:p w14:paraId="10072F11" w14:textId="77777777" w:rsidR="00334FE2" w:rsidRDefault="00334FE2" w:rsidP="00334FE2">
            <w:pPr>
              <w:spacing w:line="240" w:lineRule="auto"/>
              <w:jc w:val="center"/>
            </w:pPr>
          </w:p>
        </w:tc>
        <w:tc>
          <w:tcPr>
            <w:tcW w:w="856" w:type="dxa"/>
            <w:tcBorders>
              <w:top w:val="single" w:sz="4" w:space="0" w:color="auto"/>
              <w:left w:val="single" w:sz="4" w:space="0" w:color="auto"/>
              <w:bottom w:val="nil"/>
              <w:right w:val="nil"/>
            </w:tcBorders>
            <w:vAlign w:val="center"/>
          </w:tcPr>
          <w:p w14:paraId="7EA561B5" w14:textId="77777777" w:rsidR="00334FE2" w:rsidRDefault="00334FE2" w:rsidP="00334FE2">
            <w:pPr>
              <w:spacing w:line="240" w:lineRule="auto"/>
              <w:jc w:val="right"/>
            </w:pPr>
            <w:r>
              <w:t>560.34</w:t>
            </w:r>
          </w:p>
        </w:tc>
        <w:tc>
          <w:tcPr>
            <w:tcW w:w="359" w:type="dxa"/>
            <w:tcBorders>
              <w:top w:val="single" w:sz="4" w:space="0" w:color="auto"/>
              <w:left w:val="nil"/>
              <w:bottom w:val="nil"/>
              <w:right w:val="nil"/>
            </w:tcBorders>
            <w:vAlign w:val="center"/>
          </w:tcPr>
          <w:p w14:paraId="29A26859" w14:textId="77777777" w:rsidR="00334FE2" w:rsidRDefault="00334FE2" w:rsidP="00334FE2">
            <w:pPr>
              <w:spacing w:line="240" w:lineRule="auto"/>
              <w:jc w:val="center"/>
            </w:pPr>
            <w:r>
              <w:t>±</w:t>
            </w:r>
          </w:p>
        </w:tc>
        <w:tc>
          <w:tcPr>
            <w:tcW w:w="848" w:type="dxa"/>
            <w:tcBorders>
              <w:top w:val="single" w:sz="4" w:space="0" w:color="auto"/>
              <w:left w:val="nil"/>
              <w:bottom w:val="nil"/>
              <w:right w:val="single" w:sz="4" w:space="0" w:color="auto"/>
            </w:tcBorders>
            <w:vAlign w:val="center"/>
          </w:tcPr>
          <w:p w14:paraId="5689E118" w14:textId="77777777" w:rsidR="00334FE2" w:rsidRDefault="00334FE2" w:rsidP="00334FE2">
            <w:pPr>
              <w:spacing w:line="240" w:lineRule="auto"/>
              <w:jc w:val="left"/>
            </w:pPr>
            <w:r>
              <w:t>52.92</w:t>
            </w:r>
          </w:p>
        </w:tc>
        <w:tc>
          <w:tcPr>
            <w:tcW w:w="1203" w:type="dxa"/>
            <w:tcBorders>
              <w:top w:val="single" w:sz="4" w:space="0" w:color="auto"/>
              <w:left w:val="single" w:sz="4" w:space="0" w:color="auto"/>
              <w:bottom w:val="nil"/>
              <w:right w:val="single" w:sz="4" w:space="0" w:color="auto"/>
            </w:tcBorders>
            <w:vAlign w:val="center"/>
          </w:tcPr>
          <w:p w14:paraId="028D297E" w14:textId="77777777" w:rsidR="00334FE2" w:rsidRPr="00E12D71" w:rsidRDefault="00334FE2" w:rsidP="00334FE2">
            <w:pPr>
              <w:spacing w:line="240" w:lineRule="auto"/>
              <w:jc w:val="center"/>
              <w:rPr>
                <w:i/>
              </w:rPr>
            </w:pPr>
            <w:r>
              <w:rPr>
                <w:i/>
              </w:rPr>
              <w:t>0.3%</w:t>
            </w:r>
          </w:p>
        </w:tc>
      </w:tr>
      <w:tr w:rsidR="00334FE2" w14:paraId="13E01FCA" w14:textId="77777777" w:rsidTr="00334FE2">
        <w:trPr>
          <w:trHeight w:val="360"/>
        </w:trPr>
        <w:tc>
          <w:tcPr>
            <w:tcW w:w="572" w:type="dxa"/>
            <w:vMerge/>
            <w:tcBorders>
              <w:top w:val="nil"/>
              <w:left w:val="single" w:sz="4" w:space="0" w:color="auto"/>
              <w:bottom w:val="nil"/>
              <w:right w:val="nil"/>
            </w:tcBorders>
            <w:vAlign w:val="center"/>
          </w:tcPr>
          <w:p w14:paraId="7534F602" w14:textId="77777777" w:rsidR="00334FE2" w:rsidRDefault="00334FE2" w:rsidP="00334FE2">
            <w:pPr>
              <w:spacing w:line="240" w:lineRule="auto"/>
              <w:jc w:val="center"/>
            </w:pPr>
          </w:p>
        </w:tc>
        <w:tc>
          <w:tcPr>
            <w:tcW w:w="1258" w:type="dxa"/>
            <w:tcBorders>
              <w:top w:val="nil"/>
              <w:left w:val="nil"/>
              <w:bottom w:val="nil"/>
              <w:right w:val="single" w:sz="4" w:space="0" w:color="auto"/>
            </w:tcBorders>
            <w:vAlign w:val="center"/>
          </w:tcPr>
          <w:p w14:paraId="0BCE980D" w14:textId="77777777" w:rsidR="00334FE2" w:rsidRDefault="00334FE2" w:rsidP="00334FE2">
            <w:pPr>
              <w:spacing w:line="240" w:lineRule="auto"/>
              <w:jc w:val="center"/>
            </w:pPr>
            <w:r>
              <w:t>206.8</w:t>
            </w:r>
          </w:p>
        </w:tc>
        <w:tc>
          <w:tcPr>
            <w:tcW w:w="856" w:type="dxa"/>
            <w:tcBorders>
              <w:top w:val="nil"/>
              <w:left w:val="single" w:sz="4" w:space="0" w:color="auto"/>
              <w:bottom w:val="nil"/>
              <w:right w:val="nil"/>
            </w:tcBorders>
            <w:vAlign w:val="center"/>
          </w:tcPr>
          <w:p w14:paraId="0FABDECD" w14:textId="77777777" w:rsidR="00334FE2" w:rsidRDefault="00334FE2" w:rsidP="00334FE2">
            <w:pPr>
              <w:spacing w:line="240" w:lineRule="auto"/>
              <w:jc w:val="right"/>
            </w:pPr>
            <w:r>
              <w:t>483.73</w:t>
            </w:r>
          </w:p>
        </w:tc>
        <w:tc>
          <w:tcPr>
            <w:tcW w:w="359" w:type="dxa"/>
            <w:tcBorders>
              <w:top w:val="nil"/>
              <w:left w:val="nil"/>
              <w:bottom w:val="nil"/>
              <w:right w:val="nil"/>
            </w:tcBorders>
            <w:vAlign w:val="center"/>
          </w:tcPr>
          <w:p w14:paraId="4F8F1B2A" w14:textId="77777777" w:rsidR="00334FE2" w:rsidRDefault="00334FE2" w:rsidP="00334FE2">
            <w:pPr>
              <w:spacing w:line="240" w:lineRule="auto"/>
              <w:jc w:val="center"/>
            </w:pPr>
            <w:r>
              <w:t>±</w:t>
            </w:r>
          </w:p>
        </w:tc>
        <w:tc>
          <w:tcPr>
            <w:tcW w:w="848" w:type="dxa"/>
            <w:tcBorders>
              <w:top w:val="nil"/>
              <w:left w:val="nil"/>
              <w:bottom w:val="nil"/>
              <w:right w:val="single" w:sz="4" w:space="0" w:color="auto"/>
            </w:tcBorders>
            <w:vAlign w:val="center"/>
          </w:tcPr>
          <w:p w14:paraId="4011F90B" w14:textId="77777777" w:rsidR="00334FE2" w:rsidRDefault="00334FE2" w:rsidP="00334FE2">
            <w:pPr>
              <w:spacing w:line="240" w:lineRule="auto"/>
              <w:jc w:val="left"/>
            </w:pPr>
            <w:r>
              <w:t>14.12</w:t>
            </w:r>
          </w:p>
        </w:tc>
        <w:tc>
          <w:tcPr>
            <w:tcW w:w="1203" w:type="dxa"/>
            <w:tcBorders>
              <w:top w:val="nil"/>
              <w:left w:val="single" w:sz="4" w:space="0" w:color="auto"/>
              <w:bottom w:val="nil"/>
              <w:right w:val="single" w:sz="4" w:space="0" w:color="auto"/>
            </w:tcBorders>
            <w:vAlign w:val="center"/>
          </w:tcPr>
          <w:p w14:paraId="0C8BEC39" w14:textId="77777777" w:rsidR="00334FE2" w:rsidRPr="00E12D71" w:rsidRDefault="00334FE2" w:rsidP="00334FE2">
            <w:pPr>
              <w:spacing w:line="240" w:lineRule="auto"/>
              <w:jc w:val="center"/>
              <w:rPr>
                <w:i/>
              </w:rPr>
            </w:pPr>
            <w:r>
              <w:rPr>
                <w:i/>
              </w:rPr>
              <w:t>7.3%</w:t>
            </w:r>
          </w:p>
        </w:tc>
        <w:tc>
          <w:tcPr>
            <w:tcW w:w="350" w:type="dxa"/>
            <w:tcBorders>
              <w:top w:val="nil"/>
              <w:left w:val="single" w:sz="4" w:space="0" w:color="auto"/>
              <w:bottom w:val="nil"/>
              <w:right w:val="single" w:sz="4" w:space="0" w:color="auto"/>
            </w:tcBorders>
            <w:vAlign w:val="center"/>
          </w:tcPr>
          <w:p w14:paraId="6EF1F649" w14:textId="77777777" w:rsidR="00334FE2" w:rsidRDefault="00334FE2" w:rsidP="00334FE2">
            <w:pPr>
              <w:spacing w:line="240" w:lineRule="auto"/>
              <w:jc w:val="center"/>
            </w:pPr>
          </w:p>
        </w:tc>
        <w:tc>
          <w:tcPr>
            <w:tcW w:w="856" w:type="dxa"/>
            <w:tcBorders>
              <w:top w:val="nil"/>
              <w:left w:val="single" w:sz="4" w:space="0" w:color="auto"/>
              <w:bottom w:val="nil"/>
              <w:right w:val="nil"/>
            </w:tcBorders>
            <w:vAlign w:val="center"/>
          </w:tcPr>
          <w:p w14:paraId="53823578" w14:textId="77777777" w:rsidR="00334FE2" w:rsidRDefault="00334FE2" w:rsidP="00334FE2">
            <w:pPr>
              <w:spacing w:line="240" w:lineRule="auto"/>
              <w:jc w:val="right"/>
            </w:pPr>
            <w:r>
              <w:t>618.46</w:t>
            </w:r>
          </w:p>
        </w:tc>
        <w:tc>
          <w:tcPr>
            <w:tcW w:w="359" w:type="dxa"/>
            <w:tcBorders>
              <w:top w:val="nil"/>
              <w:left w:val="nil"/>
              <w:bottom w:val="nil"/>
              <w:right w:val="nil"/>
            </w:tcBorders>
            <w:vAlign w:val="center"/>
          </w:tcPr>
          <w:p w14:paraId="454A2C9D" w14:textId="77777777" w:rsidR="00334FE2" w:rsidRDefault="00334FE2" w:rsidP="00334FE2">
            <w:pPr>
              <w:spacing w:line="240" w:lineRule="auto"/>
              <w:jc w:val="center"/>
            </w:pPr>
            <w:r>
              <w:t>±</w:t>
            </w:r>
          </w:p>
        </w:tc>
        <w:tc>
          <w:tcPr>
            <w:tcW w:w="848" w:type="dxa"/>
            <w:tcBorders>
              <w:top w:val="nil"/>
              <w:left w:val="nil"/>
              <w:bottom w:val="nil"/>
              <w:right w:val="single" w:sz="4" w:space="0" w:color="auto"/>
            </w:tcBorders>
            <w:vAlign w:val="center"/>
          </w:tcPr>
          <w:p w14:paraId="499E4BB7" w14:textId="77777777" w:rsidR="00334FE2" w:rsidRDefault="00334FE2" w:rsidP="00334FE2">
            <w:pPr>
              <w:spacing w:line="240" w:lineRule="auto"/>
              <w:jc w:val="left"/>
            </w:pPr>
            <w:r>
              <w:t>38.10</w:t>
            </w:r>
          </w:p>
        </w:tc>
        <w:tc>
          <w:tcPr>
            <w:tcW w:w="1203" w:type="dxa"/>
            <w:tcBorders>
              <w:top w:val="nil"/>
              <w:left w:val="single" w:sz="4" w:space="0" w:color="auto"/>
              <w:bottom w:val="nil"/>
              <w:right w:val="single" w:sz="4" w:space="0" w:color="auto"/>
            </w:tcBorders>
            <w:vAlign w:val="center"/>
          </w:tcPr>
          <w:p w14:paraId="58CB8CA9" w14:textId="77777777" w:rsidR="00334FE2" w:rsidRPr="00E12D71" w:rsidRDefault="00334FE2" w:rsidP="00334FE2">
            <w:pPr>
              <w:spacing w:line="240" w:lineRule="auto"/>
              <w:jc w:val="center"/>
              <w:rPr>
                <w:i/>
              </w:rPr>
            </w:pPr>
            <w:r>
              <w:rPr>
                <w:i/>
              </w:rPr>
              <w:t>9.6%</w:t>
            </w:r>
          </w:p>
        </w:tc>
      </w:tr>
      <w:tr w:rsidR="00334FE2" w14:paraId="09CE6235" w14:textId="77777777" w:rsidTr="00334FE2">
        <w:trPr>
          <w:trHeight w:val="360"/>
        </w:trPr>
        <w:tc>
          <w:tcPr>
            <w:tcW w:w="572" w:type="dxa"/>
            <w:vMerge/>
            <w:tcBorders>
              <w:top w:val="nil"/>
              <w:left w:val="single" w:sz="4" w:space="0" w:color="auto"/>
              <w:bottom w:val="nil"/>
              <w:right w:val="nil"/>
            </w:tcBorders>
            <w:vAlign w:val="center"/>
          </w:tcPr>
          <w:p w14:paraId="18304D8B" w14:textId="77777777" w:rsidR="00334FE2" w:rsidRDefault="00334FE2" w:rsidP="00334FE2">
            <w:pPr>
              <w:spacing w:line="240" w:lineRule="auto"/>
              <w:jc w:val="center"/>
            </w:pPr>
          </w:p>
        </w:tc>
        <w:tc>
          <w:tcPr>
            <w:tcW w:w="1258" w:type="dxa"/>
            <w:tcBorders>
              <w:top w:val="nil"/>
              <w:left w:val="nil"/>
              <w:bottom w:val="nil"/>
              <w:right w:val="single" w:sz="4" w:space="0" w:color="auto"/>
            </w:tcBorders>
            <w:vAlign w:val="center"/>
          </w:tcPr>
          <w:p w14:paraId="101B9A13" w14:textId="77777777" w:rsidR="00334FE2" w:rsidRDefault="00334FE2" w:rsidP="00334FE2">
            <w:pPr>
              <w:spacing w:line="240" w:lineRule="auto"/>
              <w:jc w:val="center"/>
            </w:pPr>
            <w:r>
              <w:t>344.7</w:t>
            </w:r>
          </w:p>
        </w:tc>
        <w:tc>
          <w:tcPr>
            <w:tcW w:w="856" w:type="dxa"/>
            <w:tcBorders>
              <w:top w:val="nil"/>
              <w:left w:val="single" w:sz="4" w:space="0" w:color="auto"/>
              <w:bottom w:val="nil"/>
              <w:right w:val="nil"/>
            </w:tcBorders>
            <w:vAlign w:val="center"/>
          </w:tcPr>
          <w:p w14:paraId="0DF296CF" w14:textId="77777777" w:rsidR="00334FE2" w:rsidRDefault="00334FE2" w:rsidP="00334FE2">
            <w:pPr>
              <w:spacing w:line="240" w:lineRule="auto"/>
              <w:jc w:val="right"/>
            </w:pPr>
            <w:r>
              <w:t>510.78</w:t>
            </w:r>
          </w:p>
        </w:tc>
        <w:tc>
          <w:tcPr>
            <w:tcW w:w="359" w:type="dxa"/>
            <w:tcBorders>
              <w:top w:val="nil"/>
              <w:left w:val="nil"/>
              <w:bottom w:val="nil"/>
              <w:right w:val="nil"/>
            </w:tcBorders>
            <w:vAlign w:val="center"/>
          </w:tcPr>
          <w:p w14:paraId="2E9036C0" w14:textId="77777777" w:rsidR="00334FE2" w:rsidRDefault="00334FE2" w:rsidP="00334FE2">
            <w:pPr>
              <w:spacing w:line="240" w:lineRule="auto"/>
              <w:jc w:val="center"/>
            </w:pPr>
            <w:r>
              <w:t>±</w:t>
            </w:r>
          </w:p>
        </w:tc>
        <w:tc>
          <w:tcPr>
            <w:tcW w:w="848" w:type="dxa"/>
            <w:tcBorders>
              <w:top w:val="nil"/>
              <w:left w:val="nil"/>
              <w:bottom w:val="nil"/>
              <w:right w:val="single" w:sz="4" w:space="0" w:color="auto"/>
            </w:tcBorders>
            <w:vAlign w:val="center"/>
          </w:tcPr>
          <w:p w14:paraId="6D913C63" w14:textId="77777777" w:rsidR="00334FE2" w:rsidRDefault="00334FE2" w:rsidP="00334FE2">
            <w:pPr>
              <w:spacing w:line="240" w:lineRule="auto"/>
              <w:jc w:val="left"/>
            </w:pPr>
            <w:r>
              <w:t>15.38</w:t>
            </w:r>
          </w:p>
        </w:tc>
        <w:tc>
          <w:tcPr>
            <w:tcW w:w="1203" w:type="dxa"/>
            <w:tcBorders>
              <w:top w:val="nil"/>
              <w:left w:val="single" w:sz="4" w:space="0" w:color="auto"/>
              <w:bottom w:val="nil"/>
              <w:right w:val="single" w:sz="4" w:space="0" w:color="auto"/>
            </w:tcBorders>
            <w:vAlign w:val="center"/>
          </w:tcPr>
          <w:p w14:paraId="77C69D98" w14:textId="77777777" w:rsidR="00334FE2" w:rsidRPr="00E12D71" w:rsidRDefault="00334FE2" w:rsidP="00334FE2">
            <w:pPr>
              <w:spacing w:line="240" w:lineRule="auto"/>
              <w:jc w:val="center"/>
              <w:rPr>
                <w:i/>
              </w:rPr>
            </w:pPr>
            <w:r>
              <w:rPr>
                <w:i/>
              </w:rPr>
              <w:t>5.8%</w:t>
            </w:r>
          </w:p>
        </w:tc>
        <w:tc>
          <w:tcPr>
            <w:tcW w:w="350" w:type="dxa"/>
            <w:tcBorders>
              <w:top w:val="nil"/>
              <w:left w:val="single" w:sz="4" w:space="0" w:color="auto"/>
              <w:bottom w:val="nil"/>
              <w:right w:val="single" w:sz="4" w:space="0" w:color="auto"/>
            </w:tcBorders>
            <w:vAlign w:val="center"/>
          </w:tcPr>
          <w:p w14:paraId="1998C556" w14:textId="77777777" w:rsidR="00334FE2" w:rsidRDefault="00334FE2" w:rsidP="00334FE2">
            <w:pPr>
              <w:spacing w:line="240" w:lineRule="auto"/>
              <w:jc w:val="center"/>
            </w:pPr>
          </w:p>
        </w:tc>
        <w:tc>
          <w:tcPr>
            <w:tcW w:w="856" w:type="dxa"/>
            <w:tcBorders>
              <w:top w:val="nil"/>
              <w:left w:val="single" w:sz="4" w:space="0" w:color="auto"/>
              <w:bottom w:val="nil"/>
              <w:right w:val="nil"/>
            </w:tcBorders>
            <w:vAlign w:val="center"/>
          </w:tcPr>
          <w:p w14:paraId="14D72420" w14:textId="77777777" w:rsidR="00334FE2" w:rsidRDefault="00334FE2" w:rsidP="00334FE2">
            <w:pPr>
              <w:spacing w:line="240" w:lineRule="auto"/>
              <w:jc w:val="right"/>
            </w:pPr>
            <w:r>
              <w:t>680.59</w:t>
            </w:r>
          </w:p>
        </w:tc>
        <w:tc>
          <w:tcPr>
            <w:tcW w:w="359" w:type="dxa"/>
            <w:tcBorders>
              <w:top w:val="nil"/>
              <w:left w:val="nil"/>
              <w:bottom w:val="nil"/>
              <w:right w:val="nil"/>
            </w:tcBorders>
            <w:vAlign w:val="center"/>
          </w:tcPr>
          <w:p w14:paraId="1C9195BA" w14:textId="77777777" w:rsidR="00334FE2" w:rsidRDefault="00334FE2" w:rsidP="00334FE2">
            <w:pPr>
              <w:spacing w:line="240" w:lineRule="auto"/>
              <w:jc w:val="center"/>
            </w:pPr>
            <w:r>
              <w:t>±</w:t>
            </w:r>
          </w:p>
        </w:tc>
        <w:tc>
          <w:tcPr>
            <w:tcW w:w="848" w:type="dxa"/>
            <w:tcBorders>
              <w:top w:val="nil"/>
              <w:left w:val="nil"/>
              <w:bottom w:val="nil"/>
              <w:right w:val="single" w:sz="4" w:space="0" w:color="auto"/>
            </w:tcBorders>
            <w:vAlign w:val="center"/>
          </w:tcPr>
          <w:p w14:paraId="1829B998" w14:textId="77777777" w:rsidR="00334FE2" w:rsidRDefault="00334FE2" w:rsidP="00334FE2">
            <w:pPr>
              <w:spacing w:line="240" w:lineRule="auto"/>
              <w:jc w:val="left"/>
            </w:pPr>
            <w:r>
              <w:t>41.61</w:t>
            </w:r>
          </w:p>
        </w:tc>
        <w:tc>
          <w:tcPr>
            <w:tcW w:w="1203" w:type="dxa"/>
            <w:tcBorders>
              <w:top w:val="nil"/>
              <w:left w:val="single" w:sz="4" w:space="0" w:color="auto"/>
              <w:bottom w:val="nil"/>
              <w:right w:val="single" w:sz="4" w:space="0" w:color="auto"/>
            </w:tcBorders>
            <w:vAlign w:val="center"/>
          </w:tcPr>
          <w:p w14:paraId="13C1B877" w14:textId="77777777" w:rsidR="00334FE2" w:rsidRPr="00E12D71" w:rsidRDefault="00334FE2" w:rsidP="00334FE2">
            <w:pPr>
              <w:spacing w:line="240" w:lineRule="auto"/>
              <w:jc w:val="center"/>
              <w:rPr>
                <w:i/>
              </w:rPr>
            </w:pPr>
            <w:r>
              <w:rPr>
                <w:i/>
              </w:rPr>
              <w:t>8.2%</w:t>
            </w:r>
          </w:p>
        </w:tc>
      </w:tr>
      <w:tr w:rsidR="00334FE2" w14:paraId="239D2098" w14:textId="77777777" w:rsidTr="00334FE2">
        <w:trPr>
          <w:trHeight w:val="360"/>
        </w:trPr>
        <w:tc>
          <w:tcPr>
            <w:tcW w:w="572" w:type="dxa"/>
            <w:vMerge/>
            <w:tcBorders>
              <w:top w:val="nil"/>
              <w:left w:val="single" w:sz="4" w:space="0" w:color="auto"/>
              <w:bottom w:val="single" w:sz="18" w:space="0" w:color="auto"/>
              <w:right w:val="nil"/>
            </w:tcBorders>
            <w:vAlign w:val="center"/>
          </w:tcPr>
          <w:p w14:paraId="4D9A4ED7" w14:textId="77777777" w:rsidR="00334FE2" w:rsidRDefault="00334FE2" w:rsidP="00334FE2">
            <w:pPr>
              <w:spacing w:line="240" w:lineRule="auto"/>
              <w:jc w:val="center"/>
            </w:pPr>
          </w:p>
        </w:tc>
        <w:tc>
          <w:tcPr>
            <w:tcW w:w="1258" w:type="dxa"/>
            <w:tcBorders>
              <w:top w:val="nil"/>
              <w:left w:val="nil"/>
              <w:bottom w:val="single" w:sz="18" w:space="0" w:color="auto"/>
              <w:right w:val="single" w:sz="4" w:space="0" w:color="auto"/>
            </w:tcBorders>
            <w:vAlign w:val="center"/>
          </w:tcPr>
          <w:p w14:paraId="33CF61CD" w14:textId="77777777" w:rsidR="00334FE2" w:rsidRDefault="00334FE2" w:rsidP="00334FE2">
            <w:pPr>
              <w:spacing w:line="240" w:lineRule="auto"/>
              <w:jc w:val="center"/>
            </w:pPr>
            <w:r>
              <w:t>482.6</w:t>
            </w:r>
          </w:p>
        </w:tc>
        <w:tc>
          <w:tcPr>
            <w:tcW w:w="856" w:type="dxa"/>
            <w:tcBorders>
              <w:top w:val="nil"/>
              <w:left w:val="single" w:sz="4" w:space="0" w:color="auto"/>
              <w:bottom w:val="single" w:sz="18" w:space="0" w:color="auto"/>
              <w:right w:val="nil"/>
            </w:tcBorders>
            <w:vAlign w:val="center"/>
          </w:tcPr>
          <w:p w14:paraId="35E7CB31" w14:textId="77777777" w:rsidR="00334FE2" w:rsidRDefault="00334FE2" w:rsidP="00334FE2">
            <w:pPr>
              <w:spacing w:line="240" w:lineRule="auto"/>
              <w:jc w:val="right"/>
            </w:pPr>
            <w:r>
              <w:t>517.33</w:t>
            </w:r>
          </w:p>
        </w:tc>
        <w:tc>
          <w:tcPr>
            <w:tcW w:w="359" w:type="dxa"/>
            <w:tcBorders>
              <w:top w:val="nil"/>
              <w:left w:val="nil"/>
              <w:bottom w:val="single" w:sz="18" w:space="0" w:color="auto"/>
              <w:right w:val="nil"/>
            </w:tcBorders>
            <w:vAlign w:val="center"/>
          </w:tcPr>
          <w:p w14:paraId="186AE8DA" w14:textId="77777777" w:rsidR="00334FE2" w:rsidRDefault="00334FE2" w:rsidP="00334FE2">
            <w:pPr>
              <w:spacing w:line="240" w:lineRule="auto"/>
              <w:jc w:val="center"/>
            </w:pPr>
            <w:r>
              <w:t>±</w:t>
            </w:r>
          </w:p>
        </w:tc>
        <w:tc>
          <w:tcPr>
            <w:tcW w:w="848" w:type="dxa"/>
            <w:tcBorders>
              <w:top w:val="nil"/>
              <w:left w:val="nil"/>
              <w:bottom w:val="single" w:sz="18" w:space="0" w:color="auto"/>
              <w:right w:val="single" w:sz="4" w:space="0" w:color="auto"/>
            </w:tcBorders>
            <w:vAlign w:val="center"/>
          </w:tcPr>
          <w:p w14:paraId="5873A2B3" w14:textId="77777777" w:rsidR="00334FE2" w:rsidRDefault="00334FE2" w:rsidP="00334FE2">
            <w:pPr>
              <w:spacing w:line="240" w:lineRule="auto"/>
              <w:jc w:val="left"/>
            </w:pPr>
            <w:r>
              <w:t>9.06</w:t>
            </w:r>
          </w:p>
        </w:tc>
        <w:tc>
          <w:tcPr>
            <w:tcW w:w="1203" w:type="dxa"/>
            <w:tcBorders>
              <w:top w:val="nil"/>
              <w:left w:val="single" w:sz="4" w:space="0" w:color="auto"/>
              <w:bottom w:val="single" w:sz="18" w:space="0" w:color="auto"/>
              <w:right w:val="single" w:sz="4" w:space="0" w:color="auto"/>
            </w:tcBorders>
            <w:vAlign w:val="center"/>
          </w:tcPr>
          <w:p w14:paraId="67358D02" w14:textId="77777777" w:rsidR="00334FE2" w:rsidRPr="00E12D71" w:rsidRDefault="00334FE2" w:rsidP="00334FE2">
            <w:pPr>
              <w:spacing w:line="240" w:lineRule="auto"/>
              <w:jc w:val="center"/>
              <w:rPr>
                <w:i/>
              </w:rPr>
            </w:pPr>
            <w:r>
              <w:rPr>
                <w:i/>
              </w:rPr>
              <w:t>6.0%</w:t>
            </w:r>
          </w:p>
        </w:tc>
        <w:tc>
          <w:tcPr>
            <w:tcW w:w="350" w:type="dxa"/>
            <w:tcBorders>
              <w:top w:val="nil"/>
              <w:left w:val="single" w:sz="4" w:space="0" w:color="auto"/>
              <w:bottom w:val="nil"/>
              <w:right w:val="single" w:sz="4" w:space="0" w:color="auto"/>
            </w:tcBorders>
            <w:vAlign w:val="center"/>
          </w:tcPr>
          <w:p w14:paraId="0C6F79B8" w14:textId="77777777" w:rsidR="00334FE2" w:rsidRDefault="00334FE2" w:rsidP="00334FE2">
            <w:pPr>
              <w:spacing w:line="240" w:lineRule="auto"/>
              <w:jc w:val="center"/>
            </w:pPr>
          </w:p>
        </w:tc>
        <w:tc>
          <w:tcPr>
            <w:tcW w:w="856" w:type="dxa"/>
            <w:tcBorders>
              <w:top w:val="nil"/>
              <w:left w:val="single" w:sz="4" w:space="0" w:color="auto"/>
              <w:bottom w:val="single" w:sz="18" w:space="0" w:color="auto"/>
              <w:right w:val="nil"/>
            </w:tcBorders>
            <w:vAlign w:val="center"/>
          </w:tcPr>
          <w:p w14:paraId="2B9D4237" w14:textId="77777777" w:rsidR="00334FE2" w:rsidRDefault="00334FE2" w:rsidP="00334FE2">
            <w:pPr>
              <w:spacing w:line="240" w:lineRule="auto"/>
              <w:jc w:val="right"/>
            </w:pPr>
            <w:r>
              <w:t>703.03</w:t>
            </w:r>
          </w:p>
        </w:tc>
        <w:tc>
          <w:tcPr>
            <w:tcW w:w="359" w:type="dxa"/>
            <w:tcBorders>
              <w:top w:val="nil"/>
              <w:left w:val="nil"/>
              <w:bottom w:val="single" w:sz="18" w:space="0" w:color="auto"/>
              <w:right w:val="nil"/>
            </w:tcBorders>
            <w:vAlign w:val="center"/>
          </w:tcPr>
          <w:p w14:paraId="4B01FE90" w14:textId="77777777" w:rsidR="00334FE2" w:rsidRDefault="00334FE2" w:rsidP="00334FE2">
            <w:pPr>
              <w:spacing w:line="240" w:lineRule="auto"/>
              <w:jc w:val="center"/>
            </w:pPr>
            <w:r>
              <w:t>±</w:t>
            </w:r>
          </w:p>
        </w:tc>
        <w:tc>
          <w:tcPr>
            <w:tcW w:w="848" w:type="dxa"/>
            <w:tcBorders>
              <w:top w:val="nil"/>
              <w:left w:val="nil"/>
              <w:bottom w:val="single" w:sz="18" w:space="0" w:color="auto"/>
              <w:right w:val="single" w:sz="4" w:space="0" w:color="auto"/>
            </w:tcBorders>
            <w:vAlign w:val="center"/>
          </w:tcPr>
          <w:p w14:paraId="268FB833" w14:textId="77777777" w:rsidR="00334FE2" w:rsidRDefault="00334FE2" w:rsidP="00334FE2">
            <w:pPr>
              <w:spacing w:line="240" w:lineRule="auto"/>
              <w:jc w:val="left"/>
            </w:pPr>
            <w:r>
              <w:t>29.66</w:t>
            </w:r>
          </w:p>
        </w:tc>
        <w:tc>
          <w:tcPr>
            <w:tcW w:w="1203" w:type="dxa"/>
            <w:tcBorders>
              <w:top w:val="nil"/>
              <w:left w:val="single" w:sz="4" w:space="0" w:color="auto"/>
              <w:bottom w:val="single" w:sz="18" w:space="0" w:color="auto"/>
              <w:right w:val="single" w:sz="4" w:space="0" w:color="auto"/>
            </w:tcBorders>
            <w:vAlign w:val="center"/>
          </w:tcPr>
          <w:p w14:paraId="729A46DA" w14:textId="77777777" w:rsidR="00334FE2" w:rsidRPr="00E12D71" w:rsidRDefault="00334FE2" w:rsidP="00334FE2">
            <w:pPr>
              <w:spacing w:line="240" w:lineRule="auto"/>
              <w:jc w:val="center"/>
              <w:rPr>
                <w:i/>
              </w:rPr>
            </w:pPr>
            <w:r>
              <w:rPr>
                <w:i/>
              </w:rPr>
              <w:t>9.0%</w:t>
            </w:r>
          </w:p>
        </w:tc>
      </w:tr>
    </w:tbl>
    <w:p w14:paraId="5DF82362" w14:textId="77777777" w:rsidR="00334FE2" w:rsidRDefault="00334FE2" w:rsidP="00334FE2">
      <w:pPr>
        <w:pStyle w:val="Caption"/>
        <w:rPr>
          <w:sz w:val="24"/>
        </w:rPr>
      </w:pPr>
    </w:p>
    <w:p w14:paraId="57F3BBF7" w14:textId="77777777" w:rsidR="00334FE2" w:rsidRPr="00334FE2" w:rsidRDefault="00334FE2" w:rsidP="00CE7CD7">
      <w:pPr>
        <w:spacing w:after="240" w:line="240" w:lineRule="auto"/>
        <w:jc w:val="center"/>
        <w:rPr>
          <w:b/>
        </w:rPr>
      </w:pPr>
    </w:p>
    <w:sectPr w:rsidR="00334FE2" w:rsidRPr="00334FE2" w:rsidSect="00731F31">
      <w:footerReference w:type="default" r:id="rId208"/>
      <w:type w:val="continuous"/>
      <w:pgSz w:w="12240" w:h="15840"/>
      <w:pgMar w:top="1440" w:right="1440" w:bottom="1440" w:left="2304" w:header="720" w:footer="720" w:gutter="0"/>
      <w:pgNumType w:start="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69B63BE" w15:done="0"/>
  <w15:commentEx w15:paraId="5BD1E8DC"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EF9502" w14:textId="77777777" w:rsidR="00ED5497" w:rsidRDefault="00ED5497" w:rsidP="00664C5A">
      <w:pPr>
        <w:spacing w:line="240" w:lineRule="auto"/>
      </w:pPr>
      <w:r>
        <w:separator/>
      </w:r>
    </w:p>
  </w:endnote>
  <w:endnote w:type="continuationSeparator" w:id="0">
    <w:p w14:paraId="454EDE04" w14:textId="77777777" w:rsidR="00ED5497" w:rsidRDefault="00ED5497" w:rsidP="00664C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NewRoman">
    <w:panose1 w:val="00000000000000000000"/>
    <w:charset w:val="4D"/>
    <w:family w:val="roman"/>
    <w:notTrueType/>
    <w:pitch w:val="default"/>
    <w:sig w:usb0="00000003" w:usb1="00000000" w:usb2="00000000" w:usb3="00000000" w:csb0="00000001" w:csb1="00000000"/>
  </w:font>
  <w:font w:name="Lucida Handwriting">
    <w:panose1 w:val="03010101010101010101"/>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MS Mincho">
    <w:altName w:val="MS Gothic"/>
    <w:panose1 w:val="00000000000000000000"/>
    <w:charset w:val="80"/>
    <w:family w:val="roman"/>
    <w:notTrueType/>
    <w:pitch w:val="fixed"/>
    <w:sig w:usb0="00000000" w:usb1="08070000" w:usb2="00000010" w:usb3="00000000" w:csb0="00020000" w:csb1="00000000"/>
  </w:font>
  <w:font w:name="Cambria Math">
    <w:panose1 w:val="02040503050406030204"/>
    <w:charset w:val="00"/>
    <w:family w:val="auto"/>
    <w:pitch w:val="variable"/>
    <w:sig w:usb0="E00002FF" w:usb1="420024FF" w:usb2="00000000" w:usb3="00000000" w:csb0="0000019F" w:csb1="00000000"/>
  </w:font>
  <w:font w:name="MS Gothic">
    <w:altName w:val="ＭＳ ゴシック"/>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7F1A1" w14:textId="77777777" w:rsidR="00ED5497" w:rsidRDefault="00ED5497" w:rsidP="00F22C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1BD9591" w14:textId="77777777" w:rsidR="00ED5497" w:rsidRDefault="00ED5497">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6535478"/>
      <w:docPartObj>
        <w:docPartGallery w:val="Page Numbers (Bottom of Page)"/>
        <w:docPartUnique/>
      </w:docPartObj>
    </w:sdtPr>
    <w:sdtEndPr/>
    <w:sdtContent>
      <w:p w14:paraId="147B690F" w14:textId="77777777" w:rsidR="00ED5497" w:rsidRDefault="00ED5497">
        <w:pPr>
          <w:pStyle w:val="Footer"/>
          <w:jc w:val="center"/>
        </w:pPr>
        <w:r>
          <w:fldChar w:fldCharType="begin"/>
        </w:r>
        <w:r>
          <w:instrText xml:space="preserve"> PAGE   \* MERGEFORMAT </w:instrText>
        </w:r>
        <w:r>
          <w:fldChar w:fldCharType="separate"/>
        </w:r>
        <w:r w:rsidR="007F38FB">
          <w:rPr>
            <w:noProof/>
          </w:rPr>
          <w:t>xx</w:t>
        </w:r>
        <w:r>
          <w:rPr>
            <w:noProof/>
          </w:rPr>
          <w:fldChar w:fldCharType="end"/>
        </w:r>
      </w:p>
    </w:sdtContent>
  </w:sdt>
  <w:p w14:paraId="5D7A1DC5" w14:textId="77777777" w:rsidR="00ED5497" w:rsidRDefault="00ED549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A2926D" w14:textId="77777777" w:rsidR="00ED5497" w:rsidRDefault="00ED5497" w:rsidP="007E19C3">
    <w:pPr>
      <w:pStyle w:val="Footer"/>
      <w:jc w:val="right"/>
    </w:pPr>
    <w:r>
      <w:t xml:space="preserve">Page | </w:t>
    </w:r>
    <w:r>
      <w:fldChar w:fldCharType="begin"/>
    </w:r>
    <w:r>
      <w:instrText xml:space="preserve"> PAGE   \* MERGEFORMAT </w:instrText>
    </w:r>
    <w:r>
      <w:fldChar w:fldCharType="separate"/>
    </w:r>
    <w:r>
      <w:rPr>
        <w:noProof/>
      </w:rPr>
      <w:t>1</w:t>
    </w:r>
    <w:r>
      <w:rPr>
        <w:noProof/>
      </w:rPr>
      <w:fldChar w:fldCharType="end"/>
    </w:r>
    <w:r>
      <w:t xml:space="preserve"> </w:t>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8943559"/>
      <w:docPartObj>
        <w:docPartGallery w:val="Page Numbers (Bottom of Page)"/>
        <w:docPartUnique/>
      </w:docPartObj>
    </w:sdtPr>
    <w:sdtEndPr/>
    <w:sdtContent>
      <w:p w14:paraId="798E6759" w14:textId="671FC820" w:rsidR="00ED5497" w:rsidRDefault="00ED5497" w:rsidP="00BB7F69">
        <w:pPr>
          <w:pStyle w:val="Footer"/>
          <w:jc w:val="center"/>
        </w:pPr>
        <w:r>
          <w:fldChar w:fldCharType="begin"/>
        </w:r>
        <w:r>
          <w:instrText xml:space="preserve"> PAGE   \* MERGEFORMAT </w:instrText>
        </w:r>
        <w:r>
          <w:fldChar w:fldCharType="separate"/>
        </w:r>
        <w:r w:rsidR="007F38FB">
          <w:rPr>
            <w:noProof/>
          </w:rPr>
          <w:t>24</w:t>
        </w:r>
        <w:r>
          <w:rPr>
            <w:noProof/>
          </w:rPr>
          <w:fldChar w:fldCharType="end"/>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BC9629" w14:textId="77777777" w:rsidR="00ED5497" w:rsidRDefault="00ED5497" w:rsidP="00664C5A">
      <w:pPr>
        <w:spacing w:line="240" w:lineRule="auto"/>
      </w:pPr>
      <w:r>
        <w:separator/>
      </w:r>
    </w:p>
  </w:footnote>
  <w:footnote w:type="continuationSeparator" w:id="0">
    <w:p w14:paraId="6F90ACA0" w14:textId="77777777" w:rsidR="00ED5497" w:rsidRDefault="00ED5497" w:rsidP="00664C5A">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D39A6"/>
    <w:multiLevelType w:val="hybridMultilevel"/>
    <w:tmpl w:val="BD98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A81DDA"/>
    <w:multiLevelType w:val="hybridMultilevel"/>
    <w:tmpl w:val="D52C8C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A6B5EEC"/>
    <w:multiLevelType w:val="hybridMultilevel"/>
    <w:tmpl w:val="78525E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59944EE"/>
    <w:multiLevelType w:val="hybridMultilevel"/>
    <w:tmpl w:val="5422F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B27F78"/>
    <w:multiLevelType w:val="hybridMultilevel"/>
    <w:tmpl w:val="D52C8C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72B4D42"/>
    <w:multiLevelType w:val="hybridMultilevel"/>
    <w:tmpl w:val="3788D7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BC135A"/>
    <w:multiLevelType w:val="hybridMultilevel"/>
    <w:tmpl w:val="7688A5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9723CF8"/>
    <w:multiLevelType w:val="hybridMultilevel"/>
    <w:tmpl w:val="662E5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536CD8"/>
    <w:multiLevelType w:val="hybridMultilevel"/>
    <w:tmpl w:val="CEAC4B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3F4FE0"/>
    <w:multiLevelType w:val="hybridMultilevel"/>
    <w:tmpl w:val="1720A0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9EE1A57"/>
    <w:multiLevelType w:val="hybridMultilevel"/>
    <w:tmpl w:val="98A8D1B2"/>
    <w:lvl w:ilvl="0" w:tplc="43EE4C88">
      <w:start w:val="1"/>
      <w:numFmt w:val="decimal"/>
      <w:lvlText w:val="%1."/>
      <w:lvlJc w:val="left"/>
      <w:pPr>
        <w:ind w:left="720" w:hanging="360"/>
      </w:pPr>
      <w:rPr>
        <w:rFonts w:hint="default"/>
        <w:b/>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A72566"/>
    <w:multiLevelType w:val="hybridMultilevel"/>
    <w:tmpl w:val="E4263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B177E3C"/>
    <w:multiLevelType w:val="hybridMultilevel"/>
    <w:tmpl w:val="4D90031A"/>
    <w:lvl w:ilvl="0" w:tplc="04090011">
      <w:start w:val="1"/>
      <w:numFmt w:val="decimal"/>
      <w:lvlText w:val="%1)"/>
      <w:lvlJc w:val="left"/>
      <w:pPr>
        <w:ind w:left="720" w:hanging="360"/>
      </w:pPr>
      <w:rPr>
        <w:rFont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C603CE0"/>
    <w:multiLevelType w:val="hybridMultilevel"/>
    <w:tmpl w:val="B65EE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02D0897"/>
    <w:multiLevelType w:val="hybridMultilevel"/>
    <w:tmpl w:val="BB76230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27A54A4"/>
    <w:multiLevelType w:val="hybridMultilevel"/>
    <w:tmpl w:val="98A8D1B2"/>
    <w:lvl w:ilvl="0" w:tplc="43EE4C88">
      <w:start w:val="1"/>
      <w:numFmt w:val="decimal"/>
      <w:lvlText w:val="%1."/>
      <w:lvlJc w:val="left"/>
      <w:pPr>
        <w:ind w:left="720" w:hanging="360"/>
      </w:pPr>
      <w:rPr>
        <w:rFonts w:hint="default"/>
        <w:b/>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4EC1DF6"/>
    <w:multiLevelType w:val="hybridMultilevel"/>
    <w:tmpl w:val="58D690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8C70AD5"/>
    <w:multiLevelType w:val="hybridMultilevel"/>
    <w:tmpl w:val="71C658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AA838AE"/>
    <w:multiLevelType w:val="hybridMultilevel"/>
    <w:tmpl w:val="3A66D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FC146B5"/>
    <w:multiLevelType w:val="hybridMultilevel"/>
    <w:tmpl w:val="BB76230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35C0E52"/>
    <w:multiLevelType w:val="hybridMultilevel"/>
    <w:tmpl w:val="2F309A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72404933"/>
    <w:multiLevelType w:val="hybridMultilevel"/>
    <w:tmpl w:val="A664C70E"/>
    <w:lvl w:ilvl="0" w:tplc="04090011">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2">
    <w:nsid w:val="73820149"/>
    <w:multiLevelType w:val="hybridMultilevel"/>
    <w:tmpl w:val="0D4465A6"/>
    <w:lvl w:ilvl="0" w:tplc="1B2CD2F0">
      <w:start w:val="1"/>
      <w:numFmt w:val="upperRoman"/>
      <w:pStyle w:val="Heading0"/>
      <w:lvlText w:val="PART %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3">
    <w:nsid w:val="740A659F"/>
    <w:multiLevelType w:val="hybridMultilevel"/>
    <w:tmpl w:val="A664C70E"/>
    <w:lvl w:ilvl="0" w:tplc="04090011">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4">
    <w:nsid w:val="784B2CE8"/>
    <w:multiLevelType w:val="multilevel"/>
    <w:tmpl w:val="AE78E710"/>
    <w:lvl w:ilvl="0">
      <w:start w:val="1"/>
      <w:numFmt w:val="decimal"/>
      <w:pStyle w:val="Heading1"/>
      <w:lvlText w:val="%1"/>
      <w:lvlJc w:val="left"/>
      <w:pPr>
        <w:ind w:left="432" w:hanging="432"/>
      </w:pPr>
      <w:rPr>
        <w:rFonts w:hint="default"/>
        <w:color w:val="FFFFFF" w:themeColor="background1"/>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4374" w:hanging="86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5">
    <w:nsid w:val="790763BD"/>
    <w:multiLevelType w:val="hybridMultilevel"/>
    <w:tmpl w:val="3C8054CA"/>
    <w:lvl w:ilvl="0" w:tplc="D96A38E6">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B425A02"/>
    <w:multiLevelType w:val="hybridMultilevel"/>
    <w:tmpl w:val="727672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2"/>
  </w:num>
  <w:num w:numId="2">
    <w:abstractNumId w:val="7"/>
  </w:num>
  <w:num w:numId="3">
    <w:abstractNumId w:val="19"/>
  </w:num>
  <w:num w:numId="4">
    <w:abstractNumId w:val="24"/>
  </w:num>
  <w:num w:numId="5">
    <w:abstractNumId w:val="6"/>
  </w:num>
  <w:num w:numId="6">
    <w:abstractNumId w:val="3"/>
  </w:num>
  <w:num w:numId="7">
    <w:abstractNumId w:val="14"/>
  </w:num>
  <w:num w:numId="8">
    <w:abstractNumId w:val="11"/>
  </w:num>
  <w:num w:numId="9">
    <w:abstractNumId w:val="8"/>
  </w:num>
  <w:num w:numId="10">
    <w:abstractNumId w:val="4"/>
  </w:num>
  <w:num w:numId="11">
    <w:abstractNumId w:val="1"/>
  </w:num>
  <w:num w:numId="12">
    <w:abstractNumId w:val="26"/>
  </w:num>
  <w:num w:numId="13">
    <w:abstractNumId w:val="0"/>
  </w:num>
  <w:num w:numId="14">
    <w:abstractNumId w:val="5"/>
  </w:num>
  <w:num w:numId="15">
    <w:abstractNumId w:val="24"/>
  </w:num>
  <w:num w:numId="16">
    <w:abstractNumId w:val="24"/>
  </w:num>
  <w:num w:numId="17">
    <w:abstractNumId w:val="17"/>
  </w:num>
  <w:num w:numId="18">
    <w:abstractNumId w:val="16"/>
  </w:num>
  <w:num w:numId="19">
    <w:abstractNumId w:val="18"/>
  </w:num>
  <w:num w:numId="20">
    <w:abstractNumId w:val="13"/>
  </w:num>
  <w:num w:numId="21">
    <w:abstractNumId w:val="25"/>
  </w:num>
  <w:num w:numId="22">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0"/>
  </w:num>
  <w:num w:numId="27">
    <w:abstractNumId w:val="15"/>
  </w:num>
  <w:num w:numId="28">
    <w:abstractNumId w:val="21"/>
  </w:num>
  <w:num w:numId="29">
    <w:abstractNumId w:val="23"/>
  </w:num>
  <w:num w:numId="30">
    <w:abstractNumId w:val="20"/>
  </w:num>
  <w:num w:numId="31">
    <w:abstractNumId w:val="2"/>
  </w:num>
  <w:num w:numId="32">
    <w:abstractNumId w:val="9"/>
  </w:num>
  <w:numIdMacAtCleanup w:val="1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ltan">
    <w15:presenceInfo w15:providerId="None" w15:userId="Alt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defaultTabStop w:val="720"/>
  <w:doNotHyphenateCaps/>
  <w:drawingGridHorizontalSpacing w:val="120"/>
  <w:displayHorizontalDrawingGridEvery w:val="2"/>
  <w:characterSpacingControl w:val="doNotCompress"/>
  <w:hdrShapeDefaults>
    <o:shapedefaults v:ext="edit" spidmax="2050">
      <o:colormru v:ext="edit" colors="#0070c0,#c00000,#00b050,#7030a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ps9aststppv0ue5zvp5szphseed5azf5xse&quot;&gt;KRH Library&lt;record-ids&gt;&lt;item&gt;1&lt;/item&gt;&lt;item&gt;2&lt;/item&gt;&lt;item&gt;3&lt;/item&gt;&lt;item&gt;4&lt;/item&gt;&lt;item&gt;5&lt;/item&gt;&lt;item&gt;6&lt;/item&gt;&lt;item&gt;7&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4&lt;/item&gt;&lt;item&gt;35&lt;/item&gt;&lt;item&gt;36&lt;/item&gt;&lt;item&gt;37&lt;/item&gt;&lt;item&gt;38&lt;/item&gt;&lt;item&gt;39&lt;/item&gt;&lt;item&gt;40&lt;/item&gt;&lt;item&gt;41&lt;/item&gt;&lt;item&gt;42&lt;/item&gt;&lt;item&gt;43&lt;/item&gt;&lt;item&gt;44&lt;/item&gt;&lt;item&gt;46&lt;/item&gt;&lt;item&gt;47&lt;/item&gt;&lt;item&gt;48&lt;/item&gt;&lt;item&gt;50&lt;/item&gt;&lt;item&gt;52&lt;/item&gt;&lt;item&gt;53&lt;/item&gt;&lt;item&gt;54&lt;/item&gt;&lt;item&gt;56&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record-ids&gt;&lt;/item&gt;&lt;/Libraries&gt;"/>
  </w:docVars>
  <w:rsids>
    <w:rsidRoot w:val="009B4569"/>
    <w:rsid w:val="00001473"/>
    <w:rsid w:val="00002389"/>
    <w:rsid w:val="00003A2B"/>
    <w:rsid w:val="000043A9"/>
    <w:rsid w:val="00004A67"/>
    <w:rsid w:val="00004F29"/>
    <w:rsid w:val="00006052"/>
    <w:rsid w:val="0000712C"/>
    <w:rsid w:val="000074DB"/>
    <w:rsid w:val="00010097"/>
    <w:rsid w:val="00010938"/>
    <w:rsid w:val="00011A98"/>
    <w:rsid w:val="00012375"/>
    <w:rsid w:val="00015B8B"/>
    <w:rsid w:val="00020086"/>
    <w:rsid w:val="000209A1"/>
    <w:rsid w:val="00021966"/>
    <w:rsid w:val="000227F6"/>
    <w:rsid w:val="00022C68"/>
    <w:rsid w:val="00023272"/>
    <w:rsid w:val="000239BC"/>
    <w:rsid w:val="00024E36"/>
    <w:rsid w:val="00025454"/>
    <w:rsid w:val="000254F0"/>
    <w:rsid w:val="0002561C"/>
    <w:rsid w:val="0002609B"/>
    <w:rsid w:val="000266C1"/>
    <w:rsid w:val="0002672E"/>
    <w:rsid w:val="00026FD4"/>
    <w:rsid w:val="000271C5"/>
    <w:rsid w:val="00030081"/>
    <w:rsid w:val="000323E0"/>
    <w:rsid w:val="000343D5"/>
    <w:rsid w:val="000346CD"/>
    <w:rsid w:val="000347C4"/>
    <w:rsid w:val="00036098"/>
    <w:rsid w:val="000368D0"/>
    <w:rsid w:val="00036C69"/>
    <w:rsid w:val="00037CAB"/>
    <w:rsid w:val="000401AD"/>
    <w:rsid w:val="00040A23"/>
    <w:rsid w:val="000442B6"/>
    <w:rsid w:val="00044371"/>
    <w:rsid w:val="00044AEC"/>
    <w:rsid w:val="00044B9F"/>
    <w:rsid w:val="00044CB3"/>
    <w:rsid w:val="000474DE"/>
    <w:rsid w:val="00050DB0"/>
    <w:rsid w:val="00051416"/>
    <w:rsid w:val="0005211B"/>
    <w:rsid w:val="0005336E"/>
    <w:rsid w:val="000543F9"/>
    <w:rsid w:val="00055744"/>
    <w:rsid w:val="00056721"/>
    <w:rsid w:val="00056FCB"/>
    <w:rsid w:val="00057FC9"/>
    <w:rsid w:val="00060480"/>
    <w:rsid w:val="0006076C"/>
    <w:rsid w:val="000609AC"/>
    <w:rsid w:val="00062AF9"/>
    <w:rsid w:val="0006315D"/>
    <w:rsid w:val="000635F5"/>
    <w:rsid w:val="00064283"/>
    <w:rsid w:val="00064B37"/>
    <w:rsid w:val="00066293"/>
    <w:rsid w:val="000707FC"/>
    <w:rsid w:val="00071ADA"/>
    <w:rsid w:val="00073966"/>
    <w:rsid w:val="00073D4E"/>
    <w:rsid w:val="0007485E"/>
    <w:rsid w:val="00076D0A"/>
    <w:rsid w:val="00077FC5"/>
    <w:rsid w:val="000800AE"/>
    <w:rsid w:val="00080518"/>
    <w:rsid w:val="000812F7"/>
    <w:rsid w:val="00081432"/>
    <w:rsid w:val="00082391"/>
    <w:rsid w:val="00082F64"/>
    <w:rsid w:val="00082FD1"/>
    <w:rsid w:val="00085E0F"/>
    <w:rsid w:val="00090BD6"/>
    <w:rsid w:val="000910BC"/>
    <w:rsid w:val="0009285D"/>
    <w:rsid w:val="0009446E"/>
    <w:rsid w:val="00094C9A"/>
    <w:rsid w:val="0009776C"/>
    <w:rsid w:val="00097C4D"/>
    <w:rsid w:val="000A00FC"/>
    <w:rsid w:val="000A026E"/>
    <w:rsid w:val="000A0E29"/>
    <w:rsid w:val="000A34AA"/>
    <w:rsid w:val="000A3AFB"/>
    <w:rsid w:val="000A3E03"/>
    <w:rsid w:val="000A4193"/>
    <w:rsid w:val="000A4224"/>
    <w:rsid w:val="000A562B"/>
    <w:rsid w:val="000A5B34"/>
    <w:rsid w:val="000A6295"/>
    <w:rsid w:val="000A6C7A"/>
    <w:rsid w:val="000A7D7E"/>
    <w:rsid w:val="000B0ED8"/>
    <w:rsid w:val="000B14B2"/>
    <w:rsid w:val="000B1536"/>
    <w:rsid w:val="000B2848"/>
    <w:rsid w:val="000B287E"/>
    <w:rsid w:val="000B3246"/>
    <w:rsid w:val="000B4331"/>
    <w:rsid w:val="000B45A3"/>
    <w:rsid w:val="000B5C59"/>
    <w:rsid w:val="000B6472"/>
    <w:rsid w:val="000C08E4"/>
    <w:rsid w:val="000C0963"/>
    <w:rsid w:val="000C0CD5"/>
    <w:rsid w:val="000C2B03"/>
    <w:rsid w:val="000C3EDF"/>
    <w:rsid w:val="000C424D"/>
    <w:rsid w:val="000C4E7E"/>
    <w:rsid w:val="000C66E7"/>
    <w:rsid w:val="000C66EE"/>
    <w:rsid w:val="000C6FE1"/>
    <w:rsid w:val="000C7203"/>
    <w:rsid w:val="000C74BA"/>
    <w:rsid w:val="000C7603"/>
    <w:rsid w:val="000C7689"/>
    <w:rsid w:val="000C77C7"/>
    <w:rsid w:val="000C78DC"/>
    <w:rsid w:val="000D09C2"/>
    <w:rsid w:val="000D143F"/>
    <w:rsid w:val="000D1F97"/>
    <w:rsid w:val="000D21DE"/>
    <w:rsid w:val="000D3E32"/>
    <w:rsid w:val="000D4657"/>
    <w:rsid w:val="000D4D91"/>
    <w:rsid w:val="000D5286"/>
    <w:rsid w:val="000D6C3C"/>
    <w:rsid w:val="000D6DF4"/>
    <w:rsid w:val="000E1521"/>
    <w:rsid w:val="000E22B8"/>
    <w:rsid w:val="000E46F9"/>
    <w:rsid w:val="000E54B6"/>
    <w:rsid w:val="000E5675"/>
    <w:rsid w:val="000E60F4"/>
    <w:rsid w:val="000E647F"/>
    <w:rsid w:val="000E6A1D"/>
    <w:rsid w:val="000E6D2B"/>
    <w:rsid w:val="000E7406"/>
    <w:rsid w:val="000F0F45"/>
    <w:rsid w:val="000F128F"/>
    <w:rsid w:val="000F2001"/>
    <w:rsid w:val="000F2052"/>
    <w:rsid w:val="000F24BE"/>
    <w:rsid w:val="000F2772"/>
    <w:rsid w:val="000F4330"/>
    <w:rsid w:val="000F4DF8"/>
    <w:rsid w:val="000F504B"/>
    <w:rsid w:val="000F52EA"/>
    <w:rsid w:val="000F54BE"/>
    <w:rsid w:val="000F5DF3"/>
    <w:rsid w:val="000F66D4"/>
    <w:rsid w:val="001024F9"/>
    <w:rsid w:val="001053BC"/>
    <w:rsid w:val="001056FF"/>
    <w:rsid w:val="001057F9"/>
    <w:rsid w:val="001058FC"/>
    <w:rsid w:val="00106A45"/>
    <w:rsid w:val="00106E7C"/>
    <w:rsid w:val="001072F0"/>
    <w:rsid w:val="0010794F"/>
    <w:rsid w:val="00110607"/>
    <w:rsid w:val="0011068B"/>
    <w:rsid w:val="00110DF2"/>
    <w:rsid w:val="00114A2E"/>
    <w:rsid w:val="001150C0"/>
    <w:rsid w:val="00115C79"/>
    <w:rsid w:val="00116345"/>
    <w:rsid w:val="00116C02"/>
    <w:rsid w:val="0011754F"/>
    <w:rsid w:val="00121344"/>
    <w:rsid w:val="001216B5"/>
    <w:rsid w:val="0012190A"/>
    <w:rsid w:val="00122064"/>
    <w:rsid w:val="00122297"/>
    <w:rsid w:val="0012258B"/>
    <w:rsid w:val="0012370D"/>
    <w:rsid w:val="00123D34"/>
    <w:rsid w:val="00123D7C"/>
    <w:rsid w:val="001249B7"/>
    <w:rsid w:val="001266BC"/>
    <w:rsid w:val="00127F52"/>
    <w:rsid w:val="001306FC"/>
    <w:rsid w:val="001318D2"/>
    <w:rsid w:val="00132101"/>
    <w:rsid w:val="00133495"/>
    <w:rsid w:val="0013380B"/>
    <w:rsid w:val="0013387B"/>
    <w:rsid w:val="00133AA9"/>
    <w:rsid w:val="00135586"/>
    <w:rsid w:val="00136C55"/>
    <w:rsid w:val="00136CA3"/>
    <w:rsid w:val="00136E4E"/>
    <w:rsid w:val="0014039B"/>
    <w:rsid w:val="00140C9B"/>
    <w:rsid w:val="00141291"/>
    <w:rsid w:val="00141762"/>
    <w:rsid w:val="00141DBD"/>
    <w:rsid w:val="0014400D"/>
    <w:rsid w:val="00144553"/>
    <w:rsid w:val="00145353"/>
    <w:rsid w:val="00145A76"/>
    <w:rsid w:val="00145AF6"/>
    <w:rsid w:val="00145B44"/>
    <w:rsid w:val="0014678E"/>
    <w:rsid w:val="00146DBC"/>
    <w:rsid w:val="001502B3"/>
    <w:rsid w:val="00150857"/>
    <w:rsid w:val="00150B89"/>
    <w:rsid w:val="00151342"/>
    <w:rsid w:val="001514A2"/>
    <w:rsid w:val="00153512"/>
    <w:rsid w:val="00153850"/>
    <w:rsid w:val="00153C79"/>
    <w:rsid w:val="00154785"/>
    <w:rsid w:val="001569D7"/>
    <w:rsid w:val="001571E2"/>
    <w:rsid w:val="001614FC"/>
    <w:rsid w:val="00162353"/>
    <w:rsid w:val="00162860"/>
    <w:rsid w:val="00163177"/>
    <w:rsid w:val="00163229"/>
    <w:rsid w:val="00164584"/>
    <w:rsid w:val="00164910"/>
    <w:rsid w:val="00164AC1"/>
    <w:rsid w:val="001651E6"/>
    <w:rsid w:val="00167C67"/>
    <w:rsid w:val="00167D15"/>
    <w:rsid w:val="00173E33"/>
    <w:rsid w:val="001740FF"/>
    <w:rsid w:val="001754C8"/>
    <w:rsid w:val="001757B4"/>
    <w:rsid w:val="0017632B"/>
    <w:rsid w:val="00176808"/>
    <w:rsid w:val="00176C38"/>
    <w:rsid w:val="00177745"/>
    <w:rsid w:val="001806B7"/>
    <w:rsid w:val="00181889"/>
    <w:rsid w:val="00182A18"/>
    <w:rsid w:val="00183918"/>
    <w:rsid w:val="00183C4F"/>
    <w:rsid w:val="00183EB6"/>
    <w:rsid w:val="00184C90"/>
    <w:rsid w:val="00187BC1"/>
    <w:rsid w:val="001907C4"/>
    <w:rsid w:val="001909EB"/>
    <w:rsid w:val="00190D5D"/>
    <w:rsid w:val="0019601D"/>
    <w:rsid w:val="001A1349"/>
    <w:rsid w:val="001A18EC"/>
    <w:rsid w:val="001A26BF"/>
    <w:rsid w:val="001A26DC"/>
    <w:rsid w:val="001A2B66"/>
    <w:rsid w:val="001A2CD7"/>
    <w:rsid w:val="001A4522"/>
    <w:rsid w:val="001A5C26"/>
    <w:rsid w:val="001A5FC8"/>
    <w:rsid w:val="001A699F"/>
    <w:rsid w:val="001A6C33"/>
    <w:rsid w:val="001A6C95"/>
    <w:rsid w:val="001A7489"/>
    <w:rsid w:val="001B0EAD"/>
    <w:rsid w:val="001B1137"/>
    <w:rsid w:val="001B12B4"/>
    <w:rsid w:val="001B660F"/>
    <w:rsid w:val="001B6C5D"/>
    <w:rsid w:val="001C0BB2"/>
    <w:rsid w:val="001C0D1E"/>
    <w:rsid w:val="001C15AE"/>
    <w:rsid w:val="001C196C"/>
    <w:rsid w:val="001C30B8"/>
    <w:rsid w:val="001C371A"/>
    <w:rsid w:val="001C3D03"/>
    <w:rsid w:val="001C4CF0"/>
    <w:rsid w:val="001C6A5C"/>
    <w:rsid w:val="001C7FD2"/>
    <w:rsid w:val="001D1BF5"/>
    <w:rsid w:val="001D3C6F"/>
    <w:rsid w:val="001D3E83"/>
    <w:rsid w:val="001D5FE7"/>
    <w:rsid w:val="001D6509"/>
    <w:rsid w:val="001D66F6"/>
    <w:rsid w:val="001E010C"/>
    <w:rsid w:val="001E185A"/>
    <w:rsid w:val="001E185F"/>
    <w:rsid w:val="001E1A84"/>
    <w:rsid w:val="001E1E16"/>
    <w:rsid w:val="001E2B4C"/>
    <w:rsid w:val="001E323C"/>
    <w:rsid w:val="001E3986"/>
    <w:rsid w:val="001E3B6B"/>
    <w:rsid w:val="001E4918"/>
    <w:rsid w:val="001E5113"/>
    <w:rsid w:val="001E5A73"/>
    <w:rsid w:val="001E7055"/>
    <w:rsid w:val="001E7462"/>
    <w:rsid w:val="001E7CC3"/>
    <w:rsid w:val="001F0060"/>
    <w:rsid w:val="001F01D8"/>
    <w:rsid w:val="001F0A8C"/>
    <w:rsid w:val="001F3EB7"/>
    <w:rsid w:val="001F40C4"/>
    <w:rsid w:val="001F47A3"/>
    <w:rsid w:val="001F4C94"/>
    <w:rsid w:val="001F4FD2"/>
    <w:rsid w:val="001F65EC"/>
    <w:rsid w:val="001F7CE4"/>
    <w:rsid w:val="002006ED"/>
    <w:rsid w:val="00200CDD"/>
    <w:rsid w:val="00201850"/>
    <w:rsid w:val="0020252A"/>
    <w:rsid w:val="00203EC0"/>
    <w:rsid w:val="002044B2"/>
    <w:rsid w:val="00204EB5"/>
    <w:rsid w:val="00204ED7"/>
    <w:rsid w:val="002056B3"/>
    <w:rsid w:val="0020638F"/>
    <w:rsid w:val="00207253"/>
    <w:rsid w:val="00207444"/>
    <w:rsid w:val="00207CA2"/>
    <w:rsid w:val="0021156D"/>
    <w:rsid w:val="00213031"/>
    <w:rsid w:val="00213122"/>
    <w:rsid w:val="00213D75"/>
    <w:rsid w:val="002147CB"/>
    <w:rsid w:val="00214874"/>
    <w:rsid w:val="00214BED"/>
    <w:rsid w:val="00214DCB"/>
    <w:rsid w:val="0021571A"/>
    <w:rsid w:val="00215FCB"/>
    <w:rsid w:val="00217C38"/>
    <w:rsid w:val="002211A8"/>
    <w:rsid w:val="002213B1"/>
    <w:rsid w:val="002213D7"/>
    <w:rsid w:val="0022257C"/>
    <w:rsid w:val="00222C8E"/>
    <w:rsid w:val="00223DB9"/>
    <w:rsid w:val="002258A6"/>
    <w:rsid w:val="00226DEC"/>
    <w:rsid w:val="00227474"/>
    <w:rsid w:val="00227650"/>
    <w:rsid w:val="00227A1D"/>
    <w:rsid w:val="00231F0C"/>
    <w:rsid w:val="00233265"/>
    <w:rsid w:val="00234C16"/>
    <w:rsid w:val="00235EE4"/>
    <w:rsid w:val="0023762F"/>
    <w:rsid w:val="00240AFE"/>
    <w:rsid w:val="00241FD6"/>
    <w:rsid w:val="00243EF6"/>
    <w:rsid w:val="00246140"/>
    <w:rsid w:val="00247F84"/>
    <w:rsid w:val="00250E48"/>
    <w:rsid w:val="0025273B"/>
    <w:rsid w:val="0025447A"/>
    <w:rsid w:val="00256332"/>
    <w:rsid w:val="00256E51"/>
    <w:rsid w:val="002570B4"/>
    <w:rsid w:val="00257309"/>
    <w:rsid w:val="00261427"/>
    <w:rsid w:val="00262E67"/>
    <w:rsid w:val="0026335E"/>
    <w:rsid w:val="00264667"/>
    <w:rsid w:val="002665E7"/>
    <w:rsid w:val="002667AA"/>
    <w:rsid w:val="00270D69"/>
    <w:rsid w:val="00270DE9"/>
    <w:rsid w:val="0027120F"/>
    <w:rsid w:val="00271F21"/>
    <w:rsid w:val="00271FB1"/>
    <w:rsid w:val="00272470"/>
    <w:rsid w:val="00274025"/>
    <w:rsid w:val="00274108"/>
    <w:rsid w:val="00274ABB"/>
    <w:rsid w:val="002750A4"/>
    <w:rsid w:val="00275102"/>
    <w:rsid w:val="00276CD1"/>
    <w:rsid w:val="00276EE5"/>
    <w:rsid w:val="002817F9"/>
    <w:rsid w:val="0028211B"/>
    <w:rsid w:val="00282612"/>
    <w:rsid w:val="00282C52"/>
    <w:rsid w:val="0028338B"/>
    <w:rsid w:val="00283413"/>
    <w:rsid w:val="002836AC"/>
    <w:rsid w:val="00284563"/>
    <w:rsid w:val="0028650C"/>
    <w:rsid w:val="002873E5"/>
    <w:rsid w:val="00287C1F"/>
    <w:rsid w:val="0029124B"/>
    <w:rsid w:val="00291576"/>
    <w:rsid w:val="002915D3"/>
    <w:rsid w:val="0029223E"/>
    <w:rsid w:val="002922AE"/>
    <w:rsid w:val="002926AC"/>
    <w:rsid w:val="0029351F"/>
    <w:rsid w:val="00293F4D"/>
    <w:rsid w:val="00294192"/>
    <w:rsid w:val="002950C6"/>
    <w:rsid w:val="00295597"/>
    <w:rsid w:val="00296D61"/>
    <w:rsid w:val="002A004B"/>
    <w:rsid w:val="002A0185"/>
    <w:rsid w:val="002A0AC1"/>
    <w:rsid w:val="002A0B74"/>
    <w:rsid w:val="002A155E"/>
    <w:rsid w:val="002A1581"/>
    <w:rsid w:val="002A3354"/>
    <w:rsid w:val="002A5B1F"/>
    <w:rsid w:val="002A5D27"/>
    <w:rsid w:val="002B0513"/>
    <w:rsid w:val="002B081D"/>
    <w:rsid w:val="002B09DB"/>
    <w:rsid w:val="002B1170"/>
    <w:rsid w:val="002B24BA"/>
    <w:rsid w:val="002B2A56"/>
    <w:rsid w:val="002B2D2C"/>
    <w:rsid w:val="002B3A21"/>
    <w:rsid w:val="002B3C66"/>
    <w:rsid w:val="002B4623"/>
    <w:rsid w:val="002B4780"/>
    <w:rsid w:val="002B4C2C"/>
    <w:rsid w:val="002B7052"/>
    <w:rsid w:val="002B7F83"/>
    <w:rsid w:val="002C08BE"/>
    <w:rsid w:val="002C1367"/>
    <w:rsid w:val="002C3035"/>
    <w:rsid w:val="002C3792"/>
    <w:rsid w:val="002C3D29"/>
    <w:rsid w:val="002C55F4"/>
    <w:rsid w:val="002C6AF9"/>
    <w:rsid w:val="002C6F30"/>
    <w:rsid w:val="002C7018"/>
    <w:rsid w:val="002C73BB"/>
    <w:rsid w:val="002C7857"/>
    <w:rsid w:val="002D099C"/>
    <w:rsid w:val="002D1AD1"/>
    <w:rsid w:val="002D2A02"/>
    <w:rsid w:val="002D47C4"/>
    <w:rsid w:val="002D613D"/>
    <w:rsid w:val="002D6356"/>
    <w:rsid w:val="002D714D"/>
    <w:rsid w:val="002D7261"/>
    <w:rsid w:val="002E05B2"/>
    <w:rsid w:val="002E2326"/>
    <w:rsid w:val="002E291C"/>
    <w:rsid w:val="002E3BA5"/>
    <w:rsid w:val="002E3EB6"/>
    <w:rsid w:val="002E3F3B"/>
    <w:rsid w:val="002E4F82"/>
    <w:rsid w:val="002E7D3E"/>
    <w:rsid w:val="002E7F5B"/>
    <w:rsid w:val="002F0489"/>
    <w:rsid w:val="002F2AE7"/>
    <w:rsid w:val="002F2FCE"/>
    <w:rsid w:val="002F40C6"/>
    <w:rsid w:val="002F7102"/>
    <w:rsid w:val="002F7DF4"/>
    <w:rsid w:val="003005A2"/>
    <w:rsid w:val="00300E32"/>
    <w:rsid w:val="00301986"/>
    <w:rsid w:val="0030244C"/>
    <w:rsid w:val="0030275B"/>
    <w:rsid w:val="00302A58"/>
    <w:rsid w:val="00303490"/>
    <w:rsid w:val="00303AF8"/>
    <w:rsid w:val="003060E2"/>
    <w:rsid w:val="0030636F"/>
    <w:rsid w:val="003069B2"/>
    <w:rsid w:val="00306AA1"/>
    <w:rsid w:val="003079D6"/>
    <w:rsid w:val="003112D0"/>
    <w:rsid w:val="00313244"/>
    <w:rsid w:val="00313A75"/>
    <w:rsid w:val="00313ED9"/>
    <w:rsid w:val="00316887"/>
    <w:rsid w:val="0031696F"/>
    <w:rsid w:val="003200A7"/>
    <w:rsid w:val="00320E11"/>
    <w:rsid w:val="00322B51"/>
    <w:rsid w:val="003231C5"/>
    <w:rsid w:val="0032328B"/>
    <w:rsid w:val="00324D57"/>
    <w:rsid w:val="00326439"/>
    <w:rsid w:val="00326DE0"/>
    <w:rsid w:val="003301FC"/>
    <w:rsid w:val="0033183F"/>
    <w:rsid w:val="00333B3B"/>
    <w:rsid w:val="003343C0"/>
    <w:rsid w:val="003343CE"/>
    <w:rsid w:val="00334FE2"/>
    <w:rsid w:val="003367DD"/>
    <w:rsid w:val="003409B3"/>
    <w:rsid w:val="003413EE"/>
    <w:rsid w:val="00343176"/>
    <w:rsid w:val="003438E7"/>
    <w:rsid w:val="00343BA1"/>
    <w:rsid w:val="00344664"/>
    <w:rsid w:val="00345F02"/>
    <w:rsid w:val="0034690A"/>
    <w:rsid w:val="00346F16"/>
    <w:rsid w:val="00346FCA"/>
    <w:rsid w:val="00350346"/>
    <w:rsid w:val="003511B3"/>
    <w:rsid w:val="0035213A"/>
    <w:rsid w:val="00352EC1"/>
    <w:rsid w:val="003530F7"/>
    <w:rsid w:val="00353888"/>
    <w:rsid w:val="00353F1D"/>
    <w:rsid w:val="00355B64"/>
    <w:rsid w:val="0035606A"/>
    <w:rsid w:val="0035725D"/>
    <w:rsid w:val="0035728F"/>
    <w:rsid w:val="00357AF0"/>
    <w:rsid w:val="00360071"/>
    <w:rsid w:val="003610D7"/>
    <w:rsid w:val="00361C12"/>
    <w:rsid w:val="00362300"/>
    <w:rsid w:val="00362F30"/>
    <w:rsid w:val="0036485F"/>
    <w:rsid w:val="003656B6"/>
    <w:rsid w:val="0036663E"/>
    <w:rsid w:val="003668CB"/>
    <w:rsid w:val="00366AB9"/>
    <w:rsid w:val="0036714A"/>
    <w:rsid w:val="00367999"/>
    <w:rsid w:val="00367E64"/>
    <w:rsid w:val="0037055C"/>
    <w:rsid w:val="00371538"/>
    <w:rsid w:val="003719C1"/>
    <w:rsid w:val="00372BCC"/>
    <w:rsid w:val="00373561"/>
    <w:rsid w:val="00373A58"/>
    <w:rsid w:val="0037544C"/>
    <w:rsid w:val="003754EF"/>
    <w:rsid w:val="00375F8C"/>
    <w:rsid w:val="003761DD"/>
    <w:rsid w:val="00376626"/>
    <w:rsid w:val="00376A4D"/>
    <w:rsid w:val="00376B29"/>
    <w:rsid w:val="003776D3"/>
    <w:rsid w:val="00380FDA"/>
    <w:rsid w:val="003826FE"/>
    <w:rsid w:val="00383026"/>
    <w:rsid w:val="00383C2B"/>
    <w:rsid w:val="00384586"/>
    <w:rsid w:val="00384B0F"/>
    <w:rsid w:val="00385DAC"/>
    <w:rsid w:val="00386413"/>
    <w:rsid w:val="003902D4"/>
    <w:rsid w:val="003909AC"/>
    <w:rsid w:val="00390EF9"/>
    <w:rsid w:val="003914BB"/>
    <w:rsid w:val="00394520"/>
    <w:rsid w:val="0039452F"/>
    <w:rsid w:val="00394A8B"/>
    <w:rsid w:val="00395263"/>
    <w:rsid w:val="00395485"/>
    <w:rsid w:val="0039557A"/>
    <w:rsid w:val="003959DA"/>
    <w:rsid w:val="00395AF5"/>
    <w:rsid w:val="00397798"/>
    <w:rsid w:val="003979DC"/>
    <w:rsid w:val="00397F83"/>
    <w:rsid w:val="003A2A55"/>
    <w:rsid w:val="003A2F7F"/>
    <w:rsid w:val="003A3633"/>
    <w:rsid w:val="003A3E2A"/>
    <w:rsid w:val="003A482A"/>
    <w:rsid w:val="003A6024"/>
    <w:rsid w:val="003A6B26"/>
    <w:rsid w:val="003A6C95"/>
    <w:rsid w:val="003A6D05"/>
    <w:rsid w:val="003A7907"/>
    <w:rsid w:val="003A7F05"/>
    <w:rsid w:val="003B0031"/>
    <w:rsid w:val="003B0D77"/>
    <w:rsid w:val="003B1AAD"/>
    <w:rsid w:val="003B2052"/>
    <w:rsid w:val="003B3649"/>
    <w:rsid w:val="003B47A4"/>
    <w:rsid w:val="003B490B"/>
    <w:rsid w:val="003B49BC"/>
    <w:rsid w:val="003B69DC"/>
    <w:rsid w:val="003B6B22"/>
    <w:rsid w:val="003B6D75"/>
    <w:rsid w:val="003B7AAB"/>
    <w:rsid w:val="003C2D30"/>
    <w:rsid w:val="003C6177"/>
    <w:rsid w:val="003C70BD"/>
    <w:rsid w:val="003C7576"/>
    <w:rsid w:val="003C7BDC"/>
    <w:rsid w:val="003D0961"/>
    <w:rsid w:val="003D09CD"/>
    <w:rsid w:val="003D0E15"/>
    <w:rsid w:val="003D2275"/>
    <w:rsid w:val="003D2A53"/>
    <w:rsid w:val="003D3125"/>
    <w:rsid w:val="003D32FC"/>
    <w:rsid w:val="003D35D2"/>
    <w:rsid w:val="003D5008"/>
    <w:rsid w:val="003D587E"/>
    <w:rsid w:val="003D5EBF"/>
    <w:rsid w:val="003D627C"/>
    <w:rsid w:val="003D63B8"/>
    <w:rsid w:val="003D6689"/>
    <w:rsid w:val="003D6894"/>
    <w:rsid w:val="003D7492"/>
    <w:rsid w:val="003D783D"/>
    <w:rsid w:val="003D7D67"/>
    <w:rsid w:val="003E035A"/>
    <w:rsid w:val="003E065A"/>
    <w:rsid w:val="003E1E82"/>
    <w:rsid w:val="003E2209"/>
    <w:rsid w:val="003E3247"/>
    <w:rsid w:val="003E4E63"/>
    <w:rsid w:val="003E53E9"/>
    <w:rsid w:val="003E58AE"/>
    <w:rsid w:val="003E5AAD"/>
    <w:rsid w:val="003E5AF1"/>
    <w:rsid w:val="003E68B9"/>
    <w:rsid w:val="003E7B87"/>
    <w:rsid w:val="003F052D"/>
    <w:rsid w:val="003F0A18"/>
    <w:rsid w:val="003F1058"/>
    <w:rsid w:val="003F1B9E"/>
    <w:rsid w:val="003F265F"/>
    <w:rsid w:val="003F333B"/>
    <w:rsid w:val="003F4717"/>
    <w:rsid w:val="003F4975"/>
    <w:rsid w:val="003F4F66"/>
    <w:rsid w:val="003F59D4"/>
    <w:rsid w:val="003F5EEB"/>
    <w:rsid w:val="003F6B07"/>
    <w:rsid w:val="003F7960"/>
    <w:rsid w:val="003F7EF1"/>
    <w:rsid w:val="004004A3"/>
    <w:rsid w:val="00400894"/>
    <w:rsid w:val="0040248E"/>
    <w:rsid w:val="00407687"/>
    <w:rsid w:val="00410F3B"/>
    <w:rsid w:val="00412B70"/>
    <w:rsid w:val="00413B91"/>
    <w:rsid w:val="00414536"/>
    <w:rsid w:val="00415DCE"/>
    <w:rsid w:val="00416904"/>
    <w:rsid w:val="0041730A"/>
    <w:rsid w:val="004206BC"/>
    <w:rsid w:val="00420A09"/>
    <w:rsid w:val="00420BFB"/>
    <w:rsid w:val="00422883"/>
    <w:rsid w:val="00424470"/>
    <w:rsid w:val="0042581C"/>
    <w:rsid w:val="00426540"/>
    <w:rsid w:val="0042659D"/>
    <w:rsid w:val="00427AC1"/>
    <w:rsid w:val="00430CC2"/>
    <w:rsid w:val="004312B4"/>
    <w:rsid w:val="00433261"/>
    <w:rsid w:val="004348D4"/>
    <w:rsid w:val="0043632D"/>
    <w:rsid w:val="004375A6"/>
    <w:rsid w:val="00440086"/>
    <w:rsid w:val="00440D34"/>
    <w:rsid w:val="00440DEA"/>
    <w:rsid w:val="0044170A"/>
    <w:rsid w:val="00444059"/>
    <w:rsid w:val="0044417E"/>
    <w:rsid w:val="00444245"/>
    <w:rsid w:val="00444745"/>
    <w:rsid w:val="00444B7D"/>
    <w:rsid w:val="004463CA"/>
    <w:rsid w:val="00446A79"/>
    <w:rsid w:val="00447840"/>
    <w:rsid w:val="00447B7A"/>
    <w:rsid w:val="00451988"/>
    <w:rsid w:val="00452A6F"/>
    <w:rsid w:val="00452EC5"/>
    <w:rsid w:val="004548A4"/>
    <w:rsid w:val="0045758A"/>
    <w:rsid w:val="004604EF"/>
    <w:rsid w:val="00460893"/>
    <w:rsid w:val="004615D0"/>
    <w:rsid w:val="00461D8B"/>
    <w:rsid w:val="00463AA7"/>
    <w:rsid w:val="00463DC8"/>
    <w:rsid w:val="004646AD"/>
    <w:rsid w:val="00465005"/>
    <w:rsid w:val="00465876"/>
    <w:rsid w:val="00470C76"/>
    <w:rsid w:val="00472F71"/>
    <w:rsid w:val="004732DB"/>
    <w:rsid w:val="00473747"/>
    <w:rsid w:val="00474DE3"/>
    <w:rsid w:val="00475232"/>
    <w:rsid w:val="00475956"/>
    <w:rsid w:val="00475A23"/>
    <w:rsid w:val="00476E36"/>
    <w:rsid w:val="00480CC5"/>
    <w:rsid w:val="004828CD"/>
    <w:rsid w:val="00482A02"/>
    <w:rsid w:val="0048319A"/>
    <w:rsid w:val="004836C3"/>
    <w:rsid w:val="00485188"/>
    <w:rsid w:val="004851D4"/>
    <w:rsid w:val="00485390"/>
    <w:rsid w:val="004855FC"/>
    <w:rsid w:val="0048609C"/>
    <w:rsid w:val="004861B7"/>
    <w:rsid w:val="00486341"/>
    <w:rsid w:val="0048684A"/>
    <w:rsid w:val="00486C5B"/>
    <w:rsid w:val="004873B0"/>
    <w:rsid w:val="0048754A"/>
    <w:rsid w:val="004876B5"/>
    <w:rsid w:val="00487A82"/>
    <w:rsid w:val="00487E00"/>
    <w:rsid w:val="00491589"/>
    <w:rsid w:val="004937FD"/>
    <w:rsid w:val="0049383C"/>
    <w:rsid w:val="0049481E"/>
    <w:rsid w:val="00495653"/>
    <w:rsid w:val="004960E4"/>
    <w:rsid w:val="00497157"/>
    <w:rsid w:val="0049753B"/>
    <w:rsid w:val="0049765E"/>
    <w:rsid w:val="00497E54"/>
    <w:rsid w:val="004A029C"/>
    <w:rsid w:val="004A03C5"/>
    <w:rsid w:val="004A0547"/>
    <w:rsid w:val="004A08CC"/>
    <w:rsid w:val="004A10A8"/>
    <w:rsid w:val="004A2121"/>
    <w:rsid w:val="004A2DCE"/>
    <w:rsid w:val="004A31C0"/>
    <w:rsid w:val="004A41F5"/>
    <w:rsid w:val="004A48F2"/>
    <w:rsid w:val="004A4F3E"/>
    <w:rsid w:val="004A5101"/>
    <w:rsid w:val="004A54DB"/>
    <w:rsid w:val="004A5966"/>
    <w:rsid w:val="004A61F6"/>
    <w:rsid w:val="004A629E"/>
    <w:rsid w:val="004A6DA7"/>
    <w:rsid w:val="004A799D"/>
    <w:rsid w:val="004B019A"/>
    <w:rsid w:val="004B33A8"/>
    <w:rsid w:val="004B3D39"/>
    <w:rsid w:val="004B3E16"/>
    <w:rsid w:val="004B43E3"/>
    <w:rsid w:val="004B4404"/>
    <w:rsid w:val="004B733B"/>
    <w:rsid w:val="004C08ED"/>
    <w:rsid w:val="004C0E01"/>
    <w:rsid w:val="004C2C0D"/>
    <w:rsid w:val="004C2FF5"/>
    <w:rsid w:val="004C3370"/>
    <w:rsid w:val="004C37F8"/>
    <w:rsid w:val="004C3D35"/>
    <w:rsid w:val="004C4BFB"/>
    <w:rsid w:val="004C594D"/>
    <w:rsid w:val="004C68AB"/>
    <w:rsid w:val="004C7228"/>
    <w:rsid w:val="004D1579"/>
    <w:rsid w:val="004D1D93"/>
    <w:rsid w:val="004D2450"/>
    <w:rsid w:val="004D3D07"/>
    <w:rsid w:val="004D3F5D"/>
    <w:rsid w:val="004D4E7F"/>
    <w:rsid w:val="004D56FF"/>
    <w:rsid w:val="004D6717"/>
    <w:rsid w:val="004D6D3E"/>
    <w:rsid w:val="004D6DB4"/>
    <w:rsid w:val="004D7485"/>
    <w:rsid w:val="004E302D"/>
    <w:rsid w:val="004E3EDF"/>
    <w:rsid w:val="004E785C"/>
    <w:rsid w:val="004E798D"/>
    <w:rsid w:val="004F0094"/>
    <w:rsid w:val="004F0BD9"/>
    <w:rsid w:val="004F13AC"/>
    <w:rsid w:val="004F3626"/>
    <w:rsid w:val="004F3AA4"/>
    <w:rsid w:val="004F4811"/>
    <w:rsid w:val="004F4D72"/>
    <w:rsid w:val="004F502A"/>
    <w:rsid w:val="005022BF"/>
    <w:rsid w:val="00502471"/>
    <w:rsid w:val="0050264F"/>
    <w:rsid w:val="00504D27"/>
    <w:rsid w:val="00505335"/>
    <w:rsid w:val="0050719C"/>
    <w:rsid w:val="005078CA"/>
    <w:rsid w:val="005078EA"/>
    <w:rsid w:val="00507F62"/>
    <w:rsid w:val="00510A75"/>
    <w:rsid w:val="00513C0A"/>
    <w:rsid w:val="00514193"/>
    <w:rsid w:val="005147A2"/>
    <w:rsid w:val="00514DBC"/>
    <w:rsid w:val="00514DC1"/>
    <w:rsid w:val="005153F0"/>
    <w:rsid w:val="00515868"/>
    <w:rsid w:val="0051649E"/>
    <w:rsid w:val="00516FD3"/>
    <w:rsid w:val="00517097"/>
    <w:rsid w:val="005179AF"/>
    <w:rsid w:val="00520553"/>
    <w:rsid w:val="0052091D"/>
    <w:rsid w:val="00521C0D"/>
    <w:rsid w:val="005233A1"/>
    <w:rsid w:val="0052429B"/>
    <w:rsid w:val="005273D6"/>
    <w:rsid w:val="00530579"/>
    <w:rsid w:val="005310AF"/>
    <w:rsid w:val="005315F1"/>
    <w:rsid w:val="0053371B"/>
    <w:rsid w:val="00535830"/>
    <w:rsid w:val="00536F94"/>
    <w:rsid w:val="00540118"/>
    <w:rsid w:val="0054012C"/>
    <w:rsid w:val="00540D7C"/>
    <w:rsid w:val="00541231"/>
    <w:rsid w:val="00542A8A"/>
    <w:rsid w:val="005431B5"/>
    <w:rsid w:val="00543481"/>
    <w:rsid w:val="00544E9F"/>
    <w:rsid w:val="005455BD"/>
    <w:rsid w:val="00546671"/>
    <w:rsid w:val="00547856"/>
    <w:rsid w:val="005502C0"/>
    <w:rsid w:val="00550993"/>
    <w:rsid w:val="0055125B"/>
    <w:rsid w:val="00551757"/>
    <w:rsid w:val="00552121"/>
    <w:rsid w:val="00552BC6"/>
    <w:rsid w:val="0055336E"/>
    <w:rsid w:val="005552D6"/>
    <w:rsid w:val="00555E65"/>
    <w:rsid w:val="00555F32"/>
    <w:rsid w:val="0055699A"/>
    <w:rsid w:val="00556B13"/>
    <w:rsid w:val="005571C2"/>
    <w:rsid w:val="00557C88"/>
    <w:rsid w:val="00557D79"/>
    <w:rsid w:val="005600C1"/>
    <w:rsid w:val="005606ED"/>
    <w:rsid w:val="00560DB0"/>
    <w:rsid w:val="00562EE1"/>
    <w:rsid w:val="00563F16"/>
    <w:rsid w:val="00564819"/>
    <w:rsid w:val="005660C2"/>
    <w:rsid w:val="00566D13"/>
    <w:rsid w:val="0056752A"/>
    <w:rsid w:val="00570CD8"/>
    <w:rsid w:val="00570D07"/>
    <w:rsid w:val="00570DCD"/>
    <w:rsid w:val="0057153C"/>
    <w:rsid w:val="00572B07"/>
    <w:rsid w:val="00573141"/>
    <w:rsid w:val="005737FF"/>
    <w:rsid w:val="00575E8A"/>
    <w:rsid w:val="0057694C"/>
    <w:rsid w:val="00577284"/>
    <w:rsid w:val="00577705"/>
    <w:rsid w:val="00577CDE"/>
    <w:rsid w:val="00577F4D"/>
    <w:rsid w:val="00580F47"/>
    <w:rsid w:val="00581B8E"/>
    <w:rsid w:val="00581D2C"/>
    <w:rsid w:val="00581D35"/>
    <w:rsid w:val="0058261F"/>
    <w:rsid w:val="005828D1"/>
    <w:rsid w:val="00582C51"/>
    <w:rsid w:val="00583B02"/>
    <w:rsid w:val="00583C2A"/>
    <w:rsid w:val="0058447F"/>
    <w:rsid w:val="0058520D"/>
    <w:rsid w:val="00585D32"/>
    <w:rsid w:val="00585D74"/>
    <w:rsid w:val="005860D4"/>
    <w:rsid w:val="005869CC"/>
    <w:rsid w:val="00587D0F"/>
    <w:rsid w:val="00587E7E"/>
    <w:rsid w:val="005901A5"/>
    <w:rsid w:val="0059040D"/>
    <w:rsid w:val="00591125"/>
    <w:rsid w:val="00591742"/>
    <w:rsid w:val="005952C2"/>
    <w:rsid w:val="0059624E"/>
    <w:rsid w:val="0059674E"/>
    <w:rsid w:val="00596C69"/>
    <w:rsid w:val="005A0E6A"/>
    <w:rsid w:val="005A257D"/>
    <w:rsid w:val="005A260E"/>
    <w:rsid w:val="005A34B0"/>
    <w:rsid w:val="005A3796"/>
    <w:rsid w:val="005A3F0A"/>
    <w:rsid w:val="005A4419"/>
    <w:rsid w:val="005A5FE1"/>
    <w:rsid w:val="005A6727"/>
    <w:rsid w:val="005A750F"/>
    <w:rsid w:val="005B0030"/>
    <w:rsid w:val="005B0E0B"/>
    <w:rsid w:val="005B52F3"/>
    <w:rsid w:val="005B79E6"/>
    <w:rsid w:val="005C1EB7"/>
    <w:rsid w:val="005C2295"/>
    <w:rsid w:val="005C409A"/>
    <w:rsid w:val="005C478D"/>
    <w:rsid w:val="005C4815"/>
    <w:rsid w:val="005C4895"/>
    <w:rsid w:val="005C4B96"/>
    <w:rsid w:val="005C529C"/>
    <w:rsid w:val="005C5FAA"/>
    <w:rsid w:val="005C71EA"/>
    <w:rsid w:val="005D0F6B"/>
    <w:rsid w:val="005D163B"/>
    <w:rsid w:val="005D172E"/>
    <w:rsid w:val="005D1B84"/>
    <w:rsid w:val="005D2869"/>
    <w:rsid w:val="005D2EAD"/>
    <w:rsid w:val="005D3578"/>
    <w:rsid w:val="005D3DF3"/>
    <w:rsid w:val="005D4A7F"/>
    <w:rsid w:val="005D4FE0"/>
    <w:rsid w:val="005D5B0D"/>
    <w:rsid w:val="005D5E5E"/>
    <w:rsid w:val="005D68FB"/>
    <w:rsid w:val="005D7D81"/>
    <w:rsid w:val="005E034C"/>
    <w:rsid w:val="005E109B"/>
    <w:rsid w:val="005E1FCF"/>
    <w:rsid w:val="005E240D"/>
    <w:rsid w:val="005E3267"/>
    <w:rsid w:val="005E33DE"/>
    <w:rsid w:val="005E35A4"/>
    <w:rsid w:val="005E3DEC"/>
    <w:rsid w:val="005E4208"/>
    <w:rsid w:val="005E4DD0"/>
    <w:rsid w:val="005E558F"/>
    <w:rsid w:val="005E5C2A"/>
    <w:rsid w:val="005E6392"/>
    <w:rsid w:val="005E7874"/>
    <w:rsid w:val="005F0980"/>
    <w:rsid w:val="005F174D"/>
    <w:rsid w:val="005F3BD7"/>
    <w:rsid w:val="005F484A"/>
    <w:rsid w:val="005F52BF"/>
    <w:rsid w:val="005F5FE2"/>
    <w:rsid w:val="005F6CBA"/>
    <w:rsid w:val="00600339"/>
    <w:rsid w:val="00600C14"/>
    <w:rsid w:val="00601C86"/>
    <w:rsid w:val="0060239A"/>
    <w:rsid w:val="0060287D"/>
    <w:rsid w:val="00603DE5"/>
    <w:rsid w:val="00603FB7"/>
    <w:rsid w:val="0061021C"/>
    <w:rsid w:val="00610929"/>
    <w:rsid w:val="006124F4"/>
    <w:rsid w:val="006133C1"/>
    <w:rsid w:val="006138C8"/>
    <w:rsid w:val="006148BD"/>
    <w:rsid w:val="0061602F"/>
    <w:rsid w:val="0061709F"/>
    <w:rsid w:val="00617CDB"/>
    <w:rsid w:val="00617FE7"/>
    <w:rsid w:val="00620FE7"/>
    <w:rsid w:val="006215D6"/>
    <w:rsid w:val="00622026"/>
    <w:rsid w:val="0062356F"/>
    <w:rsid w:val="006245BE"/>
    <w:rsid w:val="00627045"/>
    <w:rsid w:val="00627C39"/>
    <w:rsid w:val="00630545"/>
    <w:rsid w:val="006313E7"/>
    <w:rsid w:val="00631B8A"/>
    <w:rsid w:val="0063285C"/>
    <w:rsid w:val="00633799"/>
    <w:rsid w:val="0063390C"/>
    <w:rsid w:val="00633E7A"/>
    <w:rsid w:val="00636DA9"/>
    <w:rsid w:val="00640B1E"/>
    <w:rsid w:val="00641B83"/>
    <w:rsid w:val="0064237E"/>
    <w:rsid w:val="006427CE"/>
    <w:rsid w:val="00642AF3"/>
    <w:rsid w:val="00645105"/>
    <w:rsid w:val="0064559C"/>
    <w:rsid w:val="00650D78"/>
    <w:rsid w:val="00651668"/>
    <w:rsid w:val="00651925"/>
    <w:rsid w:val="00651CC1"/>
    <w:rsid w:val="00651F77"/>
    <w:rsid w:val="006520B1"/>
    <w:rsid w:val="00653FE8"/>
    <w:rsid w:val="00654323"/>
    <w:rsid w:val="00656E41"/>
    <w:rsid w:val="00656FA9"/>
    <w:rsid w:val="0065705B"/>
    <w:rsid w:val="00660AD2"/>
    <w:rsid w:val="00661FED"/>
    <w:rsid w:val="00664C5A"/>
    <w:rsid w:val="00664EB2"/>
    <w:rsid w:val="006654D6"/>
    <w:rsid w:val="00667057"/>
    <w:rsid w:val="00671CB7"/>
    <w:rsid w:val="00671FF8"/>
    <w:rsid w:val="00672002"/>
    <w:rsid w:val="00672BA1"/>
    <w:rsid w:val="00673E7F"/>
    <w:rsid w:val="00674354"/>
    <w:rsid w:val="00674553"/>
    <w:rsid w:val="006766B6"/>
    <w:rsid w:val="00676847"/>
    <w:rsid w:val="00676D54"/>
    <w:rsid w:val="00677AA3"/>
    <w:rsid w:val="00680CAD"/>
    <w:rsid w:val="00681525"/>
    <w:rsid w:val="0068174C"/>
    <w:rsid w:val="006836DA"/>
    <w:rsid w:val="00683F8D"/>
    <w:rsid w:val="00684722"/>
    <w:rsid w:val="00686304"/>
    <w:rsid w:val="006864FE"/>
    <w:rsid w:val="006869C8"/>
    <w:rsid w:val="00686D49"/>
    <w:rsid w:val="00686E98"/>
    <w:rsid w:val="00687563"/>
    <w:rsid w:val="00687F91"/>
    <w:rsid w:val="0069133D"/>
    <w:rsid w:val="00691670"/>
    <w:rsid w:val="00692764"/>
    <w:rsid w:val="006931DB"/>
    <w:rsid w:val="00694AA9"/>
    <w:rsid w:val="00694D2D"/>
    <w:rsid w:val="00694F8B"/>
    <w:rsid w:val="006950B3"/>
    <w:rsid w:val="00695BAA"/>
    <w:rsid w:val="006967F9"/>
    <w:rsid w:val="00696BCB"/>
    <w:rsid w:val="006A0C53"/>
    <w:rsid w:val="006A12C6"/>
    <w:rsid w:val="006A2166"/>
    <w:rsid w:val="006A232B"/>
    <w:rsid w:val="006A2579"/>
    <w:rsid w:val="006A5923"/>
    <w:rsid w:val="006A7307"/>
    <w:rsid w:val="006A78AA"/>
    <w:rsid w:val="006B0400"/>
    <w:rsid w:val="006B04EF"/>
    <w:rsid w:val="006B1857"/>
    <w:rsid w:val="006B1CF2"/>
    <w:rsid w:val="006B1FB5"/>
    <w:rsid w:val="006B316A"/>
    <w:rsid w:val="006B33E0"/>
    <w:rsid w:val="006B4823"/>
    <w:rsid w:val="006B5539"/>
    <w:rsid w:val="006B6B59"/>
    <w:rsid w:val="006C2524"/>
    <w:rsid w:val="006C367A"/>
    <w:rsid w:val="006C3E4E"/>
    <w:rsid w:val="006C4DC2"/>
    <w:rsid w:val="006C53D9"/>
    <w:rsid w:val="006C5DA6"/>
    <w:rsid w:val="006C69F0"/>
    <w:rsid w:val="006C6CE6"/>
    <w:rsid w:val="006C72BD"/>
    <w:rsid w:val="006C7870"/>
    <w:rsid w:val="006D24C3"/>
    <w:rsid w:val="006D25C3"/>
    <w:rsid w:val="006D515B"/>
    <w:rsid w:val="006D5F09"/>
    <w:rsid w:val="006D61C5"/>
    <w:rsid w:val="006D74D5"/>
    <w:rsid w:val="006D7674"/>
    <w:rsid w:val="006E0C79"/>
    <w:rsid w:val="006E0C96"/>
    <w:rsid w:val="006E0CAC"/>
    <w:rsid w:val="006E100B"/>
    <w:rsid w:val="006E1A32"/>
    <w:rsid w:val="006E1D37"/>
    <w:rsid w:val="006E201E"/>
    <w:rsid w:val="006E2956"/>
    <w:rsid w:val="006E2B00"/>
    <w:rsid w:val="006E3D00"/>
    <w:rsid w:val="006E40BB"/>
    <w:rsid w:val="006E5759"/>
    <w:rsid w:val="006E5F55"/>
    <w:rsid w:val="006E6BD6"/>
    <w:rsid w:val="006F02F1"/>
    <w:rsid w:val="006F3C08"/>
    <w:rsid w:val="006F421E"/>
    <w:rsid w:val="006F465D"/>
    <w:rsid w:val="006F4C08"/>
    <w:rsid w:val="006F5704"/>
    <w:rsid w:val="006F720D"/>
    <w:rsid w:val="006F7845"/>
    <w:rsid w:val="00700BC5"/>
    <w:rsid w:val="00701D77"/>
    <w:rsid w:val="00703336"/>
    <w:rsid w:val="00704186"/>
    <w:rsid w:val="0070508E"/>
    <w:rsid w:val="007053D9"/>
    <w:rsid w:val="00705563"/>
    <w:rsid w:val="007055CE"/>
    <w:rsid w:val="00705791"/>
    <w:rsid w:val="0070698D"/>
    <w:rsid w:val="00707923"/>
    <w:rsid w:val="00707D23"/>
    <w:rsid w:val="00711619"/>
    <w:rsid w:val="00715F37"/>
    <w:rsid w:val="00715FAF"/>
    <w:rsid w:val="00716C11"/>
    <w:rsid w:val="00717FD9"/>
    <w:rsid w:val="007200D6"/>
    <w:rsid w:val="00720F69"/>
    <w:rsid w:val="00722DAE"/>
    <w:rsid w:val="00722E7F"/>
    <w:rsid w:val="00722EA2"/>
    <w:rsid w:val="00723AC9"/>
    <w:rsid w:val="00724384"/>
    <w:rsid w:val="00727475"/>
    <w:rsid w:val="00727B49"/>
    <w:rsid w:val="00731F31"/>
    <w:rsid w:val="0073270F"/>
    <w:rsid w:val="007333CE"/>
    <w:rsid w:val="00733644"/>
    <w:rsid w:val="00733F51"/>
    <w:rsid w:val="0073553D"/>
    <w:rsid w:val="007355BA"/>
    <w:rsid w:val="0073592D"/>
    <w:rsid w:val="0073681A"/>
    <w:rsid w:val="0073695F"/>
    <w:rsid w:val="00736CFB"/>
    <w:rsid w:val="0073720D"/>
    <w:rsid w:val="007379BC"/>
    <w:rsid w:val="00740388"/>
    <w:rsid w:val="0074218D"/>
    <w:rsid w:val="00742D91"/>
    <w:rsid w:val="00742DC9"/>
    <w:rsid w:val="007430D1"/>
    <w:rsid w:val="0074442F"/>
    <w:rsid w:val="007444EC"/>
    <w:rsid w:val="00745508"/>
    <w:rsid w:val="00745C70"/>
    <w:rsid w:val="007461E6"/>
    <w:rsid w:val="00746C71"/>
    <w:rsid w:val="007471F6"/>
    <w:rsid w:val="00750274"/>
    <w:rsid w:val="0075106B"/>
    <w:rsid w:val="00751B16"/>
    <w:rsid w:val="007529A1"/>
    <w:rsid w:val="00753D46"/>
    <w:rsid w:val="00755F75"/>
    <w:rsid w:val="0075617C"/>
    <w:rsid w:val="007568A3"/>
    <w:rsid w:val="00756D9B"/>
    <w:rsid w:val="007608AF"/>
    <w:rsid w:val="00760D1D"/>
    <w:rsid w:val="007612E0"/>
    <w:rsid w:val="00762314"/>
    <w:rsid w:val="00762509"/>
    <w:rsid w:val="00762641"/>
    <w:rsid w:val="00762702"/>
    <w:rsid w:val="0076361A"/>
    <w:rsid w:val="00763E4B"/>
    <w:rsid w:val="00763ECE"/>
    <w:rsid w:val="00764E92"/>
    <w:rsid w:val="00764FB4"/>
    <w:rsid w:val="00766DF5"/>
    <w:rsid w:val="00767073"/>
    <w:rsid w:val="00770210"/>
    <w:rsid w:val="007702B5"/>
    <w:rsid w:val="00770593"/>
    <w:rsid w:val="00770BB8"/>
    <w:rsid w:val="00770D06"/>
    <w:rsid w:val="007712AE"/>
    <w:rsid w:val="00772212"/>
    <w:rsid w:val="00772B0E"/>
    <w:rsid w:val="00772B80"/>
    <w:rsid w:val="00772F48"/>
    <w:rsid w:val="007733B7"/>
    <w:rsid w:val="007737BF"/>
    <w:rsid w:val="00774CCB"/>
    <w:rsid w:val="00775521"/>
    <w:rsid w:val="00775B99"/>
    <w:rsid w:val="00775D14"/>
    <w:rsid w:val="00776341"/>
    <w:rsid w:val="00780A1C"/>
    <w:rsid w:val="00781968"/>
    <w:rsid w:val="00783101"/>
    <w:rsid w:val="00783276"/>
    <w:rsid w:val="00783905"/>
    <w:rsid w:val="00784540"/>
    <w:rsid w:val="00784C70"/>
    <w:rsid w:val="007858FB"/>
    <w:rsid w:val="00786825"/>
    <w:rsid w:val="007872BE"/>
    <w:rsid w:val="00787ADF"/>
    <w:rsid w:val="0079058E"/>
    <w:rsid w:val="0079102D"/>
    <w:rsid w:val="0079202E"/>
    <w:rsid w:val="00792CBF"/>
    <w:rsid w:val="0079301E"/>
    <w:rsid w:val="00793833"/>
    <w:rsid w:val="00794156"/>
    <w:rsid w:val="007941D9"/>
    <w:rsid w:val="00797103"/>
    <w:rsid w:val="007A03A1"/>
    <w:rsid w:val="007A151E"/>
    <w:rsid w:val="007A6E42"/>
    <w:rsid w:val="007A703F"/>
    <w:rsid w:val="007A7143"/>
    <w:rsid w:val="007B1423"/>
    <w:rsid w:val="007B1556"/>
    <w:rsid w:val="007B1B35"/>
    <w:rsid w:val="007B3BF0"/>
    <w:rsid w:val="007B45FE"/>
    <w:rsid w:val="007B5482"/>
    <w:rsid w:val="007B5FED"/>
    <w:rsid w:val="007C44F5"/>
    <w:rsid w:val="007C5056"/>
    <w:rsid w:val="007C628A"/>
    <w:rsid w:val="007C6860"/>
    <w:rsid w:val="007C7297"/>
    <w:rsid w:val="007D2533"/>
    <w:rsid w:val="007D2D72"/>
    <w:rsid w:val="007D510A"/>
    <w:rsid w:val="007D51A4"/>
    <w:rsid w:val="007D5496"/>
    <w:rsid w:val="007D5499"/>
    <w:rsid w:val="007D7E30"/>
    <w:rsid w:val="007E0B50"/>
    <w:rsid w:val="007E18B4"/>
    <w:rsid w:val="007E19C3"/>
    <w:rsid w:val="007E1F42"/>
    <w:rsid w:val="007E2021"/>
    <w:rsid w:val="007E373E"/>
    <w:rsid w:val="007E4674"/>
    <w:rsid w:val="007E513E"/>
    <w:rsid w:val="007E6110"/>
    <w:rsid w:val="007E62FD"/>
    <w:rsid w:val="007E65C0"/>
    <w:rsid w:val="007F01D1"/>
    <w:rsid w:val="007F02E3"/>
    <w:rsid w:val="007F1432"/>
    <w:rsid w:val="007F1BB2"/>
    <w:rsid w:val="007F3819"/>
    <w:rsid w:val="007F38FB"/>
    <w:rsid w:val="007F3D4B"/>
    <w:rsid w:val="007F4D23"/>
    <w:rsid w:val="007F4F31"/>
    <w:rsid w:val="007F4FE1"/>
    <w:rsid w:val="007F5665"/>
    <w:rsid w:val="007F5FF9"/>
    <w:rsid w:val="007F6202"/>
    <w:rsid w:val="007F626D"/>
    <w:rsid w:val="007F6D02"/>
    <w:rsid w:val="007F7684"/>
    <w:rsid w:val="007F78A6"/>
    <w:rsid w:val="008018A6"/>
    <w:rsid w:val="00801DD3"/>
    <w:rsid w:val="00802B49"/>
    <w:rsid w:val="00803FF7"/>
    <w:rsid w:val="008041E7"/>
    <w:rsid w:val="00804D6E"/>
    <w:rsid w:val="00805ACA"/>
    <w:rsid w:val="0081286D"/>
    <w:rsid w:val="00812D01"/>
    <w:rsid w:val="008132D3"/>
    <w:rsid w:val="00813B85"/>
    <w:rsid w:val="00814012"/>
    <w:rsid w:val="00814288"/>
    <w:rsid w:val="008150E5"/>
    <w:rsid w:val="008167E2"/>
    <w:rsid w:val="0081740E"/>
    <w:rsid w:val="00820461"/>
    <w:rsid w:val="008207F8"/>
    <w:rsid w:val="00821037"/>
    <w:rsid w:val="0082168F"/>
    <w:rsid w:val="00823011"/>
    <w:rsid w:val="00824EF0"/>
    <w:rsid w:val="00825540"/>
    <w:rsid w:val="00825A53"/>
    <w:rsid w:val="008260FD"/>
    <w:rsid w:val="00826437"/>
    <w:rsid w:val="008270A2"/>
    <w:rsid w:val="008273D5"/>
    <w:rsid w:val="008274E3"/>
    <w:rsid w:val="00827AF7"/>
    <w:rsid w:val="00830428"/>
    <w:rsid w:val="008318F2"/>
    <w:rsid w:val="008319A3"/>
    <w:rsid w:val="008325D9"/>
    <w:rsid w:val="00833AEB"/>
    <w:rsid w:val="00833F10"/>
    <w:rsid w:val="00834158"/>
    <w:rsid w:val="008345A3"/>
    <w:rsid w:val="0083607D"/>
    <w:rsid w:val="00837CB4"/>
    <w:rsid w:val="00837DDD"/>
    <w:rsid w:val="00841C9A"/>
    <w:rsid w:val="0084205A"/>
    <w:rsid w:val="00842DE7"/>
    <w:rsid w:val="00843315"/>
    <w:rsid w:val="00846E6B"/>
    <w:rsid w:val="0084764F"/>
    <w:rsid w:val="00850221"/>
    <w:rsid w:val="00850B48"/>
    <w:rsid w:val="00850F35"/>
    <w:rsid w:val="00851AC5"/>
    <w:rsid w:val="0085272E"/>
    <w:rsid w:val="00852CC3"/>
    <w:rsid w:val="00854744"/>
    <w:rsid w:val="00854882"/>
    <w:rsid w:val="00854F3F"/>
    <w:rsid w:val="008550FB"/>
    <w:rsid w:val="00856856"/>
    <w:rsid w:val="00856F58"/>
    <w:rsid w:val="00860992"/>
    <w:rsid w:val="00860F30"/>
    <w:rsid w:val="00861415"/>
    <w:rsid w:val="00861F15"/>
    <w:rsid w:val="0086280F"/>
    <w:rsid w:val="00862E39"/>
    <w:rsid w:val="00863C04"/>
    <w:rsid w:val="00864C02"/>
    <w:rsid w:val="00864E40"/>
    <w:rsid w:val="008652CD"/>
    <w:rsid w:val="008665A6"/>
    <w:rsid w:val="00866E6F"/>
    <w:rsid w:val="0086762B"/>
    <w:rsid w:val="00867852"/>
    <w:rsid w:val="008679F1"/>
    <w:rsid w:val="00870FEE"/>
    <w:rsid w:val="0087112F"/>
    <w:rsid w:val="00871970"/>
    <w:rsid w:val="008745EF"/>
    <w:rsid w:val="00875989"/>
    <w:rsid w:val="00875F3E"/>
    <w:rsid w:val="008769E0"/>
    <w:rsid w:val="008800C8"/>
    <w:rsid w:val="00881F4B"/>
    <w:rsid w:val="00884861"/>
    <w:rsid w:val="00884D33"/>
    <w:rsid w:val="00884E50"/>
    <w:rsid w:val="00885CB9"/>
    <w:rsid w:val="008866A6"/>
    <w:rsid w:val="00886C69"/>
    <w:rsid w:val="00887115"/>
    <w:rsid w:val="00887F4C"/>
    <w:rsid w:val="0089019F"/>
    <w:rsid w:val="008909E9"/>
    <w:rsid w:val="00891E76"/>
    <w:rsid w:val="00893B5F"/>
    <w:rsid w:val="00893CAE"/>
    <w:rsid w:val="00893F52"/>
    <w:rsid w:val="0089598D"/>
    <w:rsid w:val="008959B6"/>
    <w:rsid w:val="008A136B"/>
    <w:rsid w:val="008A1992"/>
    <w:rsid w:val="008A2066"/>
    <w:rsid w:val="008A343A"/>
    <w:rsid w:val="008A3D8D"/>
    <w:rsid w:val="008A4363"/>
    <w:rsid w:val="008A4B51"/>
    <w:rsid w:val="008A51CF"/>
    <w:rsid w:val="008A5B24"/>
    <w:rsid w:val="008A63D0"/>
    <w:rsid w:val="008A7582"/>
    <w:rsid w:val="008B002E"/>
    <w:rsid w:val="008B04A3"/>
    <w:rsid w:val="008B0A2D"/>
    <w:rsid w:val="008B0FF7"/>
    <w:rsid w:val="008B161A"/>
    <w:rsid w:val="008B1D53"/>
    <w:rsid w:val="008B30B4"/>
    <w:rsid w:val="008B3135"/>
    <w:rsid w:val="008B4965"/>
    <w:rsid w:val="008B5F3A"/>
    <w:rsid w:val="008B6BD4"/>
    <w:rsid w:val="008B778D"/>
    <w:rsid w:val="008B7993"/>
    <w:rsid w:val="008C0824"/>
    <w:rsid w:val="008C186A"/>
    <w:rsid w:val="008C1881"/>
    <w:rsid w:val="008C1AA9"/>
    <w:rsid w:val="008C38DA"/>
    <w:rsid w:val="008C3BD5"/>
    <w:rsid w:val="008C415E"/>
    <w:rsid w:val="008C4826"/>
    <w:rsid w:val="008C5720"/>
    <w:rsid w:val="008C6EB5"/>
    <w:rsid w:val="008C7234"/>
    <w:rsid w:val="008C7B80"/>
    <w:rsid w:val="008D0AC0"/>
    <w:rsid w:val="008D0DA2"/>
    <w:rsid w:val="008D1199"/>
    <w:rsid w:val="008D18EB"/>
    <w:rsid w:val="008D1E58"/>
    <w:rsid w:val="008D254E"/>
    <w:rsid w:val="008D2B36"/>
    <w:rsid w:val="008D2B6F"/>
    <w:rsid w:val="008D32C1"/>
    <w:rsid w:val="008D3B5E"/>
    <w:rsid w:val="008D54DD"/>
    <w:rsid w:val="008D58D8"/>
    <w:rsid w:val="008D7359"/>
    <w:rsid w:val="008E027A"/>
    <w:rsid w:val="008E0301"/>
    <w:rsid w:val="008E0643"/>
    <w:rsid w:val="008E1464"/>
    <w:rsid w:val="008E22DD"/>
    <w:rsid w:val="008E29A0"/>
    <w:rsid w:val="008E3000"/>
    <w:rsid w:val="008E3D36"/>
    <w:rsid w:val="008E4722"/>
    <w:rsid w:val="008E553C"/>
    <w:rsid w:val="008E5671"/>
    <w:rsid w:val="008E5FED"/>
    <w:rsid w:val="008F1C1C"/>
    <w:rsid w:val="008F1E9F"/>
    <w:rsid w:val="008F33CF"/>
    <w:rsid w:val="008F39E3"/>
    <w:rsid w:val="008F3DE7"/>
    <w:rsid w:val="008F4BA4"/>
    <w:rsid w:val="008F56F7"/>
    <w:rsid w:val="008F6399"/>
    <w:rsid w:val="008F706D"/>
    <w:rsid w:val="00900BF1"/>
    <w:rsid w:val="00901027"/>
    <w:rsid w:val="00901493"/>
    <w:rsid w:val="00902341"/>
    <w:rsid w:val="00903787"/>
    <w:rsid w:val="0090389C"/>
    <w:rsid w:val="00904003"/>
    <w:rsid w:val="00904608"/>
    <w:rsid w:val="00906653"/>
    <w:rsid w:val="00907557"/>
    <w:rsid w:val="009078AB"/>
    <w:rsid w:val="00907C12"/>
    <w:rsid w:val="00910A43"/>
    <w:rsid w:val="00911597"/>
    <w:rsid w:val="00911A38"/>
    <w:rsid w:val="00911A9A"/>
    <w:rsid w:val="00914693"/>
    <w:rsid w:val="00914AAD"/>
    <w:rsid w:val="00914BDC"/>
    <w:rsid w:val="009150C2"/>
    <w:rsid w:val="00915E10"/>
    <w:rsid w:val="00915F77"/>
    <w:rsid w:val="00916597"/>
    <w:rsid w:val="009168B0"/>
    <w:rsid w:val="00916B00"/>
    <w:rsid w:val="00916B4F"/>
    <w:rsid w:val="00917313"/>
    <w:rsid w:val="00921C76"/>
    <w:rsid w:val="0092269B"/>
    <w:rsid w:val="00922BC5"/>
    <w:rsid w:val="009231DA"/>
    <w:rsid w:val="009243D4"/>
    <w:rsid w:val="0092532B"/>
    <w:rsid w:val="0092579A"/>
    <w:rsid w:val="00927274"/>
    <w:rsid w:val="009272B7"/>
    <w:rsid w:val="00927AB5"/>
    <w:rsid w:val="009309E3"/>
    <w:rsid w:val="00931849"/>
    <w:rsid w:val="00932888"/>
    <w:rsid w:val="00933767"/>
    <w:rsid w:val="00933D38"/>
    <w:rsid w:val="0093682D"/>
    <w:rsid w:val="00936D78"/>
    <w:rsid w:val="009404B4"/>
    <w:rsid w:val="00940B2A"/>
    <w:rsid w:val="0094105E"/>
    <w:rsid w:val="009411D0"/>
    <w:rsid w:val="009424DF"/>
    <w:rsid w:val="00942C0A"/>
    <w:rsid w:val="00943F25"/>
    <w:rsid w:val="00944363"/>
    <w:rsid w:val="009443F6"/>
    <w:rsid w:val="00945851"/>
    <w:rsid w:val="009459AE"/>
    <w:rsid w:val="00945B51"/>
    <w:rsid w:val="00946963"/>
    <w:rsid w:val="00946B4D"/>
    <w:rsid w:val="00946C93"/>
    <w:rsid w:val="0094712B"/>
    <w:rsid w:val="00947275"/>
    <w:rsid w:val="00950719"/>
    <w:rsid w:val="0095087E"/>
    <w:rsid w:val="009521CC"/>
    <w:rsid w:val="00952F8F"/>
    <w:rsid w:val="009544E3"/>
    <w:rsid w:val="009553E5"/>
    <w:rsid w:val="009562B4"/>
    <w:rsid w:val="009566D4"/>
    <w:rsid w:val="009569C8"/>
    <w:rsid w:val="00957021"/>
    <w:rsid w:val="009601A7"/>
    <w:rsid w:val="0096105C"/>
    <w:rsid w:val="00961779"/>
    <w:rsid w:val="0096198C"/>
    <w:rsid w:val="00961AC1"/>
    <w:rsid w:val="00961E76"/>
    <w:rsid w:val="00961FB6"/>
    <w:rsid w:val="009623FA"/>
    <w:rsid w:val="00962D90"/>
    <w:rsid w:val="00962F41"/>
    <w:rsid w:val="00963E86"/>
    <w:rsid w:val="00964763"/>
    <w:rsid w:val="00964C98"/>
    <w:rsid w:val="0096646B"/>
    <w:rsid w:val="00970EFE"/>
    <w:rsid w:val="00973999"/>
    <w:rsid w:val="00974703"/>
    <w:rsid w:val="00975AAF"/>
    <w:rsid w:val="00977584"/>
    <w:rsid w:val="00980922"/>
    <w:rsid w:val="009811D7"/>
    <w:rsid w:val="009819E4"/>
    <w:rsid w:val="00982188"/>
    <w:rsid w:val="009826C2"/>
    <w:rsid w:val="00983607"/>
    <w:rsid w:val="00983613"/>
    <w:rsid w:val="00983BCD"/>
    <w:rsid w:val="00983C86"/>
    <w:rsid w:val="00983F09"/>
    <w:rsid w:val="009849CC"/>
    <w:rsid w:val="00985983"/>
    <w:rsid w:val="0098776D"/>
    <w:rsid w:val="00991C77"/>
    <w:rsid w:val="009933A6"/>
    <w:rsid w:val="009933D3"/>
    <w:rsid w:val="009954DF"/>
    <w:rsid w:val="009956EF"/>
    <w:rsid w:val="00996B59"/>
    <w:rsid w:val="009972E5"/>
    <w:rsid w:val="009A05BF"/>
    <w:rsid w:val="009A0F01"/>
    <w:rsid w:val="009A2A95"/>
    <w:rsid w:val="009A2B21"/>
    <w:rsid w:val="009A3450"/>
    <w:rsid w:val="009A374F"/>
    <w:rsid w:val="009A3803"/>
    <w:rsid w:val="009A4869"/>
    <w:rsid w:val="009A62A6"/>
    <w:rsid w:val="009A641C"/>
    <w:rsid w:val="009A73E4"/>
    <w:rsid w:val="009B10B6"/>
    <w:rsid w:val="009B2F99"/>
    <w:rsid w:val="009B3EDB"/>
    <w:rsid w:val="009B44CC"/>
    <w:rsid w:val="009B4569"/>
    <w:rsid w:val="009B48C2"/>
    <w:rsid w:val="009B560E"/>
    <w:rsid w:val="009C01D9"/>
    <w:rsid w:val="009C09EC"/>
    <w:rsid w:val="009C1B1D"/>
    <w:rsid w:val="009C1D29"/>
    <w:rsid w:val="009C1DD3"/>
    <w:rsid w:val="009C28E4"/>
    <w:rsid w:val="009C30C2"/>
    <w:rsid w:val="009C3C1F"/>
    <w:rsid w:val="009C43C3"/>
    <w:rsid w:val="009C4807"/>
    <w:rsid w:val="009C50EB"/>
    <w:rsid w:val="009C6868"/>
    <w:rsid w:val="009C755E"/>
    <w:rsid w:val="009C7AB3"/>
    <w:rsid w:val="009D0850"/>
    <w:rsid w:val="009D0A54"/>
    <w:rsid w:val="009D0A86"/>
    <w:rsid w:val="009D11B6"/>
    <w:rsid w:val="009D193E"/>
    <w:rsid w:val="009D298D"/>
    <w:rsid w:val="009D43F1"/>
    <w:rsid w:val="009D459F"/>
    <w:rsid w:val="009D5872"/>
    <w:rsid w:val="009D687C"/>
    <w:rsid w:val="009E06B6"/>
    <w:rsid w:val="009E2E94"/>
    <w:rsid w:val="009E41D5"/>
    <w:rsid w:val="009E4749"/>
    <w:rsid w:val="009E4843"/>
    <w:rsid w:val="009E4A25"/>
    <w:rsid w:val="009E5F58"/>
    <w:rsid w:val="009E6C78"/>
    <w:rsid w:val="009E7F65"/>
    <w:rsid w:val="009F00F8"/>
    <w:rsid w:val="009F20D3"/>
    <w:rsid w:val="009F2D9D"/>
    <w:rsid w:val="009F2E26"/>
    <w:rsid w:val="009F3109"/>
    <w:rsid w:val="009F3C61"/>
    <w:rsid w:val="009F57F6"/>
    <w:rsid w:val="009F6057"/>
    <w:rsid w:val="009F647B"/>
    <w:rsid w:val="009F652B"/>
    <w:rsid w:val="009F7666"/>
    <w:rsid w:val="00A00171"/>
    <w:rsid w:val="00A00851"/>
    <w:rsid w:val="00A019A3"/>
    <w:rsid w:val="00A02A77"/>
    <w:rsid w:val="00A02CEA"/>
    <w:rsid w:val="00A03447"/>
    <w:rsid w:val="00A041F5"/>
    <w:rsid w:val="00A050E8"/>
    <w:rsid w:val="00A05160"/>
    <w:rsid w:val="00A052CB"/>
    <w:rsid w:val="00A0670F"/>
    <w:rsid w:val="00A06EC2"/>
    <w:rsid w:val="00A07214"/>
    <w:rsid w:val="00A10888"/>
    <w:rsid w:val="00A1104C"/>
    <w:rsid w:val="00A12442"/>
    <w:rsid w:val="00A12501"/>
    <w:rsid w:val="00A13BF9"/>
    <w:rsid w:val="00A14909"/>
    <w:rsid w:val="00A150D5"/>
    <w:rsid w:val="00A15573"/>
    <w:rsid w:val="00A158CC"/>
    <w:rsid w:val="00A16481"/>
    <w:rsid w:val="00A16629"/>
    <w:rsid w:val="00A1704B"/>
    <w:rsid w:val="00A1716E"/>
    <w:rsid w:val="00A171FA"/>
    <w:rsid w:val="00A21C4F"/>
    <w:rsid w:val="00A22770"/>
    <w:rsid w:val="00A23207"/>
    <w:rsid w:val="00A25522"/>
    <w:rsid w:val="00A25D1E"/>
    <w:rsid w:val="00A2624B"/>
    <w:rsid w:val="00A268EC"/>
    <w:rsid w:val="00A26951"/>
    <w:rsid w:val="00A278B2"/>
    <w:rsid w:val="00A3112A"/>
    <w:rsid w:val="00A3515A"/>
    <w:rsid w:val="00A35B47"/>
    <w:rsid w:val="00A36075"/>
    <w:rsid w:val="00A36CB5"/>
    <w:rsid w:val="00A40CB8"/>
    <w:rsid w:val="00A41BC4"/>
    <w:rsid w:val="00A420E8"/>
    <w:rsid w:val="00A4235B"/>
    <w:rsid w:val="00A4238A"/>
    <w:rsid w:val="00A43598"/>
    <w:rsid w:val="00A45763"/>
    <w:rsid w:val="00A464A3"/>
    <w:rsid w:val="00A474CD"/>
    <w:rsid w:val="00A47AB7"/>
    <w:rsid w:val="00A47E0F"/>
    <w:rsid w:val="00A5026C"/>
    <w:rsid w:val="00A504D1"/>
    <w:rsid w:val="00A507DB"/>
    <w:rsid w:val="00A50A2A"/>
    <w:rsid w:val="00A510AF"/>
    <w:rsid w:val="00A513F6"/>
    <w:rsid w:val="00A51E7F"/>
    <w:rsid w:val="00A53241"/>
    <w:rsid w:val="00A5471B"/>
    <w:rsid w:val="00A54DE9"/>
    <w:rsid w:val="00A55089"/>
    <w:rsid w:val="00A551A9"/>
    <w:rsid w:val="00A561BB"/>
    <w:rsid w:val="00A56B19"/>
    <w:rsid w:val="00A5758D"/>
    <w:rsid w:val="00A6013C"/>
    <w:rsid w:val="00A62594"/>
    <w:rsid w:val="00A62F60"/>
    <w:rsid w:val="00A6460C"/>
    <w:rsid w:val="00A64EF9"/>
    <w:rsid w:val="00A6601D"/>
    <w:rsid w:val="00A6658F"/>
    <w:rsid w:val="00A6674F"/>
    <w:rsid w:val="00A67209"/>
    <w:rsid w:val="00A672F0"/>
    <w:rsid w:val="00A72A11"/>
    <w:rsid w:val="00A74103"/>
    <w:rsid w:val="00A749F3"/>
    <w:rsid w:val="00A74CBC"/>
    <w:rsid w:val="00A7588A"/>
    <w:rsid w:val="00A75D0F"/>
    <w:rsid w:val="00A75E2F"/>
    <w:rsid w:val="00A772E0"/>
    <w:rsid w:val="00A80790"/>
    <w:rsid w:val="00A80E2F"/>
    <w:rsid w:val="00A80F03"/>
    <w:rsid w:val="00A81C9F"/>
    <w:rsid w:val="00A82C51"/>
    <w:rsid w:val="00A83707"/>
    <w:rsid w:val="00A837BF"/>
    <w:rsid w:val="00A83FDF"/>
    <w:rsid w:val="00A84363"/>
    <w:rsid w:val="00A848DD"/>
    <w:rsid w:val="00A85067"/>
    <w:rsid w:val="00A86B47"/>
    <w:rsid w:val="00A86E3C"/>
    <w:rsid w:val="00A87EDF"/>
    <w:rsid w:val="00A90193"/>
    <w:rsid w:val="00A90584"/>
    <w:rsid w:val="00A921A9"/>
    <w:rsid w:val="00A92DB6"/>
    <w:rsid w:val="00A92FAD"/>
    <w:rsid w:val="00A934DC"/>
    <w:rsid w:val="00A935B2"/>
    <w:rsid w:val="00A93819"/>
    <w:rsid w:val="00A95B45"/>
    <w:rsid w:val="00A95E4A"/>
    <w:rsid w:val="00A9607D"/>
    <w:rsid w:val="00A97B11"/>
    <w:rsid w:val="00AA0498"/>
    <w:rsid w:val="00AA0AA4"/>
    <w:rsid w:val="00AA0D88"/>
    <w:rsid w:val="00AA0F4D"/>
    <w:rsid w:val="00AA197B"/>
    <w:rsid w:val="00AA1CFA"/>
    <w:rsid w:val="00AA21D1"/>
    <w:rsid w:val="00AA28C4"/>
    <w:rsid w:val="00AA29C5"/>
    <w:rsid w:val="00AA38DA"/>
    <w:rsid w:val="00AA47E0"/>
    <w:rsid w:val="00AA496D"/>
    <w:rsid w:val="00AA4DFB"/>
    <w:rsid w:val="00AA5BE7"/>
    <w:rsid w:val="00AA5E65"/>
    <w:rsid w:val="00AA6133"/>
    <w:rsid w:val="00AA6183"/>
    <w:rsid w:val="00AA6D2A"/>
    <w:rsid w:val="00AA6DE8"/>
    <w:rsid w:val="00AA6FB9"/>
    <w:rsid w:val="00AA7814"/>
    <w:rsid w:val="00AA7B38"/>
    <w:rsid w:val="00AA7D88"/>
    <w:rsid w:val="00AB00F1"/>
    <w:rsid w:val="00AB049D"/>
    <w:rsid w:val="00AB3160"/>
    <w:rsid w:val="00AB337D"/>
    <w:rsid w:val="00AB4667"/>
    <w:rsid w:val="00AB4ABC"/>
    <w:rsid w:val="00AB52B0"/>
    <w:rsid w:val="00AB5775"/>
    <w:rsid w:val="00AB601B"/>
    <w:rsid w:val="00AB6A09"/>
    <w:rsid w:val="00AB787C"/>
    <w:rsid w:val="00AC2461"/>
    <w:rsid w:val="00AC3570"/>
    <w:rsid w:val="00AC4576"/>
    <w:rsid w:val="00AC5A71"/>
    <w:rsid w:val="00AC6446"/>
    <w:rsid w:val="00AC6AAA"/>
    <w:rsid w:val="00AC753F"/>
    <w:rsid w:val="00AD0808"/>
    <w:rsid w:val="00AD16E4"/>
    <w:rsid w:val="00AD2665"/>
    <w:rsid w:val="00AD3A52"/>
    <w:rsid w:val="00AD44E9"/>
    <w:rsid w:val="00AD4643"/>
    <w:rsid w:val="00AD5D2E"/>
    <w:rsid w:val="00AD78B7"/>
    <w:rsid w:val="00AD7E16"/>
    <w:rsid w:val="00AD7E5A"/>
    <w:rsid w:val="00AE0B97"/>
    <w:rsid w:val="00AE10B8"/>
    <w:rsid w:val="00AE25CE"/>
    <w:rsid w:val="00AE3CFB"/>
    <w:rsid w:val="00AE484B"/>
    <w:rsid w:val="00AE4ECD"/>
    <w:rsid w:val="00AE6E03"/>
    <w:rsid w:val="00AE7736"/>
    <w:rsid w:val="00AE7D91"/>
    <w:rsid w:val="00AF0389"/>
    <w:rsid w:val="00AF1870"/>
    <w:rsid w:val="00AF24E1"/>
    <w:rsid w:val="00AF3AB4"/>
    <w:rsid w:val="00AF3AC7"/>
    <w:rsid w:val="00AF44FB"/>
    <w:rsid w:val="00AF4A9A"/>
    <w:rsid w:val="00AF547E"/>
    <w:rsid w:val="00AF5B86"/>
    <w:rsid w:val="00AF5DD3"/>
    <w:rsid w:val="00AF614F"/>
    <w:rsid w:val="00AF65F5"/>
    <w:rsid w:val="00AF6DD9"/>
    <w:rsid w:val="00AF7129"/>
    <w:rsid w:val="00AF74A1"/>
    <w:rsid w:val="00B009BB"/>
    <w:rsid w:val="00B00EDF"/>
    <w:rsid w:val="00B01914"/>
    <w:rsid w:val="00B019BC"/>
    <w:rsid w:val="00B01B40"/>
    <w:rsid w:val="00B02F38"/>
    <w:rsid w:val="00B04BA9"/>
    <w:rsid w:val="00B05844"/>
    <w:rsid w:val="00B06A60"/>
    <w:rsid w:val="00B07289"/>
    <w:rsid w:val="00B0775B"/>
    <w:rsid w:val="00B0779E"/>
    <w:rsid w:val="00B07FB3"/>
    <w:rsid w:val="00B102AD"/>
    <w:rsid w:val="00B10309"/>
    <w:rsid w:val="00B10994"/>
    <w:rsid w:val="00B10B54"/>
    <w:rsid w:val="00B12774"/>
    <w:rsid w:val="00B13484"/>
    <w:rsid w:val="00B13C40"/>
    <w:rsid w:val="00B13CC8"/>
    <w:rsid w:val="00B14D97"/>
    <w:rsid w:val="00B157B9"/>
    <w:rsid w:val="00B17B04"/>
    <w:rsid w:val="00B17D1C"/>
    <w:rsid w:val="00B20B78"/>
    <w:rsid w:val="00B20DD2"/>
    <w:rsid w:val="00B22B0E"/>
    <w:rsid w:val="00B236BE"/>
    <w:rsid w:val="00B25BC4"/>
    <w:rsid w:val="00B276B5"/>
    <w:rsid w:val="00B27AB4"/>
    <w:rsid w:val="00B27B0A"/>
    <w:rsid w:val="00B3068E"/>
    <w:rsid w:val="00B3178E"/>
    <w:rsid w:val="00B32490"/>
    <w:rsid w:val="00B33A3F"/>
    <w:rsid w:val="00B34174"/>
    <w:rsid w:val="00B34266"/>
    <w:rsid w:val="00B35603"/>
    <w:rsid w:val="00B361F7"/>
    <w:rsid w:val="00B36B28"/>
    <w:rsid w:val="00B373A7"/>
    <w:rsid w:val="00B37796"/>
    <w:rsid w:val="00B41742"/>
    <w:rsid w:val="00B42323"/>
    <w:rsid w:val="00B44081"/>
    <w:rsid w:val="00B45700"/>
    <w:rsid w:val="00B45B84"/>
    <w:rsid w:val="00B4712E"/>
    <w:rsid w:val="00B47EFA"/>
    <w:rsid w:val="00B5017F"/>
    <w:rsid w:val="00B50DC6"/>
    <w:rsid w:val="00B511BD"/>
    <w:rsid w:val="00B52C82"/>
    <w:rsid w:val="00B535D4"/>
    <w:rsid w:val="00B5384E"/>
    <w:rsid w:val="00B545CE"/>
    <w:rsid w:val="00B54674"/>
    <w:rsid w:val="00B5467F"/>
    <w:rsid w:val="00B55C80"/>
    <w:rsid w:val="00B55FEE"/>
    <w:rsid w:val="00B57D7E"/>
    <w:rsid w:val="00B57F88"/>
    <w:rsid w:val="00B60636"/>
    <w:rsid w:val="00B62083"/>
    <w:rsid w:val="00B62B27"/>
    <w:rsid w:val="00B6711A"/>
    <w:rsid w:val="00B67284"/>
    <w:rsid w:val="00B672CF"/>
    <w:rsid w:val="00B723A6"/>
    <w:rsid w:val="00B734CF"/>
    <w:rsid w:val="00B7360B"/>
    <w:rsid w:val="00B73D29"/>
    <w:rsid w:val="00B77C23"/>
    <w:rsid w:val="00B80ACF"/>
    <w:rsid w:val="00B81EFB"/>
    <w:rsid w:val="00B837F6"/>
    <w:rsid w:val="00B8491D"/>
    <w:rsid w:val="00B84A3C"/>
    <w:rsid w:val="00B84A69"/>
    <w:rsid w:val="00B84E7E"/>
    <w:rsid w:val="00B8573C"/>
    <w:rsid w:val="00B85D25"/>
    <w:rsid w:val="00B8629A"/>
    <w:rsid w:val="00B877BC"/>
    <w:rsid w:val="00B8791C"/>
    <w:rsid w:val="00B9006B"/>
    <w:rsid w:val="00B91027"/>
    <w:rsid w:val="00B9144C"/>
    <w:rsid w:val="00B93B51"/>
    <w:rsid w:val="00B94CF4"/>
    <w:rsid w:val="00B95A43"/>
    <w:rsid w:val="00B96295"/>
    <w:rsid w:val="00B97501"/>
    <w:rsid w:val="00B97D4D"/>
    <w:rsid w:val="00BA29D9"/>
    <w:rsid w:val="00BA2CAA"/>
    <w:rsid w:val="00BA4475"/>
    <w:rsid w:val="00BA5EC0"/>
    <w:rsid w:val="00BA66E4"/>
    <w:rsid w:val="00BA736B"/>
    <w:rsid w:val="00BA750F"/>
    <w:rsid w:val="00BA7874"/>
    <w:rsid w:val="00BB0BE0"/>
    <w:rsid w:val="00BB146F"/>
    <w:rsid w:val="00BB246F"/>
    <w:rsid w:val="00BB2BA8"/>
    <w:rsid w:val="00BB390F"/>
    <w:rsid w:val="00BB4078"/>
    <w:rsid w:val="00BB4A7A"/>
    <w:rsid w:val="00BB5234"/>
    <w:rsid w:val="00BB54D2"/>
    <w:rsid w:val="00BB5A34"/>
    <w:rsid w:val="00BB5CE7"/>
    <w:rsid w:val="00BB5F14"/>
    <w:rsid w:val="00BB6BF6"/>
    <w:rsid w:val="00BB6E78"/>
    <w:rsid w:val="00BB7E47"/>
    <w:rsid w:val="00BB7F69"/>
    <w:rsid w:val="00BC05B4"/>
    <w:rsid w:val="00BC1B40"/>
    <w:rsid w:val="00BC1C8E"/>
    <w:rsid w:val="00BC299C"/>
    <w:rsid w:val="00BC321D"/>
    <w:rsid w:val="00BC3AD5"/>
    <w:rsid w:val="00BC46EA"/>
    <w:rsid w:val="00BC5312"/>
    <w:rsid w:val="00BC59E1"/>
    <w:rsid w:val="00BC65DE"/>
    <w:rsid w:val="00BC65ED"/>
    <w:rsid w:val="00BC752B"/>
    <w:rsid w:val="00BC788F"/>
    <w:rsid w:val="00BC7B72"/>
    <w:rsid w:val="00BD018B"/>
    <w:rsid w:val="00BD12E9"/>
    <w:rsid w:val="00BD1467"/>
    <w:rsid w:val="00BD16E1"/>
    <w:rsid w:val="00BD3280"/>
    <w:rsid w:val="00BD373E"/>
    <w:rsid w:val="00BD399E"/>
    <w:rsid w:val="00BD510D"/>
    <w:rsid w:val="00BD58CA"/>
    <w:rsid w:val="00BD6228"/>
    <w:rsid w:val="00BD72CF"/>
    <w:rsid w:val="00BD7328"/>
    <w:rsid w:val="00BE1132"/>
    <w:rsid w:val="00BE1389"/>
    <w:rsid w:val="00BE1530"/>
    <w:rsid w:val="00BE1745"/>
    <w:rsid w:val="00BE1B0E"/>
    <w:rsid w:val="00BE1C38"/>
    <w:rsid w:val="00BE2F9C"/>
    <w:rsid w:val="00BE33D4"/>
    <w:rsid w:val="00BE47A9"/>
    <w:rsid w:val="00BE4F4E"/>
    <w:rsid w:val="00BE5314"/>
    <w:rsid w:val="00BE5AE6"/>
    <w:rsid w:val="00BE6BD6"/>
    <w:rsid w:val="00BE7B83"/>
    <w:rsid w:val="00BF098B"/>
    <w:rsid w:val="00BF0BB4"/>
    <w:rsid w:val="00BF289B"/>
    <w:rsid w:val="00BF37D8"/>
    <w:rsid w:val="00BF3BD5"/>
    <w:rsid w:val="00BF43ED"/>
    <w:rsid w:val="00BF55D5"/>
    <w:rsid w:val="00BF56FD"/>
    <w:rsid w:val="00BF631A"/>
    <w:rsid w:val="00C00567"/>
    <w:rsid w:val="00C02DC0"/>
    <w:rsid w:val="00C05AEE"/>
    <w:rsid w:val="00C060E3"/>
    <w:rsid w:val="00C066D8"/>
    <w:rsid w:val="00C0677C"/>
    <w:rsid w:val="00C0679D"/>
    <w:rsid w:val="00C068DA"/>
    <w:rsid w:val="00C07640"/>
    <w:rsid w:val="00C10B18"/>
    <w:rsid w:val="00C12036"/>
    <w:rsid w:val="00C12D87"/>
    <w:rsid w:val="00C137DB"/>
    <w:rsid w:val="00C13A1D"/>
    <w:rsid w:val="00C13EF2"/>
    <w:rsid w:val="00C14224"/>
    <w:rsid w:val="00C152CA"/>
    <w:rsid w:val="00C156EE"/>
    <w:rsid w:val="00C16655"/>
    <w:rsid w:val="00C16D85"/>
    <w:rsid w:val="00C17755"/>
    <w:rsid w:val="00C1794B"/>
    <w:rsid w:val="00C17C55"/>
    <w:rsid w:val="00C17F1F"/>
    <w:rsid w:val="00C20A5F"/>
    <w:rsid w:val="00C215F1"/>
    <w:rsid w:val="00C22A31"/>
    <w:rsid w:val="00C22ED0"/>
    <w:rsid w:val="00C24047"/>
    <w:rsid w:val="00C241A0"/>
    <w:rsid w:val="00C25CED"/>
    <w:rsid w:val="00C25F05"/>
    <w:rsid w:val="00C2668E"/>
    <w:rsid w:val="00C26ADA"/>
    <w:rsid w:val="00C3165A"/>
    <w:rsid w:val="00C31760"/>
    <w:rsid w:val="00C32B52"/>
    <w:rsid w:val="00C34C8F"/>
    <w:rsid w:val="00C35240"/>
    <w:rsid w:val="00C35818"/>
    <w:rsid w:val="00C35962"/>
    <w:rsid w:val="00C35E5C"/>
    <w:rsid w:val="00C364E0"/>
    <w:rsid w:val="00C41BD1"/>
    <w:rsid w:val="00C41F09"/>
    <w:rsid w:val="00C42E50"/>
    <w:rsid w:val="00C44B02"/>
    <w:rsid w:val="00C4581C"/>
    <w:rsid w:val="00C46D29"/>
    <w:rsid w:val="00C46E48"/>
    <w:rsid w:val="00C46F4F"/>
    <w:rsid w:val="00C47603"/>
    <w:rsid w:val="00C477A4"/>
    <w:rsid w:val="00C47D2D"/>
    <w:rsid w:val="00C5213D"/>
    <w:rsid w:val="00C52689"/>
    <w:rsid w:val="00C53FED"/>
    <w:rsid w:val="00C5463C"/>
    <w:rsid w:val="00C54B4D"/>
    <w:rsid w:val="00C54CBA"/>
    <w:rsid w:val="00C55757"/>
    <w:rsid w:val="00C57F86"/>
    <w:rsid w:val="00C57FA1"/>
    <w:rsid w:val="00C61F19"/>
    <w:rsid w:val="00C63405"/>
    <w:rsid w:val="00C63D2C"/>
    <w:rsid w:val="00C64AB3"/>
    <w:rsid w:val="00C64EFB"/>
    <w:rsid w:val="00C65A71"/>
    <w:rsid w:val="00C65AD6"/>
    <w:rsid w:val="00C6653F"/>
    <w:rsid w:val="00C66DCA"/>
    <w:rsid w:val="00C67775"/>
    <w:rsid w:val="00C67DE4"/>
    <w:rsid w:val="00C707FA"/>
    <w:rsid w:val="00C71012"/>
    <w:rsid w:val="00C71F69"/>
    <w:rsid w:val="00C7211A"/>
    <w:rsid w:val="00C72B67"/>
    <w:rsid w:val="00C7511F"/>
    <w:rsid w:val="00C751FF"/>
    <w:rsid w:val="00C758C8"/>
    <w:rsid w:val="00C76D45"/>
    <w:rsid w:val="00C76E74"/>
    <w:rsid w:val="00C76F9F"/>
    <w:rsid w:val="00C77447"/>
    <w:rsid w:val="00C81D7A"/>
    <w:rsid w:val="00C84B75"/>
    <w:rsid w:val="00C84F0F"/>
    <w:rsid w:val="00C8570F"/>
    <w:rsid w:val="00C859DC"/>
    <w:rsid w:val="00C85A68"/>
    <w:rsid w:val="00C85DE8"/>
    <w:rsid w:val="00C85EA9"/>
    <w:rsid w:val="00C86386"/>
    <w:rsid w:val="00C90463"/>
    <w:rsid w:val="00C90B2F"/>
    <w:rsid w:val="00C90BDF"/>
    <w:rsid w:val="00C9150F"/>
    <w:rsid w:val="00C92AEE"/>
    <w:rsid w:val="00C935C1"/>
    <w:rsid w:val="00C939BB"/>
    <w:rsid w:val="00C93C97"/>
    <w:rsid w:val="00C94E05"/>
    <w:rsid w:val="00C952B4"/>
    <w:rsid w:val="00C966AA"/>
    <w:rsid w:val="00C97D5F"/>
    <w:rsid w:val="00CA00F5"/>
    <w:rsid w:val="00CA3189"/>
    <w:rsid w:val="00CA53AF"/>
    <w:rsid w:val="00CA66A2"/>
    <w:rsid w:val="00CA740D"/>
    <w:rsid w:val="00CB04F2"/>
    <w:rsid w:val="00CB1741"/>
    <w:rsid w:val="00CB2810"/>
    <w:rsid w:val="00CB2C0B"/>
    <w:rsid w:val="00CB3049"/>
    <w:rsid w:val="00CB308F"/>
    <w:rsid w:val="00CB34C4"/>
    <w:rsid w:val="00CB5482"/>
    <w:rsid w:val="00CB673E"/>
    <w:rsid w:val="00CC21F7"/>
    <w:rsid w:val="00CC3EEB"/>
    <w:rsid w:val="00CC4DF6"/>
    <w:rsid w:val="00CC56C9"/>
    <w:rsid w:val="00CC5941"/>
    <w:rsid w:val="00CD050D"/>
    <w:rsid w:val="00CD0B89"/>
    <w:rsid w:val="00CD25F1"/>
    <w:rsid w:val="00CD33AF"/>
    <w:rsid w:val="00CD4606"/>
    <w:rsid w:val="00CD4D53"/>
    <w:rsid w:val="00CD4E12"/>
    <w:rsid w:val="00CD5668"/>
    <w:rsid w:val="00CD6402"/>
    <w:rsid w:val="00CD64A6"/>
    <w:rsid w:val="00CD6C86"/>
    <w:rsid w:val="00CD7307"/>
    <w:rsid w:val="00CD7397"/>
    <w:rsid w:val="00CE011E"/>
    <w:rsid w:val="00CE02F0"/>
    <w:rsid w:val="00CE0EB4"/>
    <w:rsid w:val="00CE1278"/>
    <w:rsid w:val="00CE161F"/>
    <w:rsid w:val="00CE20CB"/>
    <w:rsid w:val="00CE3C1D"/>
    <w:rsid w:val="00CE3EB3"/>
    <w:rsid w:val="00CE40AC"/>
    <w:rsid w:val="00CE5424"/>
    <w:rsid w:val="00CE6BB1"/>
    <w:rsid w:val="00CE7CD7"/>
    <w:rsid w:val="00CF043E"/>
    <w:rsid w:val="00CF0651"/>
    <w:rsid w:val="00CF0791"/>
    <w:rsid w:val="00CF3D21"/>
    <w:rsid w:val="00CF3E60"/>
    <w:rsid w:val="00CF436A"/>
    <w:rsid w:val="00CF5366"/>
    <w:rsid w:val="00CF5519"/>
    <w:rsid w:val="00CF5C68"/>
    <w:rsid w:val="00CF6540"/>
    <w:rsid w:val="00D00876"/>
    <w:rsid w:val="00D009D9"/>
    <w:rsid w:val="00D00F46"/>
    <w:rsid w:val="00D01EE0"/>
    <w:rsid w:val="00D02194"/>
    <w:rsid w:val="00D02555"/>
    <w:rsid w:val="00D025A9"/>
    <w:rsid w:val="00D02BD0"/>
    <w:rsid w:val="00D03688"/>
    <w:rsid w:val="00D03EEE"/>
    <w:rsid w:val="00D07354"/>
    <w:rsid w:val="00D07BBF"/>
    <w:rsid w:val="00D109B2"/>
    <w:rsid w:val="00D11080"/>
    <w:rsid w:val="00D12727"/>
    <w:rsid w:val="00D130C2"/>
    <w:rsid w:val="00D14102"/>
    <w:rsid w:val="00D14735"/>
    <w:rsid w:val="00D156DF"/>
    <w:rsid w:val="00D16277"/>
    <w:rsid w:val="00D16942"/>
    <w:rsid w:val="00D16E42"/>
    <w:rsid w:val="00D16EE8"/>
    <w:rsid w:val="00D179F2"/>
    <w:rsid w:val="00D17DF9"/>
    <w:rsid w:val="00D216FF"/>
    <w:rsid w:val="00D21C7F"/>
    <w:rsid w:val="00D2214C"/>
    <w:rsid w:val="00D22327"/>
    <w:rsid w:val="00D2295D"/>
    <w:rsid w:val="00D22C2E"/>
    <w:rsid w:val="00D2305F"/>
    <w:rsid w:val="00D23F98"/>
    <w:rsid w:val="00D24D6C"/>
    <w:rsid w:val="00D2553C"/>
    <w:rsid w:val="00D2563C"/>
    <w:rsid w:val="00D25A6B"/>
    <w:rsid w:val="00D30CEF"/>
    <w:rsid w:val="00D311E2"/>
    <w:rsid w:val="00D34522"/>
    <w:rsid w:val="00D353D1"/>
    <w:rsid w:val="00D35BA9"/>
    <w:rsid w:val="00D36307"/>
    <w:rsid w:val="00D36EDC"/>
    <w:rsid w:val="00D375B2"/>
    <w:rsid w:val="00D376E8"/>
    <w:rsid w:val="00D37BB4"/>
    <w:rsid w:val="00D403BE"/>
    <w:rsid w:val="00D4096E"/>
    <w:rsid w:val="00D4099D"/>
    <w:rsid w:val="00D40A1D"/>
    <w:rsid w:val="00D40FFE"/>
    <w:rsid w:val="00D429BA"/>
    <w:rsid w:val="00D43589"/>
    <w:rsid w:val="00D43A8D"/>
    <w:rsid w:val="00D43D68"/>
    <w:rsid w:val="00D440E8"/>
    <w:rsid w:val="00D45A22"/>
    <w:rsid w:val="00D4796B"/>
    <w:rsid w:val="00D50035"/>
    <w:rsid w:val="00D50294"/>
    <w:rsid w:val="00D504C1"/>
    <w:rsid w:val="00D50B07"/>
    <w:rsid w:val="00D50D10"/>
    <w:rsid w:val="00D52668"/>
    <w:rsid w:val="00D53C8A"/>
    <w:rsid w:val="00D55686"/>
    <w:rsid w:val="00D56B12"/>
    <w:rsid w:val="00D5707D"/>
    <w:rsid w:val="00D57357"/>
    <w:rsid w:val="00D57C1C"/>
    <w:rsid w:val="00D6015F"/>
    <w:rsid w:val="00D60198"/>
    <w:rsid w:val="00D6082F"/>
    <w:rsid w:val="00D62434"/>
    <w:rsid w:val="00D638D0"/>
    <w:rsid w:val="00D6421D"/>
    <w:rsid w:val="00D64D12"/>
    <w:rsid w:val="00D650D8"/>
    <w:rsid w:val="00D70B57"/>
    <w:rsid w:val="00D71B29"/>
    <w:rsid w:val="00D724AE"/>
    <w:rsid w:val="00D72CF6"/>
    <w:rsid w:val="00D7409B"/>
    <w:rsid w:val="00D749BB"/>
    <w:rsid w:val="00D759B8"/>
    <w:rsid w:val="00D76B8F"/>
    <w:rsid w:val="00D77387"/>
    <w:rsid w:val="00D775A6"/>
    <w:rsid w:val="00D80924"/>
    <w:rsid w:val="00D80AD2"/>
    <w:rsid w:val="00D81D9D"/>
    <w:rsid w:val="00D825AE"/>
    <w:rsid w:val="00D825D9"/>
    <w:rsid w:val="00D8326C"/>
    <w:rsid w:val="00D83F31"/>
    <w:rsid w:val="00D85EA6"/>
    <w:rsid w:val="00D8606F"/>
    <w:rsid w:val="00D87C9D"/>
    <w:rsid w:val="00D90ACB"/>
    <w:rsid w:val="00D90CF3"/>
    <w:rsid w:val="00D90FF6"/>
    <w:rsid w:val="00D92188"/>
    <w:rsid w:val="00D924A5"/>
    <w:rsid w:val="00D9316D"/>
    <w:rsid w:val="00D931C8"/>
    <w:rsid w:val="00D9347F"/>
    <w:rsid w:val="00D935BC"/>
    <w:rsid w:val="00D937F2"/>
    <w:rsid w:val="00D958B0"/>
    <w:rsid w:val="00D961B3"/>
    <w:rsid w:val="00D967C6"/>
    <w:rsid w:val="00D96A28"/>
    <w:rsid w:val="00DA02B3"/>
    <w:rsid w:val="00DA05B8"/>
    <w:rsid w:val="00DA0E0A"/>
    <w:rsid w:val="00DA1B3A"/>
    <w:rsid w:val="00DA2E8F"/>
    <w:rsid w:val="00DA3202"/>
    <w:rsid w:val="00DA3611"/>
    <w:rsid w:val="00DA3E1F"/>
    <w:rsid w:val="00DA3F8B"/>
    <w:rsid w:val="00DA4BE8"/>
    <w:rsid w:val="00DA4CB4"/>
    <w:rsid w:val="00DA5FA2"/>
    <w:rsid w:val="00DB0558"/>
    <w:rsid w:val="00DB0CF9"/>
    <w:rsid w:val="00DB0DEB"/>
    <w:rsid w:val="00DB2D50"/>
    <w:rsid w:val="00DB3059"/>
    <w:rsid w:val="00DB3630"/>
    <w:rsid w:val="00DB3874"/>
    <w:rsid w:val="00DB398F"/>
    <w:rsid w:val="00DB5A30"/>
    <w:rsid w:val="00DB5D48"/>
    <w:rsid w:val="00DB5E55"/>
    <w:rsid w:val="00DB7208"/>
    <w:rsid w:val="00DB7C42"/>
    <w:rsid w:val="00DC08BB"/>
    <w:rsid w:val="00DC1359"/>
    <w:rsid w:val="00DC23A6"/>
    <w:rsid w:val="00DC292A"/>
    <w:rsid w:val="00DC2B07"/>
    <w:rsid w:val="00DC5EA4"/>
    <w:rsid w:val="00DD0CD0"/>
    <w:rsid w:val="00DD183A"/>
    <w:rsid w:val="00DD2B53"/>
    <w:rsid w:val="00DD3F5F"/>
    <w:rsid w:val="00DD4CC6"/>
    <w:rsid w:val="00DD522A"/>
    <w:rsid w:val="00DD628F"/>
    <w:rsid w:val="00DE03A4"/>
    <w:rsid w:val="00DE1512"/>
    <w:rsid w:val="00DE260E"/>
    <w:rsid w:val="00DE2FC7"/>
    <w:rsid w:val="00DE352E"/>
    <w:rsid w:val="00DE5100"/>
    <w:rsid w:val="00DE7843"/>
    <w:rsid w:val="00DF0086"/>
    <w:rsid w:val="00DF036F"/>
    <w:rsid w:val="00DF0C55"/>
    <w:rsid w:val="00DF2346"/>
    <w:rsid w:val="00DF467B"/>
    <w:rsid w:val="00DF52FD"/>
    <w:rsid w:val="00DF5E3D"/>
    <w:rsid w:val="00DF687B"/>
    <w:rsid w:val="00DF6C22"/>
    <w:rsid w:val="00DF7AC2"/>
    <w:rsid w:val="00E00685"/>
    <w:rsid w:val="00E01718"/>
    <w:rsid w:val="00E02B67"/>
    <w:rsid w:val="00E02F90"/>
    <w:rsid w:val="00E031D6"/>
    <w:rsid w:val="00E03538"/>
    <w:rsid w:val="00E0394C"/>
    <w:rsid w:val="00E04296"/>
    <w:rsid w:val="00E04A1D"/>
    <w:rsid w:val="00E04B57"/>
    <w:rsid w:val="00E06FBF"/>
    <w:rsid w:val="00E07C98"/>
    <w:rsid w:val="00E1039C"/>
    <w:rsid w:val="00E1256A"/>
    <w:rsid w:val="00E1281C"/>
    <w:rsid w:val="00E128D5"/>
    <w:rsid w:val="00E12C3E"/>
    <w:rsid w:val="00E12D71"/>
    <w:rsid w:val="00E12DCA"/>
    <w:rsid w:val="00E12DCD"/>
    <w:rsid w:val="00E1300A"/>
    <w:rsid w:val="00E15299"/>
    <w:rsid w:val="00E15C14"/>
    <w:rsid w:val="00E16BF2"/>
    <w:rsid w:val="00E2067E"/>
    <w:rsid w:val="00E21F79"/>
    <w:rsid w:val="00E22CEB"/>
    <w:rsid w:val="00E232AF"/>
    <w:rsid w:val="00E2363E"/>
    <w:rsid w:val="00E2497B"/>
    <w:rsid w:val="00E308BF"/>
    <w:rsid w:val="00E30CA1"/>
    <w:rsid w:val="00E3116C"/>
    <w:rsid w:val="00E3124D"/>
    <w:rsid w:val="00E312D7"/>
    <w:rsid w:val="00E31676"/>
    <w:rsid w:val="00E31BFE"/>
    <w:rsid w:val="00E32047"/>
    <w:rsid w:val="00E3597D"/>
    <w:rsid w:val="00E36655"/>
    <w:rsid w:val="00E37DF5"/>
    <w:rsid w:val="00E407F3"/>
    <w:rsid w:val="00E4099A"/>
    <w:rsid w:val="00E42BAE"/>
    <w:rsid w:val="00E432DE"/>
    <w:rsid w:val="00E435C8"/>
    <w:rsid w:val="00E4370D"/>
    <w:rsid w:val="00E438F7"/>
    <w:rsid w:val="00E45226"/>
    <w:rsid w:val="00E45BD7"/>
    <w:rsid w:val="00E46424"/>
    <w:rsid w:val="00E46B9F"/>
    <w:rsid w:val="00E51833"/>
    <w:rsid w:val="00E52937"/>
    <w:rsid w:val="00E5497B"/>
    <w:rsid w:val="00E54C9C"/>
    <w:rsid w:val="00E55DE5"/>
    <w:rsid w:val="00E56218"/>
    <w:rsid w:val="00E56D55"/>
    <w:rsid w:val="00E5771A"/>
    <w:rsid w:val="00E57C62"/>
    <w:rsid w:val="00E62007"/>
    <w:rsid w:val="00E620EC"/>
    <w:rsid w:val="00E62DB2"/>
    <w:rsid w:val="00E632E7"/>
    <w:rsid w:val="00E64769"/>
    <w:rsid w:val="00E64950"/>
    <w:rsid w:val="00E651CA"/>
    <w:rsid w:val="00E659AF"/>
    <w:rsid w:val="00E65D64"/>
    <w:rsid w:val="00E66DE5"/>
    <w:rsid w:val="00E67957"/>
    <w:rsid w:val="00E67B34"/>
    <w:rsid w:val="00E70530"/>
    <w:rsid w:val="00E71E1B"/>
    <w:rsid w:val="00E767E2"/>
    <w:rsid w:val="00E76E65"/>
    <w:rsid w:val="00E7740F"/>
    <w:rsid w:val="00E775C0"/>
    <w:rsid w:val="00E801F5"/>
    <w:rsid w:val="00E80F19"/>
    <w:rsid w:val="00E82068"/>
    <w:rsid w:val="00E829B4"/>
    <w:rsid w:val="00E8322D"/>
    <w:rsid w:val="00E84A58"/>
    <w:rsid w:val="00E85769"/>
    <w:rsid w:val="00E86022"/>
    <w:rsid w:val="00E90BE0"/>
    <w:rsid w:val="00E91644"/>
    <w:rsid w:val="00E924C8"/>
    <w:rsid w:val="00E942E0"/>
    <w:rsid w:val="00E94304"/>
    <w:rsid w:val="00E94AF1"/>
    <w:rsid w:val="00E96BD0"/>
    <w:rsid w:val="00E9756E"/>
    <w:rsid w:val="00E975C6"/>
    <w:rsid w:val="00E977E6"/>
    <w:rsid w:val="00E978D4"/>
    <w:rsid w:val="00EA0179"/>
    <w:rsid w:val="00EA09BB"/>
    <w:rsid w:val="00EA1C41"/>
    <w:rsid w:val="00EA22CF"/>
    <w:rsid w:val="00EA2F3C"/>
    <w:rsid w:val="00EA3B02"/>
    <w:rsid w:val="00EA4633"/>
    <w:rsid w:val="00EA4BEC"/>
    <w:rsid w:val="00EA5229"/>
    <w:rsid w:val="00EA5810"/>
    <w:rsid w:val="00EA5BCA"/>
    <w:rsid w:val="00EA5C6F"/>
    <w:rsid w:val="00EA798D"/>
    <w:rsid w:val="00EA79C6"/>
    <w:rsid w:val="00EB0107"/>
    <w:rsid w:val="00EB0333"/>
    <w:rsid w:val="00EB0DD6"/>
    <w:rsid w:val="00EB1B83"/>
    <w:rsid w:val="00EB23D0"/>
    <w:rsid w:val="00EB27B5"/>
    <w:rsid w:val="00EB27CC"/>
    <w:rsid w:val="00EB4527"/>
    <w:rsid w:val="00EB533A"/>
    <w:rsid w:val="00EB5569"/>
    <w:rsid w:val="00EB64BD"/>
    <w:rsid w:val="00EB68AF"/>
    <w:rsid w:val="00EC2187"/>
    <w:rsid w:val="00EC2BAE"/>
    <w:rsid w:val="00EC3045"/>
    <w:rsid w:val="00EC5317"/>
    <w:rsid w:val="00EC598C"/>
    <w:rsid w:val="00EC5F7B"/>
    <w:rsid w:val="00EC61BF"/>
    <w:rsid w:val="00EC64FA"/>
    <w:rsid w:val="00EC69FE"/>
    <w:rsid w:val="00ED047A"/>
    <w:rsid w:val="00ED0800"/>
    <w:rsid w:val="00ED0A70"/>
    <w:rsid w:val="00ED3F7C"/>
    <w:rsid w:val="00ED5497"/>
    <w:rsid w:val="00ED5554"/>
    <w:rsid w:val="00ED5E74"/>
    <w:rsid w:val="00ED679C"/>
    <w:rsid w:val="00ED7012"/>
    <w:rsid w:val="00ED7DC7"/>
    <w:rsid w:val="00ED7E49"/>
    <w:rsid w:val="00EE0211"/>
    <w:rsid w:val="00EE05C3"/>
    <w:rsid w:val="00EE0F61"/>
    <w:rsid w:val="00EE1B7A"/>
    <w:rsid w:val="00EE1CF2"/>
    <w:rsid w:val="00EE27C3"/>
    <w:rsid w:val="00EE2F30"/>
    <w:rsid w:val="00EE3395"/>
    <w:rsid w:val="00EE3E27"/>
    <w:rsid w:val="00EE4050"/>
    <w:rsid w:val="00EE4698"/>
    <w:rsid w:val="00EE5C47"/>
    <w:rsid w:val="00EE6155"/>
    <w:rsid w:val="00EE66B9"/>
    <w:rsid w:val="00EE67F1"/>
    <w:rsid w:val="00EE6CAF"/>
    <w:rsid w:val="00EE6FC1"/>
    <w:rsid w:val="00EF1083"/>
    <w:rsid w:val="00EF152B"/>
    <w:rsid w:val="00EF41E1"/>
    <w:rsid w:val="00EF444B"/>
    <w:rsid w:val="00EF58BC"/>
    <w:rsid w:val="00EF6487"/>
    <w:rsid w:val="00EF68FF"/>
    <w:rsid w:val="00EF7313"/>
    <w:rsid w:val="00EF7FA5"/>
    <w:rsid w:val="00F00961"/>
    <w:rsid w:val="00F014A8"/>
    <w:rsid w:val="00F01760"/>
    <w:rsid w:val="00F01ADB"/>
    <w:rsid w:val="00F0356C"/>
    <w:rsid w:val="00F04B9A"/>
    <w:rsid w:val="00F05C38"/>
    <w:rsid w:val="00F07623"/>
    <w:rsid w:val="00F106C7"/>
    <w:rsid w:val="00F108F1"/>
    <w:rsid w:val="00F119A9"/>
    <w:rsid w:val="00F11B9D"/>
    <w:rsid w:val="00F12D50"/>
    <w:rsid w:val="00F14EAE"/>
    <w:rsid w:val="00F15AE1"/>
    <w:rsid w:val="00F160FD"/>
    <w:rsid w:val="00F16494"/>
    <w:rsid w:val="00F16F2C"/>
    <w:rsid w:val="00F173BF"/>
    <w:rsid w:val="00F174FA"/>
    <w:rsid w:val="00F1782D"/>
    <w:rsid w:val="00F21542"/>
    <w:rsid w:val="00F21D03"/>
    <w:rsid w:val="00F22184"/>
    <w:rsid w:val="00F2284B"/>
    <w:rsid w:val="00F22C98"/>
    <w:rsid w:val="00F23CB3"/>
    <w:rsid w:val="00F23F88"/>
    <w:rsid w:val="00F252DA"/>
    <w:rsid w:val="00F254D1"/>
    <w:rsid w:val="00F2618D"/>
    <w:rsid w:val="00F302E7"/>
    <w:rsid w:val="00F306E8"/>
    <w:rsid w:val="00F3070F"/>
    <w:rsid w:val="00F30AE2"/>
    <w:rsid w:val="00F31197"/>
    <w:rsid w:val="00F3178F"/>
    <w:rsid w:val="00F34213"/>
    <w:rsid w:val="00F344CF"/>
    <w:rsid w:val="00F35A52"/>
    <w:rsid w:val="00F36DE4"/>
    <w:rsid w:val="00F378D6"/>
    <w:rsid w:val="00F37D3D"/>
    <w:rsid w:val="00F40487"/>
    <w:rsid w:val="00F41017"/>
    <w:rsid w:val="00F4167A"/>
    <w:rsid w:val="00F4195E"/>
    <w:rsid w:val="00F42564"/>
    <w:rsid w:val="00F42FF0"/>
    <w:rsid w:val="00F43682"/>
    <w:rsid w:val="00F43BF5"/>
    <w:rsid w:val="00F47BAB"/>
    <w:rsid w:val="00F5036F"/>
    <w:rsid w:val="00F507F1"/>
    <w:rsid w:val="00F515A9"/>
    <w:rsid w:val="00F52483"/>
    <w:rsid w:val="00F537F7"/>
    <w:rsid w:val="00F53C41"/>
    <w:rsid w:val="00F55BC7"/>
    <w:rsid w:val="00F57DFF"/>
    <w:rsid w:val="00F60096"/>
    <w:rsid w:val="00F60544"/>
    <w:rsid w:val="00F60FE0"/>
    <w:rsid w:val="00F618CB"/>
    <w:rsid w:val="00F62723"/>
    <w:rsid w:val="00F62A46"/>
    <w:rsid w:val="00F62E0C"/>
    <w:rsid w:val="00F6344A"/>
    <w:rsid w:val="00F6433E"/>
    <w:rsid w:val="00F650DC"/>
    <w:rsid w:val="00F656B3"/>
    <w:rsid w:val="00F66D28"/>
    <w:rsid w:val="00F67F76"/>
    <w:rsid w:val="00F70CE2"/>
    <w:rsid w:val="00F70E36"/>
    <w:rsid w:val="00F725B0"/>
    <w:rsid w:val="00F72BA0"/>
    <w:rsid w:val="00F72BDC"/>
    <w:rsid w:val="00F73A56"/>
    <w:rsid w:val="00F74355"/>
    <w:rsid w:val="00F74D39"/>
    <w:rsid w:val="00F75B56"/>
    <w:rsid w:val="00F75FFC"/>
    <w:rsid w:val="00F7607B"/>
    <w:rsid w:val="00F766D9"/>
    <w:rsid w:val="00F774F7"/>
    <w:rsid w:val="00F8088D"/>
    <w:rsid w:val="00F811F1"/>
    <w:rsid w:val="00F8122A"/>
    <w:rsid w:val="00F81880"/>
    <w:rsid w:val="00F81A21"/>
    <w:rsid w:val="00F81D61"/>
    <w:rsid w:val="00F8222A"/>
    <w:rsid w:val="00F82232"/>
    <w:rsid w:val="00F825EA"/>
    <w:rsid w:val="00F82E20"/>
    <w:rsid w:val="00F846B2"/>
    <w:rsid w:val="00F854D3"/>
    <w:rsid w:val="00F8723F"/>
    <w:rsid w:val="00F8733F"/>
    <w:rsid w:val="00F8758E"/>
    <w:rsid w:val="00F87C72"/>
    <w:rsid w:val="00F91670"/>
    <w:rsid w:val="00F91AA9"/>
    <w:rsid w:val="00F91B6E"/>
    <w:rsid w:val="00F91CEE"/>
    <w:rsid w:val="00F91E7E"/>
    <w:rsid w:val="00F921DA"/>
    <w:rsid w:val="00F92786"/>
    <w:rsid w:val="00F92CB8"/>
    <w:rsid w:val="00F93771"/>
    <w:rsid w:val="00F9382B"/>
    <w:rsid w:val="00F94A76"/>
    <w:rsid w:val="00F955A2"/>
    <w:rsid w:val="00F95901"/>
    <w:rsid w:val="00F95EE8"/>
    <w:rsid w:val="00F96D4F"/>
    <w:rsid w:val="00FA09DE"/>
    <w:rsid w:val="00FA1B2E"/>
    <w:rsid w:val="00FA2241"/>
    <w:rsid w:val="00FA2CEE"/>
    <w:rsid w:val="00FA30E8"/>
    <w:rsid w:val="00FA4B53"/>
    <w:rsid w:val="00FA5078"/>
    <w:rsid w:val="00FA5EC0"/>
    <w:rsid w:val="00FB061A"/>
    <w:rsid w:val="00FB0822"/>
    <w:rsid w:val="00FB0FC0"/>
    <w:rsid w:val="00FB185A"/>
    <w:rsid w:val="00FB284E"/>
    <w:rsid w:val="00FB2ED9"/>
    <w:rsid w:val="00FB36FE"/>
    <w:rsid w:val="00FB502D"/>
    <w:rsid w:val="00FB50D9"/>
    <w:rsid w:val="00FB6215"/>
    <w:rsid w:val="00FB726D"/>
    <w:rsid w:val="00FB7B89"/>
    <w:rsid w:val="00FB7BDB"/>
    <w:rsid w:val="00FC14E1"/>
    <w:rsid w:val="00FC172A"/>
    <w:rsid w:val="00FC2D89"/>
    <w:rsid w:val="00FC2E5C"/>
    <w:rsid w:val="00FC4D58"/>
    <w:rsid w:val="00FD02FA"/>
    <w:rsid w:val="00FD174B"/>
    <w:rsid w:val="00FD2184"/>
    <w:rsid w:val="00FD3137"/>
    <w:rsid w:val="00FD337E"/>
    <w:rsid w:val="00FD391F"/>
    <w:rsid w:val="00FD3D77"/>
    <w:rsid w:val="00FD4FA3"/>
    <w:rsid w:val="00FD57CE"/>
    <w:rsid w:val="00FD6481"/>
    <w:rsid w:val="00FD7186"/>
    <w:rsid w:val="00FD72DB"/>
    <w:rsid w:val="00FD7E85"/>
    <w:rsid w:val="00FE082D"/>
    <w:rsid w:val="00FE191B"/>
    <w:rsid w:val="00FE2303"/>
    <w:rsid w:val="00FE2E97"/>
    <w:rsid w:val="00FE4B09"/>
    <w:rsid w:val="00FE5C82"/>
    <w:rsid w:val="00FE685E"/>
    <w:rsid w:val="00FE7052"/>
    <w:rsid w:val="00FE71EB"/>
    <w:rsid w:val="00FF0394"/>
    <w:rsid w:val="00FF134F"/>
    <w:rsid w:val="00FF1410"/>
    <w:rsid w:val="00FF150A"/>
    <w:rsid w:val="00FF3C75"/>
    <w:rsid w:val="00FF491D"/>
    <w:rsid w:val="00FF51A2"/>
    <w:rsid w:val="00FF5DAA"/>
    <w:rsid w:val="00FF5F91"/>
    <w:rsid w:val="00FF651F"/>
    <w:rsid w:val="00FF6B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0070c0,#c00000,#00b050,#7030a0"/>
    </o:shapedefaults>
    <o:shapelayout v:ext="edit">
      <o:idmap v:ext="edit" data="1"/>
    </o:shapelayout>
  </w:shapeDefaults>
  <w:doNotEmbedSmartTags/>
  <w:decimalSymbol w:val="."/>
  <w:listSeparator w:val=","/>
  <w14:docId w14:val="60C80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semiHidden="0" w:uiPriority="0" w:unhideWhenUsed="0" w:qFormat="1"/>
    <w:lsdException w:name="footnote reference" w:uiPriority="0"/>
    <w:lsdException w:name="annotation reference" w:uiPriority="0"/>
    <w:lsdException w:name="endnote reference" w:uiPriority="0"/>
    <w:lsdException w:name="endnote text"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HTML Preformatted" w:uiPriority="0"/>
    <w:lsdException w:name="annotation subject" w:uiPriority="0"/>
    <w:lsdException w:name="No List" w:uiPriority="0"/>
    <w:lsdException w:name="Balloon Text" w:uiPriority="0"/>
    <w:lsdException w:name="Table Grid" w:semiHidden="0" w:uiPriority="59" w:unhideWhenUsed="0"/>
    <w:lsdException w:name="Placeholder Text" w:uiPriority="0"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F81D61"/>
    <w:pPr>
      <w:spacing w:line="480" w:lineRule="auto"/>
      <w:jc w:val="both"/>
    </w:pPr>
  </w:style>
  <w:style w:type="paragraph" w:styleId="Heading1">
    <w:name w:val="heading 1"/>
    <w:basedOn w:val="Normal"/>
    <w:next w:val="Normal"/>
    <w:link w:val="Heading1Char"/>
    <w:qFormat/>
    <w:rsid w:val="00114A2E"/>
    <w:pPr>
      <w:keepNext/>
      <w:numPr>
        <w:numId w:val="16"/>
      </w:numPr>
      <w:spacing w:before="240" w:after="240"/>
      <w:jc w:val="center"/>
      <w:outlineLvl w:val="0"/>
    </w:pPr>
    <w:rPr>
      <w:rFonts w:cs="Arial"/>
      <w:b/>
      <w:bCs/>
      <w:caps/>
      <w:kern w:val="32"/>
      <w:sz w:val="28"/>
      <w:szCs w:val="32"/>
    </w:rPr>
  </w:style>
  <w:style w:type="paragraph" w:styleId="Heading2">
    <w:name w:val="heading 2"/>
    <w:basedOn w:val="Normal"/>
    <w:next w:val="Normal"/>
    <w:link w:val="Heading2Char"/>
    <w:qFormat/>
    <w:rsid w:val="00114A2E"/>
    <w:pPr>
      <w:keepNext/>
      <w:numPr>
        <w:ilvl w:val="1"/>
        <w:numId w:val="16"/>
      </w:numPr>
      <w:spacing w:before="240" w:after="60"/>
      <w:outlineLvl w:val="1"/>
    </w:pPr>
    <w:rPr>
      <w:rFonts w:cs="Arial"/>
      <w:bCs/>
      <w:iCs/>
      <w:caps/>
      <w:szCs w:val="28"/>
    </w:rPr>
  </w:style>
  <w:style w:type="paragraph" w:styleId="Heading3">
    <w:name w:val="heading 3"/>
    <w:basedOn w:val="Normal"/>
    <w:next w:val="Normal"/>
    <w:link w:val="Heading3Char"/>
    <w:qFormat/>
    <w:rsid w:val="00B734CF"/>
    <w:pPr>
      <w:keepNext/>
      <w:numPr>
        <w:ilvl w:val="2"/>
        <w:numId w:val="16"/>
      </w:numPr>
      <w:spacing w:before="240" w:after="240"/>
      <w:outlineLvl w:val="2"/>
    </w:pPr>
    <w:rPr>
      <w:rFonts w:cs="Arial"/>
      <w:bCs/>
      <w:i/>
      <w:szCs w:val="26"/>
    </w:rPr>
  </w:style>
  <w:style w:type="paragraph" w:styleId="Heading4">
    <w:name w:val="heading 4"/>
    <w:basedOn w:val="Normal"/>
    <w:next w:val="Normal"/>
    <w:link w:val="Heading4Char"/>
    <w:qFormat/>
    <w:rsid w:val="006427CE"/>
    <w:pPr>
      <w:keepNext/>
      <w:keepLines/>
      <w:numPr>
        <w:ilvl w:val="3"/>
        <w:numId w:val="16"/>
      </w:numPr>
      <w:spacing w:before="200"/>
      <w:outlineLvl w:val="3"/>
    </w:pPr>
    <w:rPr>
      <w:rFonts w:ascii="Cambria" w:hAnsi="Cambria"/>
      <w:b/>
      <w:bCs/>
      <w:i/>
      <w:iCs/>
    </w:rPr>
  </w:style>
  <w:style w:type="paragraph" w:styleId="Heading5">
    <w:name w:val="heading 5"/>
    <w:basedOn w:val="Normal"/>
    <w:next w:val="Normal"/>
    <w:link w:val="Heading5Char"/>
    <w:qFormat/>
    <w:rsid w:val="006427CE"/>
    <w:pPr>
      <w:keepNext/>
      <w:keepLines/>
      <w:spacing w:before="200"/>
      <w:outlineLvl w:val="4"/>
    </w:pPr>
    <w:rPr>
      <w:rFonts w:asciiTheme="minorHAnsi" w:hAnsiTheme="minorHAnsi"/>
      <w:b/>
      <w:bCs/>
      <w:caps/>
      <w:color w:val="000000" w:themeColor="text1"/>
      <w:sz w:val="28"/>
      <w:szCs w:val="28"/>
    </w:rPr>
  </w:style>
  <w:style w:type="paragraph" w:styleId="Heading6">
    <w:name w:val="heading 6"/>
    <w:basedOn w:val="Normal"/>
    <w:next w:val="Normal"/>
    <w:link w:val="Heading6Char"/>
    <w:qFormat/>
    <w:rsid w:val="006427CE"/>
    <w:pPr>
      <w:keepNext/>
      <w:keepLines/>
      <w:numPr>
        <w:ilvl w:val="5"/>
        <w:numId w:val="16"/>
      </w:numPr>
      <w:spacing w:before="200"/>
      <w:outlineLvl w:val="5"/>
    </w:pPr>
    <w:rPr>
      <w:rFonts w:ascii="Cambria" w:hAnsi="Cambria"/>
      <w:i/>
      <w:iCs/>
      <w:color w:val="243F60"/>
    </w:rPr>
  </w:style>
  <w:style w:type="paragraph" w:styleId="Heading7">
    <w:name w:val="heading 7"/>
    <w:basedOn w:val="Normal"/>
    <w:next w:val="Normal"/>
    <w:link w:val="Heading7Char"/>
    <w:qFormat/>
    <w:rsid w:val="006427CE"/>
    <w:pPr>
      <w:keepNext/>
      <w:keepLines/>
      <w:numPr>
        <w:ilvl w:val="6"/>
        <w:numId w:val="16"/>
      </w:numPr>
      <w:spacing w:before="200"/>
      <w:outlineLvl w:val="6"/>
    </w:pPr>
    <w:rPr>
      <w:rFonts w:ascii="Cambria" w:hAnsi="Cambria"/>
      <w:i/>
      <w:iCs/>
      <w:color w:val="404040"/>
    </w:rPr>
  </w:style>
  <w:style w:type="paragraph" w:styleId="Heading8">
    <w:name w:val="heading 8"/>
    <w:basedOn w:val="Normal"/>
    <w:next w:val="Normal"/>
    <w:link w:val="Heading8Char"/>
    <w:qFormat/>
    <w:rsid w:val="006427CE"/>
    <w:pPr>
      <w:keepNext/>
      <w:keepLines/>
      <w:numPr>
        <w:ilvl w:val="7"/>
        <w:numId w:val="16"/>
      </w:numPr>
      <w:spacing w:before="200"/>
      <w:outlineLvl w:val="7"/>
    </w:pPr>
    <w:rPr>
      <w:rFonts w:ascii="Cambria" w:hAnsi="Cambria"/>
      <w:color w:val="404040"/>
      <w:sz w:val="20"/>
      <w:szCs w:val="20"/>
    </w:rPr>
  </w:style>
  <w:style w:type="paragraph" w:styleId="Heading9">
    <w:name w:val="heading 9"/>
    <w:basedOn w:val="Normal"/>
    <w:next w:val="Normal"/>
    <w:link w:val="Heading9Char"/>
    <w:qFormat/>
    <w:rsid w:val="006427CE"/>
    <w:pPr>
      <w:keepNext/>
      <w:keepLines/>
      <w:numPr>
        <w:ilvl w:val="8"/>
        <w:numId w:val="16"/>
      </w:numPr>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basedOn w:val="Normal"/>
    <w:link w:val="NoSpacingChar"/>
    <w:qFormat/>
    <w:rsid w:val="00BD2094"/>
  </w:style>
  <w:style w:type="character" w:customStyle="1" w:styleId="NoSpacingChar">
    <w:name w:val="No Spacing Char"/>
    <w:basedOn w:val="DefaultParagraphFont"/>
    <w:link w:val="NoSpacing1"/>
    <w:rsid w:val="00BD2094"/>
    <w:rPr>
      <w:rFonts w:cs="Times New Roman"/>
      <w:sz w:val="24"/>
      <w:szCs w:val="24"/>
    </w:rPr>
  </w:style>
  <w:style w:type="paragraph" w:styleId="BalloonText">
    <w:name w:val="Balloon Text"/>
    <w:basedOn w:val="Normal"/>
    <w:link w:val="BalloonTextChar"/>
    <w:semiHidden/>
    <w:rsid w:val="009B4569"/>
    <w:rPr>
      <w:rFonts w:ascii="Tahoma" w:hAnsi="Tahoma" w:cs="Tahoma"/>
      <w:sz w:val="16"/>
      <w:szCs w:val="16"/>
    </w:rPr>
  </w:style>
  <w:style w:type="character" w:customStyle="1" w:styleId="BalloonTextChar">
    <w:name w:val="Balloon Text Char"/>
    <w:basedOn w:val="DefaultParagraphFont"/>
    <w:link w:val="BalloonText"/>
    <w:semiHidden/>
    <w:rsid w:val="009B4569"/>
    <w:rPr>
      <w:rFonts w:ascii="Tahoma" w:hAnsi="Tahoma" w:cs="Tahoma"/>
      <w:sz w:val="16"/>
      <w:szCs w:val="16"/>
    </w:rPr>
  </w:style>
  <w:style w:type="character" w:customStyle="1" w:styleId="Heading1Char">
    <w:name w:val="Heading 1 Char"/>
    <w:basedOn w:val="DefaultParagraphFont"/>
    <w:link w:val="Heading1"/>
    <w:rsid w:val="00114A2E"/>
    <w:rPr>
      <w:rFonts w:cs="Arial"/>
      <w:b/>
      <w:bCs/>
      <w:caps/>
      <w:kern w:val="32"/>
      <w:sz w:val="28"/>
      <w:szCs w:val="32"/>
    </w:rPr>
  </w:style>
  <w:style w:type="character" w:customStyle="1" w:styleId="Heading2Char">
    <w:name w:val="Heading 2 Char"/>
    <w:basedOn w:val="DefaultParagraphFont"/>
    <w:link w:val="Heading2"/>
    <w:rsid w:val="00114A2E"/>
    <w:rPr>
      <w:rFonts w:cs="Arial"/>
      <w:bCs/>
      <w:iCs/>
      <w:caps/>
      <w:szCs w:val="28"/>
    </w:rPr>
  </w:style>
  <w:style w:type="character" w:customStyle="1" w:styleId="Heading3Char">
    <w:name w:val="Heading 3 Char"/>
    <w:basedOn w:val="DefaultParagraphFont"/>
    <w:link w:val="Heading3"/>
    <w:rsid w:val="00B734CF"/>
    <w:rPr>
      <w:rFonts w:cs="Arial"/>
      <w:bCs/>
      <w:i/>
      <w:szCs w:val="26"/>
    </w:rPr>
  </w:style>
  <w:style w:type="character" w:customStyle="1" w:styleId="Heading4Char">
    <w:name w:val="Heading 4 Char"/>
    <w:basedOn w:val="DefaultParagraphFont"/>
    <w:link w:val="Heading4"/>
    <w:rsid w:val="006427CE"/>
    <w:rPr>
      <w:rFonts w:ascii="Cambria" w:hAnsi="Cambria"/>
      <w:b/>
      <w:bCs/>
      <w:i/>
      <w:iCs/>
    </w:rPr>
  </w:style>
  <w:style w:type="character" w:customStyle="1" w:styleId="Heading5Char">
    <w:name w:val="Heading 5 Char"/>
    <w:basedOn w:val="DefaultParagraphFont"/>
    <w:link w:val="Heading5"/>
    <w:rsid w:val="006427CE"/>
    <w:rPr>
      <w:rFonts w:asciiTheme="minorHAnsi" w:hAnsiTheme="minorHAnsi"/>
      <w:b/>
      <w:bCs/>
      <w:caps/>
      <w:color w:val="000000" w:themeColor="text1"/>
      <w:sz w:val="28"/>
      <w:szCs w:val="28"/>
    </w:rPr>
  </w:style>
  <w:style w:type="character" w:customStyle="1" w:styleId="Heading6Char">
    <w:name w:val="Heading 6 Char"/>
    <w:basedOn w:val="DefaultParagraphFont"/>
    <w:link w:val="Heading6"/>
    <w:rsid w:val="006427CE"/>
    <w:rPr>
      <w:rFonts w:ascii="Cambria" w:hAnsi="Cambria"/>
      <w:i/>
      <w:iCs/>
      <w:color w:val="243F60"/>
    </w:rPr>
  </w:style>
  <w:style w:type="character" w:customStyle="1" w:styleId="Heading7Char">
    <w:name w:val="Heading 7 Char"/>
    <w:basedOn w:val="DefaultParagraphFont"/>
    <w:link w:val="Heading7"/>
    <w:rsid w:val="006427CE"/>
    <w:rPr>
      <w:rFonts w:ascii="Cambria" w:hAnsi="Cambria"/>
      <w:i/>
      <w:iCs/>
      <w:color w:val="404040"/>
    </w:rPr>
  </w:style>
  <w:style w:type="character" w:customStyle="1" w:styleId="Heading8Char">
    <w:name w:val="Heading 8 Char"/>
    <w:basedOn w:val="DefaultParagraphFont"/>
    <w:link w:val="Heading8"/>
    <w:rsid w:val="006427CE"/>
    <w:rPr>
      <w:rFonts w:ascii="Cambria" w:hAnsi="Cambria"/>
      <w:color w:val="404040"/>
      <w:sz w:val="20"/>
      <w:szCs w:val="20"/>
    </w:rPr>
  </w:style>
  <w:style w:type="character" w:customStyle="1" w:styleId="Heading9Char">
    <w:name w:val="Heading 9 Char"/>
    <w:basedOn w:val="DefaultParagraphFont"/>
    <w:link w:val="Heading9"/>
    <w:rsid w:val="006427CE"/>
    <w:rPr>
      <w:rFonts w:ascii="Cambria" w:hAnsi="Cambria"/>
      <w:i/>
      <w:iCs/>
      <w:color w:val="404040"/>
      <w:sz w:val="20"/>
      <w:szCs w:val="20"/>
    </w:rPr>
  </w:style>
  <w:style w:type="paragraph" w:styleId="Caption">
    <w:name w:val="caption"/>
    <w:basedOn w:val="Normal"/>
    <w:next w:val="Normal"/>
    <w:qFormat/>
    <w:rsid w:val="00BD2094"/>
    <w:rPr>
      <w:b/>
      <w:bCs/>
      <w:sz w:val="20"/>
      <w:szCs w:val="20"/>
    </w:rPr>
  </w:style>
  <w:style w:type="paragraph" w:styleId="Title">
    <w:name w:val="Title"/>
    <w:basedOn w:val="Normal"/>
    <w:next w:val="Normal"/>
    <w:link w:val="TitleChar"/>
    <w:qFormat/>
    <w:rsid w:val="00BD2094"/>
    <w:pPr>
      <w:pBdr>
        <w:bottom w:val="single" w:sz="8" w:space="4" w:color="4F81BD"/>
      </w:pBdr>
      <w:spacing w:after="300"/>
    </w:pPr>
    <w:rPr>
      <w:rFonts w:ascii="Cambria" w:hAnsi="Cambria"/>
      <w:color w:val="17365D"/>
      <w:spacing w:val="5"/>
      <w:kern w:val="28"/>
      <w:sz w:val="52"/>
      <w:szCs w:val="52"/>
    </w:rPr>
  </w:style>
  <w:style w:type="character" w:customStyle="1" w:styleId="TitleChar">
    <w:name w:val="Title Char"/>
    <w:basedOn w:val="DefaultParagraphFont"/>
    <w:link w:val="Title"/>
    <w:rsid w:val="00BD2094"/>
    <w:rPr>
      <w:rFonts w:ascii="Cambria" w:hAnsi="Cambria" w:cs="Times New Roman"/>
      <w:color w:val="17365D"/>
      <w:spacing w:val="5"/>
      <w:kern w:val="28"/>
      <w:sz w:val="52"/>
      <w:szCs w:val="52"/>
    </w:rPr>
  </w:style>
  <w:style w:type="paragraph" w:styleId="Subtitle">
    <w:name w:val="Subtitle"/>
    <w:basedOn w:val="Normal"/>
    <w:next w:val="Normal"/>
    <w:link w:val="SubtitleChar"/>
    <w:qFormat/>
    <w:rsid w:val="00BD2094"/>
    <w:pPr>
      <w:numPr>
        <w:ilvl w:val="1"/>
      </w:numPr>
    </w:pPr>
    <w:rPr>
      <w:rFonts w:ascii="Cambria" w:hAnsi="Cambria"/>
      <w:i/>
      <w:iCs/>
      <w:color w:val="4F81BD"/>
      <w:spacing w:val="15"/>
    </w:rPr>
  </w:style>
  <w:style w:type="character" w:customStyle="1" w:styleId="SubtitleChar">
    <w:name w:val="Subtitle Char"/>
    <w:basedOn w:val="DefaultParagraphFont"/>
    <w:link w:val="Subtitle"/>
    <w:rsid w:val="00BD2094"/>
    <w:rPr>
      <w:rFonts w:ascii="Cambria" w:hAnsi="Cambria" w:cs="Times New Roman"/>
      <w:i/>
      <w:iCs/>
      <w:color w:val="4F81BD"/>
      <w:spacing w:val="15"/>
      <w:sz w:val="24"/>
      <w:szCs w:val="24"/>
    </w:rPr>
  </w:style>
  <w:style w:type="character" w:styleId="Strong">
    <w:name w:val="Strong"/>
    <w:basedOn w:val="DefaultParagraphFont"/>
    <w:qFormat/>
    <w:rsid w:val="00BD2094"/>
    <w:rPr>
      <w:rFonts w:ascii="Arial" w:hAnsi="Arial" w:cs="Times New Roman"/>
      <w:b/>
      <w:bCs/>
      <w:sz w:val="28"/>
    </w:rPr>
  </w:style>
  <w:style w:type="character" w:styleId="Emphasis">
    <w:name w:val="Emphasis"/>
    <w:basedOn w:val="DefaultParagraphFont"/>
    <w:qFormat/>
    <w:rsid w:val="00BD2094"/>
    <w:rPr>
      <w:rFonts w:cs="Times New Roman"/>
      <w:i/>
      <w:iCs/>
    </w:rPr>
  </w:style>
  <w:style w:type="paragraph" w:customStyle="1" w:styleId="ColorfulList-Accent11">
    <w:name w:val="Colorful List - Accent 11"/>
    <w:basedOn w:val="Normal"/>
    <w:qFormat/>
    <w:rsid w:val="00BD2094"/>
    <w:pPr>
      <w:ind w:left="720"/>
    </w:pPr>
  </w:style>
  <w:style w:type="paragraph" w:customStyle="1" w:styleId="ColorfulGrid-Accent11">
    <w:name w:val="Colorful Grid - Accent 11"/>
    <w:basedOn w:val="Normal"/>
    <w:next w:val="Normal"/>
    <w:link w:val="ColorfulGrid-Accent1Char"/>
    <w:qFormat/>
    <w:rsid w:val="00BD2094"/>
    <w:rPr>
      <w:i/>
      <w:iCs/>
      <w:color w:val="000000"/>
    </w:rPr>
  </w:style>
  <w:style w:type="character" w:customStyle="1" w:styleId="ColorfulGrid-Accent1Char">
    <w:name w:val="Colorful Grid - Accent 1 Char"/>
    <w:basedOn w:val="DefaultParagraphFont"/>
    <w:link w:val="ColorfulGrid-Accent11"/>
    <w:rsid w:val="00BD2094"/>
    <w:rPr>
      <w:rFonts w:cs="Times New Roman"/>
      <w:i/>
      <w:iCs/>
      <w:color w:val="000000"/>
      <w:sz w:val="24"/>
      <w:szCs w:val="24"/>
    </w:rPr>
  </w:style>
  <w:style w:type="paragraph" w:customStyle="1" w:styleId="LightShading-Accent21">
    <w:name w:val="Light Shading - Accent 21"/>
    <w:basedOn w:val="Normal"/>
    <w:next w:val="Normal"/>
    <w:link w:val="LightShading-Accent2Char"/>
    <w:qFormat/>
    <w:rsid w:val="00BD2094"/>
    <w:pPr>
      <w:pBdr>
        <w:bottom w:val="single" w:sz="4" w:space="4" w:color="4F81BD"/>
      </w:pBdr>
      <w:spacing w:before="200" w:after="280"/>
      <w:ind w:left="936" w:right="936"/>
    </w:pPr>
    <w:rPr>
      <w:b/>
      <w:bCs/>
      <w:i/>
      <w:iCs/>
      <w:color w:val="4F81BD"/>
    </w:rPr>
  </w:style>
  <w:style w:type="character" w:customStyle="1" w:styleId="LightShading-Accent2Char">
    <w:name w:val="Light Shading - Accent 2 Char"/>
    <w:basedOn w:val="DefaultParagraphFont"/>
    <w:link w:val="LightShading-Accent21"/>
    <w:rsid w:val="00BD2094"/>
    <w:rPr>
      <w:rFonts w:cs="Times New Roman"/>
      <w:b/>
      <w:bCs/>
      <w:i/>
      <w:iCs/>
      <w:color w:val="4F81BD"/>
      <w:sz w:val="24"/>
      <w:szCs w:val="24"/>
    </w:rPr>
  </w:style>
  <w:style w:type="character" w:customStyle="1" w:styleId="SubtleEmphasis1">
    <w:name w:val="Subtle Emphasis1"/>
    <w:qFormat/>
    <w:rsid w:val="00BD2094"/>
    <w:rPr>
      <w:i/>
      <w:color w:val="808080"/>
    </w:rPr>
  </w:style>
  <w:style w:type="character" w:customStyle="1" w:styleId="IntenseEmphasis1">
    <w:name w:val="Intense Emphasis1"/>
    <w:basedOn w:val="DefaultParagraphFont"/>
    <w:qFormat/>
    <w:rsid w:val="00BD2094"/>
    <w:rPr>
      <w:rFonts w:cs="Times New Roman"/>
      <w:b/>
      <w:bCs/>
      <w:i/>
      <w:iCs/>
      <w:color w:val="4F81BD"/>
    </w:rPr>
  </w:style>
  <w:style w:type="character" w:customStyle="1" w:styleId="SubtleReference1">
    <w:name w:val="Subtle Reference1"/>
    <w:basedOn w:val="DefaultParagraphFont"/>
    <w:qFormat/>
    <w:rsid w:val="00BD2094"/>
    <w:rPr>
      <w:rFonts w:cs="Times New Roman"/>
      <w:smallCaps/>
      <w:color w:val="C0504D"/>
      <w:u w:val="single"/>
    </w:rPr>
  </w:style>
  <w:style w:type="character" w:customStyle="1" w:styleId="IntenseReference1">
    <w:name w:val="Intense Reference1"/>
    <w:basedOn w:val="DefaultParagraphFont"/>
    <w:qFormat/>
    <w:rsid w:val="00BD2094"/>
    <w:rPr>
      <w:rFonts w:cs="Times New Roman"/>
      <w:b/>
      <w:bCs/>
      <w:smallCaps/>
      <w:color w:val="C0504D"/>
      <w:spacing w:val="5"/>
      <w:u w:val="single"/>
    </w:rPr>
  </w:style>
  <w:style w:type="character" w:customStyle="1" w:styleId="BookTitle1">
    <w:name w:val="Book Title1"/>
    <w:basedOn w:val="DefaultParagraphFont"/>
    <w:qFormat/>
    <w:rsid w:val="00BD2094"/>
    <w:rPr>
      <w:rFonts w:cs="Times New Roman"/>
      <w:b/>
      <w:bCs/>
      <w:smallCaps/>
      <w:spacing w:val="5"/>
    </w:rPr>
  </w:style>
  <w:style w:type="paragraph" w:customStyle="1" w:styleId="TOCHeading1">
    <w:name w:val="TOC Heading1"/>
    <w:basedOn w:val="Heading1"/>
    <w:next w:val="Normal"/>
    <w:qFormat/>
    <w:rsid w:val="00BD2094"/>
    <w:pPr>
      <w:keepLines/>
      <w:spacing w:before="480" w:after="0"/>
      <w:jc w:val="left"/>
      <w:outlineLvl w:val="9"/>
    </w:pPr>
    <w:rPr>
      <w:rFonts w:ascii="Cambria" w:hAnsi="Cambria" w:cs="Times New Roman"/>
      <w:color w:val="365F91"/>
      <w:kern w:val="0"/>
      <w:szCs w:val="28"/>
    </w:rPr>
  </w:style>
  <w:style w:type="paragraph" w:styleId="TOC1">
    <w:name w:val="toc 1"/>
    <w:basedOn w:val="Normal"/>
    <w:next w:val="Normal"/>
    <w:autoRedefine/>
    <w:uiPriority w:val="39"/>
    <w:rsid w:val="000C424D"/>
    <w:pPr>
      <w:tabs>
        <w:tab w:val="left" w:pos="630"/>
        <w:tab w:val="right" w:leader="dot" w:pos="8460"/>
      </w:tabs>
      <w:spacing w:before="120" w:after="120" w:line="240" w:lineRule="auto"/>
      <w:ind w:left="1530" w:hanging="1530"/>
      <w:jc w:val="left"/>
    </w:pPr>
    <w:rPr>
      <w:rFonts w:asciiTheme="minorHAnsi" w:hAnsiTheme="minorHAnsi"/>
      <w:b/>
      <w:bCs/>
      <w:caps/>
      <w:szCs w:val="20"/>
    </w:rPr>
  </w:style>
  <w:style w:type="paragraph" w:styleId="TOC2">
    <w:name w:val="toc 2"/>
    <w:basedOn w:val="Normal"/>
    <w:next w:val="Normal"/>
    <w:autoRedefine/>
    <w:uiPriority w:val="39"/>
    <w:rsid w:val="00C52689"/>
    <w:pPr>
      <w:tabs>
        <w:tab w:val="left" w:pos="900"/>
        <w:tab w:val="right" w:leader="dot" w:pos="8550"/>
      </w:tabs>
      <w:spacing w:line="240" w:lineRule="auto"/>
      <w:ind w:left="900" w:hanging="540"/>
      <w:jc w:val="left"/>
    </w:pPr>
    <w:rPr>
      <w:rFonts w:asciiTheme="minorHAnsi" w:hAnsiTheme="minorHAnsi"/>
      <w:smallCaps/>
      <w:szCs w:val="20"/>
    </w:rPr>
  </w:style>
  <w:style w:type="paragraph" w:styleId="TOC3">
    <w:name w:val="toc 3"/>
    <w:basedOn w:val="Normal"/>
    <w:next w:val="Normal"/>
    <w:autoRedefine/>
    <w:uiPriority w:val="39"/>
    <w:rsid w:val="00C52689"/>
    <w:pPr>
      <w:tabs>
        <w:tab w:val="left" w:pos="1196"/>
        <w:tab w:val="right" w:leader="dot" w:pos="8550"/>
      </w:tabs>
      <w:spacing w:line="240" w:lineRule="auto"/>
      <w:ind w:left="1260" w:hanging="780"/>
      <w:jc w:val="left"/>
    </w:pPr>
    <w:rPr>
      <w:rFonts w:asciiTheme="minorHAnsi" w:hAnsiTheme="minorHAnsi"/>
      <w:i/>
      <w:iCs/>
      <w:szCs w:val="20"/>
    </w:rPr>
  </w:style>
  <w:style w:type="paragraph" w:customStyle="1" w:styleId="ThesisTitlePageDoubleSpace">
    <w:name w:val="Thesis Title Page (Double Space)"/>
    <w:basedOn w:val="Normal"/>
    <w:rsid w:val="00BD2094"/>
    <w:pPr>
      <w:jc w:val="center"/>
    </w:pPr>
    <w:rPr>
      <w:sz w:val="32"/>
      <w:szCs w:val="20"/>
    </w:rPr>
  </w:style>
  <w:style w:type="paragraph" w:customStyle="1" w:styleId="Headingwo">
    <w:name w:val="Heading w/o #"/>
    <w:basedOn w:val="Heading1"/>
    <w:rsid w:val="00BD2094"/>
    <w:pPr>
      <w:autoSpaceDE w:val="0"/>
      <w:autoSpaceDN w:val="0"/>
      <w:adjustRightInd w:val="0"/>
    </w:pPr>
    <w:rPr>
      <w:rFonts w:cs="TimesNewRoman"/>
    </w:rPr>
  </w:style>
  <w:style w:type="paragraph" w:customStyle="1" w:styleId="Heading0">
    <w:name w:val="Heading 0"/>
    <w:basedOn w:val="Normal"/>
    <w:next w:val="Normal"/>
    <w:rsid w:val="00BD2094"/>
    <w:pPr>
      <w:numPr>
        <w:numId w:val="1"/>
      </w:numPr>
    </w:pPr>
    <w:rPr>
      <w:rFonts w:ascii="Arial" w:hAnsi="Arial"/>
      <w:b/>
      <w:caps/>
      <w:sz w:val="36"/>
    </w:rPr>
  </w:style>
  <w:style w:type="paragraph" w:customStyle="1" w:styleId="ThesisTitleSingleSpace">
    <w:name w:val="Thesis Title (Single Space)"/>
    <w:basedOn w:val="ThesisTitlePageDoubleSpace"/>
    <w:rsid w:val="00BD2094"/>
  </w:style>
  <w:style w:type="paragraph" w:customStyle="1" w:styleId="Dedication">
    <w:name w:val="Dedication"/>
    <w:basedOn w:val="Normal"/>
    <w:rsid w:val="00BD2094"/>
    <w:pPr>
      <w:spacing w:line="360" w:lineRule="auto"/>
      <w:jc w:val="right"/>
    </w:pPr>
    <w:rPr>
      <w:rFonts w:ascii="Lucida Handwriting" w:hAnsi="Lucida Handwriting"/>
      <w:sz w:val="28"/>
    </w:rPr>
  </w:style>
  <w:style w:type="paragraph" w:styleId="TOC4">
    <w:name w:val="toc 4"/>
    <w:basedOn w:val="Normal"/>
    <w:next w:val="Normal"/>
    <w:autoRedefine/>
    <w:semiHidden/>
    <w:rsid w:val="006A5D46"/>
    <w:pPr>
      <w:ind w:left="720"/>
      <w:jc w:val="left"/>
    </w:pPr>
    <w:rPr>
      <w:rFonts w:ascii="Calibri" w:hAnsi="Calibri"/>
      <w:sz w:val="18"/>
      <w:szCs w:val="18"/>
    </w:rPr>
  </w:style>
  <w:style w:type="paragraph" w:styleId="TOC5">
    <w:name w:val="toc 5"/>
    <w:basedOn w:val="Normal"/>
    <w:next w:val="Normal"/>
    <w:autoRedefine/>
    <w:semiHidden/>
    <w:rsid w:val="006A5D46"/>
    <w:pPr>
      <w:ind w:left="960"/>
      <w:jc w:val="left"/>
    </w:pPr>
    <w:rPr>
      <w:rFonts w:ascii="Calibri" w:hAnsi="Calibri"/>
      <w:sz w:val="18"/>
      <w:szCs w:val="18"/>
    </w:rPr>
  </w:style>
  <w:style w:type="paragraph" w:styleId="TOC6">
    <w:name w:val="toc 6"/>
    <w:basedOn w:val="Normal"/>
    <w:next w:val="Normal"/>
    <w:autoRedefine/>
    <w:semiHidden/>
    <w:rsid w:val="006A5D46"/>
    <w:pPr>
      <w:ind w:left="1200"/>
      <w:jc w:val="left"/>
    </w:pPr>
    <w:rPr>
      <w:rFonts w:ascii="Calibri" w:hAnsi="Calibri"/>
      <w:sz w:val="18"/>
      <w:szCs w:val="18"/>
    </w:rPr>
  </w:style>
  <w:style w:type="paragraph" w:styleId="TOC7">
    <w:name w:val="toc 7"/>
    <w:basedOn w:val="Normal"/>
    <w:next w:val="Normal"/>
    <w:autoRedefine/>
    <w:semiHidden/>
    <w:rsid w:val="006A5D46"/>
    <w:pPr>
      <w:ind w:left="1440"/>
      <w:jc w:val="left"/>
    </w:pPr>
    <w:rPr>
      <w:rFonts w:ascii="Calibri" w:hAnsi="Calibri"/>
      <w:sz w:val="18"/>
      <w:szCs w:val="18"/>
    </w:rPr>
  </w:style>
  <w:style w:type="paragraph" w:styleId="TOC8">
    <w:name w:val="toc 8"/>
    <w:basedOn w:val="Normal"/>
    <w:next w:val="Normal"/>
    <w:autoRedefine/>
    <w:semiHidden/>
    <w:rsid w:val="006A5D46"/>
    <w:pPr>
      <w:ind w:left="1680"/>
      <w:jc w:val="left"/>
    </w:pPr>
    <w:rPr>
      <w:rFonts w:ascii="Calibri" w:hAnsi="Calibri"/>
      <w:sz w:val="18"/>
      <w:szCs w:val="18"/>
    </w:rPr>
  </w:style>
  <w:style w:type="paragraph" w:styleId="TOC9">
    <w:name w:val="toc 9"/>
    <w:basedOn w:val="Normal"/>
    <w:next w:val="Normal"/>
    <w:autoRedefine/>
    <w:semiHidden/>
    <w:rsid w:val="006A5D46"/>
    <w:pPr>
      <w:ind w:left="1920"/>
      <w:jc w:val="left"/>
    </w:pPr>
    <w:rPr>
      <w:rFonts w:ascii="Calibri" w:hAnsi="Calibri"/>
      <w:sz w:val="18"/>
      <w:szCs w:val="18"/>
    </w:rPr>
  </w:style>
  <w:style w:type="character" w:styleId="Hyperlink">
    <w:name w:val="Hyperlink"/>
    <w:basedOn w:val="DefaultParagraphFont"/>
    <w:uiPriority w:val="99"/>
    <w:rsid w:val="006A5D46"/>
    <w:rPr>
      <w:rFonts w:cs="Times New Roman"/>
      <w:color w:val="0000FF"/>
      <w:u w:val="single"/>
    </w:rPr>
  </w:style>
  <w:style w:type="character" w:customStyle="1" w:styleId="apple-converted-space">
    <w:name w:val="apple-converted-space"/>
    <w:basedOn w:val="DefaultParagraphFont"/>
    <w:rsid w:val="00730B9B"/>
    <w:rPr>
      <w:rFonts w:cs="Times New Roman"/>
    </w:rPr>
  </w:style>
  <w:style w:type="paragraph" w:styleId="NormalWeb">
    <w:name w:val="Normal (Web)"/>
    <w:basedOn w:val="Normal"/>
    <w:uiPriority w:val="99"/>
    <w:rsid w:val="00730B9B"/>
    <w:pPr>
      <w:spacing w:before="100" w:beforeAutospacing="1" w:after="100" w:afterAutospacing="1"/>
      <w:jc w:val="left"/>
    </w:pPr>
  </w:style>
  <w:style w:type="paragraph" w:styleId="Header">
    <w:name w:val="header"/>
    <w:basedOn w:val="Normal"/>
    <w:link w:val="HeaderChar"/>
    <w:semiHidden/>
    <w:rsid w:val="00F960F5"/>
    <w:pPr>
      <w:tabs>
        <w:tab w:val="center" w:pos="4680"/>
        <w:tab w:val="right" w:pos="9360"/>
      </w:tabs>
      <w:spacing w:line="240" w:lineRule="auto"/>
    </w:pPr>
  </w:style>
  <w:style w:type="character" w:customStyle="1" w:styleId="HeaderChar">
    <w:name w:val="Header Char"/>
    <w:basedOn w:val="DefaultParagraphFont"/>
    <w:link w:val="Header"/>
    <w:semiHidden/>
    <w:rsid w:val="00F960F5"/>
    <w:rPr>
      <w:rFonts w:cs="Times New Roman"/>
      <w:sz w:val="24"/>
      <w:szCs w:val="24"/>
    </w:rPr>
  </w:style>
  <w:style w:type="paragraph" w:styleId="Footer">
    <w:name w:val="footer"/>
    <w:basedOn w:val="Normal"/>
    <w:link w:val="FooterChar"/>
    <w:uiPriority w:val="99"/>
    <w:rsid w:val="00F960F5"/>
    <w:pPr>
      <w:tabs>
        <w:tab w:val="center" w:pos="4680"/>
        <w:tab w:val="right" w:pos="9360"/>
      </w:tabs>
      <w:spacing w:line="240" w:lineRule="auto"/>
    </w:pPr>
  </w:style>
  <w:style w:type="character" w:customStyle="1" w:styleId="FooterChar">
    <w:name w:val="Footer Char"/>
    <w:basedOn w:val="DefaultParagraphFont"/>
    <w:link w:val="Footer"/>
    <w:uiPriority w:val="99"/>
    <w:rsid w:val="00F960F5"/>
    <w:rPr>
      <w:rFonts w:cs="Times New Roman"/>
      <w:sz w:val="24"/>
      <w:szCs w:val="24"/>
    </w:rPr>
  </w:style>
  <w:style w:type="character" w:customStyle="1" w:styleId="description">
    <w:name w:val="description"/>
    <w:basedOn w:val="DefaultParagraphFont"/>
    <w:rsid w:val="00E85876"/>
    <w:rPr>
      <w:rFonts w:cs="Times New Roman"/>
    </w:rPr>
  </w:style>
  <w:style w:type="table" w:styleId="TableGrid">
    <w:name w:val="Table Grid"/>
    <w:basedOn w:val="TableNormal"/>
    <w:uiPriority w:val="59"/>
    <w:rsid w:val="00E858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ceholderText1">
    <w:name w:val="Placeholder Text1"/>
    <w:basedOn w:val="DefaultParagraphFont"/>
    <w:semiHidden/>
    <w:rsid w:val="00487CEE"/>
    <w:rPr>
      <w:rFonts w:cs="Times New Roman"/>
      <w:color w:val="808080"/>
    </w:rPr>
  </w:style>
  <w:style w:type="paragraph" w:styleId="EndnoteText">
    <w:name w:val="endnote text"/>
    <w:basedOn w:val="Normal"/>
    <w:link w:val="EndnoteTextChar"/>
    <w:semiHidden/>
    <w:rsid w:val="00D670BE"/>
    <w:pPr>
      <w:spacing w:line="240" w:lineRule="auto"/>
    </w:pPr>
    <w:rPr>
      <w:sz w:val="20"/>
      <w:szCs w:val="20"/>
    </w:rPr>
  </w:style>
  <w:style w:type="character" w:customStyle="1" w:styleId="EndnoteTextChar">
    <w:name w:val="Endnote Text Char"/>
    <w:basedOn w:val="DefaultParagraphFont"/>
    <w:link w:val="EndnoteText"/>
    <w:semiHidden/>
    <w:rsid w:val="00D670BE"/>
    <w:rPr>
      <w:rFonts w:cs="Times New Roman"/>
    </w:rPr>
  </w:style>
  <w:style w:type="character" w:styleId="EndnoteReference">
    <w:name w:val="endnote reference"/>
    <w:basedOn w:val="DefaultParagraphFont"/>
    <w:semiHidden/>
    <w:rsid w:val="00D670BE"/>
    <w:rPr>
      <w:rFonts w:cs="Times New Roman"/>
      <w:vertAlign w:val="superscript"/>
    </w:rPr>
  </w:style>
  <w:style w:type="paragraph" w:styleId="FootnoteText">
    <w:name w:val="footnote text"/>
    <w:basedOn w:val="Normal"/>
    <w:link w:val="FootnoteTextChar"/>
    <w:semiHidden/>
    <w:rsid w:val="00D670BE"/>
    <w:pPr>
      <w:spacing w:line="240" w:lineRule="auto"/>
    </w:pPr>
    <w:rPr>
      <w:sz w:val="20"/>
      <w:szCs w:val="20"/>
    </w:rPr>
  </w:style>
  <w:style w:type="character" w:customStyle="1" w:styleId="FootnoteTextChar">
    <w:name w:val="Footnote Text Char"/>
    <w:basedOn w:val="DefaultParagraphFont"/>
    <w:link w:val="FootnoteText"/>
    <w:semiHidden/>
    <w:rsid w:val="00D670BE"/>
    <w:rPr>
      <w:rFonts w:cs="Times New Roman"/>
    </w:rPr>
  </w:style>
  <w:style w:type="character" w:styleId="FootnoteReference">
    <w:name w:val="footnote reference"/>
    <w:basedOn w:val="DefaultParagraphFont"/>
    <w:semiHidden/>
    <w:rsid w:val="00D670BE"/>
    <w:rPr>
      <w:rFonts w:cs="Times New Roman"/>
      <w:vertAlign w:val="superscript"/>
    </w:rPr>
  </w:style>
  <w:style w:type="character" w:styleId="CommentReference">
    <w:name w:val="annotation reference"/>
    <w:basedOn w:val="DefaultParagraphFont"/>
    <w:semiHidden/>
    <w:rsid w:val="00111CFC"/>
    <w:rPr>
      <w:rFonts w:cs="Times New Roman"/>
      <w:sz w:val="16"/>
      <w:szCs w:val="16"/>
    </w:rPr>
  </w:style>
  <w:style w:type="paragraph" w:styleId="CommentText">
    <w:name w:val="annotation text"/>
    <w:basedOn w:val="Normal"/>
    <w:semiHidden/>
    <w:rsid w:val="00111CFC"/>
    <w:rPr>
      <w:sz w:val="20"/>
      <w:szCs w:val="20"/>
    </w:rPr>
  </w:style>
  <w:style w:type="paragraph" w:styleId="CommentSubject">
    <w:name w:val="annotation subject"/>
    <w:basedOn w:val="CommentText"/>
    <w:next w:val="CommentText"/>
    <w:semiHidden/>
    <w:rsid w:val="00111CFC"/>
    <w:rPr>
      <w:b/>
      <w:bCs/>
    </w:rPr>
  </w:style>
  <w:style w:type="paragraph" w:styleId="HTMLPreformatted">
    <w:name w:val="HTML Preformatted"/>
    <w:basedOn w:val="Normal"/>
    <w:link w:val="HTMLPreformattedChar"/>
    <w:rsid w:val="005B2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szCs w:val="20"/>
    </w:rPr>
  </w:style>
  <w:style w:type="character" w:customStyle="1" w:styleId="HTMLPreformattedChar">
    <w:name w:val="HTML Preformatted Char"/>
    <w:basedOn w:val="DefaultParagraphFont"/>
    <w:link w:val="HTMLPreformatted"/>
    <w:rsid w:val="005B255F"/>
    <w:rPr>
      <w:rFonts w:ascii="Courier New" w:hAnsi="Courier New" w:cs="Courier New"/>
    </w:rPr>
  </w:style>
  <w:style w:type="paragraph" w:styleId="ListParagraph">
    <w:name w:val="List Paragraph"/>
    <w:basedOn w:val="Normal"/>
    <w:uiPriority w:val="34"/>
    <w:qFormat/>
    <w:rsid w:val="004004A3"/>
    <w:pPr>
      <w:ind w:left="720"/>
      <w:contextualSpacing/>
    </w:pPr>
  </w:style>
  <w:style w:type="table" w:customStyle="1" w:styleId="LightList-Accent11">
    <w:name w:val="Light List - Accent 11"/>
    <w:basedOn w:val="TableNormal"/>
    <w:uiPriority w:val="61"/>
    <w:rsid w:val="00745508"/>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Shading1">
    <w:name w:val="Light Shading1"/>
    <w:basedOn w:val="TableNormal"/>
    <w:uiPriority w:val="60"/>
    <w:rsid w:val="007B45FE"/>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0">
    <w:name w:val="Light Shading1"/>
    <w:basedOn w:val="TableNormal"/>
    <w:uiPriority w:val="60"/>
    <w:rsid w:val="00A47E0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1">
    <w:name w:val="Light List1"/>
    <w:basedOn w:val="TableNormal"/>
    <w:uiPriority w:val="61"/>
    <w:rsid w:val="00F174FA"/>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7E19C3"/>
    <w:pPr>
      <w:keepLines/>
      <w:spacing w:before="480" w:after="0"/>
      <w:jc w:val="left"/>
      <w:outlineLvl w:val="9"/>
    </w:pPr>
    <w:rPr>
      <w:rFonts w:asciiTheme="majorHAnsi" w:eastAsiaTheme="majorEastAsia" w:hAnsiTheme="majorHAnsi" w:cstheme="majorBidi"/>
      <w:b w:val="0"/>
      <w:caps w:val="0"/>
      <w:color w:val="365F91" w:themeColor="accent1" w:themeShade="BF"/>
      <w:kern w:val="0"/>
      <w:szCs w:val="28"/>
    </w:rPr>
  </w:style>
  <w:style w:type="paragraph" w:styleId="TableofFigures">
    <w:name w:val="table of figures"/>
    <w:basedOn w:val="Normal"/>
    <w:next w:val="Normal"/>
    <w:uiPriority w:val="99"/>
    <w:unhideWhenUsed/>
    <w:rsid w:val="00862E39"/>
    <w:pPr>
      <w:ind w:left="480" w:hanging="480"/>
      <w:jc w:val="left"/>
    </w:pPr>
    <w:rPr>
      <w:rFonts w:asciiTheme="minorHAnsi" w:hAnsiTheme="minorHAnsi" w:cstheme="minorHAnsi"/>
      <w:smallCaps/>
      <w:szCs w:val="20"/>
    </w:rPr>
  </w:style>
  <w:style w:type="table" w:customStyle="1" w:styleId="LightList2">
    <w:name w:val="Light List2"/>
    <w:basedOn w:val="TableNormal"/>
    <w:uiPriority w:val="61"/>
    <w:rsid w:val="007379BC"/>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PlaceholderText">
    <w:name w:val="Placeholder Text"/>
    <w:basedOn w:val="DefaultParagraphFont"/>
    <w:semiHidden/>
    <w:rsid w:val="009A641C"/>
    <w:rPr>
      <w:color w:val="808080"/>
    </w:rPr>
  </w:style>
  <w:style w:type="character" w:styleId="FollowedHyperlink">
    <w:name w:val="FollowedHyperlink"/>
    <w:basedOn w:val="DefaultParagraphFont"/>
    <w:uiPriority w:val="99"/>
    <w:semiHidden/>
    <w:unhideWhenUsed/>
    <w:rsid w:val="00153512"/>
    <w:rPr>
      <w:color w:val="800080" w:themeColor="followedHyperlink"/>
      <w:u w:val="single"/>
    </w:rPr>
  </w:style>
  <w:style w:type="character" w:styleId="PageNumber">
    <w:name w:val="page number"/>
    <w:basedOn w:val="DefaultParagraphFont"/>
    <w:uiPriority w:val="99"/>
    <w:semiHidden/>
    <w:unhideWhenUsed/>
    <w:rsid w:val="00C93C97"/>
  </w:style>
  <w:style w:type="paragraph" w:customStyle="1" w:styleId="EndNoteBibliographyTitle">
    <w:name w:val="EndNote Bibliography Title"/>
    <w:basedOn w:val="Normal"/>
    <w:link w:val="EndNoteBibliographyTitleChar"/>
    <w:rsid w:val="007055CE"/>
    <w:pPr>
      <w:jc w:val="center"/>
    </w:pPr>
    <w:rPr>
      <w:noProof/>
    </w:rPr>
  </w:style>
  <w:style w:type="character" w:customStyle="1" w:styleId="EndNoteBibliographyTitleChar">
    <w:name w:val="EndNote Bibliography Title Char"/>
    <w:basedOn w:val="DefaultParagraphFont"/>
    <w:link w:val="EndNoteBibliographyTitle"/>
    <w:rsid w:val="007055CE"/>
    <w:rPr>
      <w:noProof/>
    </w:rPr>
  </w:style>
  <w:style w:type="paragraph" w:customStyle="1" w:styleId="EndNoteBibliography">
    <w:name w:val="EndNote Bibliography"/>
    <w:basedOn w:val="Normal"/>
    <w:link w:val="EndNoteBibliographyChar"/>
    <w:rsid w:val="007055CE"/>
    <w:pPr>
      <w:spacing w:line="240" w:lineRule="auto"/>
    </w:pPr>
    <w:rPr>
      <w:noProof/>
    </w:rPr>
  </w:style>
  <w:style w:type="character" w:customStyle="1" w:styleId="EndNoteBibliographyChar">
    <w:name w:val="EndNote Bibliography Char"/>
    <w:basedOn w:val="DefaultParagraphFont"/>
    <w:link w:val="EndNoteBibliography"/>
    <w:rsid w:val="007055CE"/>
    <w:rPr>
      <w:noProo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semiHidden="0" w:uiPriority="0" w:unhideWhenUsed="0" w:qFormat="1"/>
    <w:lsdException w:name="footnote reference" w:uiPriority="0"/>
    <w:lsdException w:name="annotation reference" w:uiPriority="0"/>
    <w:lsdException w:name="endnote reference" w:uiPriority="0"/>
    <w:lsdException w:name="endnote text"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HTML Preformatted" w:uiPriority="0"/>
    <w:lsdException w:name="annotation subject" w:uiPriority="0"/>
    <w:lsdException w:name="No List" w:uiPriority="0"/>
    <w:lsdException w:name="Balloon Text" w:uiPriority="0"/>
    <w:lsdException w:name="Table Grid" w:semiHidden="0" w:uiPriority="59" w:unhideWhenUsed="0"/>
    <w:lsdException w:name="Placeholder Text" w:uiPriority="0"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F81D61"/>
    <w:pPr>
      <w:spacing w:line="480" w:lineRule="auto"/>
      <w:jc w:val="both"/>
    </w:pPr>
  </w:style>
  <w:style w:type="paragraph" w:styleId="Heading1">
    <w:name w:val="heading 1"/>
    <w:basedOn w:val="Normal"/>
    <w:next w:val="Normal"/>
    <w:link w:val="Heading1Char"/>
    <w:qFormat/>
    <w:rsid w:val="00114A2E"/>
    <w:pPr>
      <w:keepNext/>
      <w:numPr>
        <w:numId w:val="16"/>
      </w:numPr>
      <w:spacing w:before="240" w:after="240"/>
      <w:jc w:val="center"/>
      <w:outlineLvl w:val="0"/>
    </w:pPr>
    <w:rPr>
      <w:rFonts w:cs="Arial"/>
      <w:b/>
      <w:bCs/>
      <w:caps/>
      <w:kern w:val="32"/>
      <w:sz w:val="28"/>
      <w:szCs w:val="32"/>
    </w:rPr>
  </w:style>
  <w:style w:type="paragraph" w:styleId="Heading2">
    <w:name w:val="heading 2"/>
    <w:basedOn w:val="Normal"/>
    <w:next w:val="Normal"/>
    <w:link w:val="Heading2Char"/>
    <w:qFormat/>
    <w:rsid w:val="00114A2E"/>
    <w:pPr>
      <w:keepNext/>
      <w:numPr>
        <w:ilvl w:val="1"/>
        <w:numId w:val="16"/>
      </w:numPr>
      <w:spacing w:before="240" w:after="60"/>
      <w:outlineLvl w:val="1"/>
    </w:pPr>
    <w:rPr>
      <w:rFonts w:cs="Arial"/>
      <w:bCs/>
      <w:iCs/>
      <w:caps/>
      <w:szCs w:val="28"/>
    </w:rPr>
  </w:style>
  <w:style w:type="paragraph" w:styleId="Heading3">
    <w:name w:val="heading 3"/>
    <w:basedOn w:val="Normal"/>
    <w:next w:val="Normal"/>
    <w:link w:val="Heading3Char"/>
    <w:qFormat/>
    <w:rsid w:val="00B734CF"/>
    <w:pPr>
      <w:keepNext/>
      <w:numPr>
        <w:ilvl w:val="2"/>
        <w:numId w:val="16"/>
      </w:numPr>
      <w:spacing w:before="240" w:after="240"/>
      <w:outlineLvl w:val="2"/>
    </w:pPr>
    <w:rPr>
      <w:rFonts w:cs="Arial"/>
      <w:bCs/>
      <w:i/>
      <w:szCs w:val="26"/>
    </w:rPr>
  </w:style>
  <w:style w:type="paragraph" w:styleId="Heading4">
    <w:name w:val="heading 4"/>
    <w:basedOn w:val="Normal"/>
    <w:next w:val="Normal"/>
    <w:link w:val="Heading4Char"/>
    <w:qFormat/>
    <w:rsid w:val="006427CE"/>
    <w:pPr>
      <w:keepNext/>
      <w:keepLines/>
      <w:numPr>
        <w:ilvl w:val="3"/>
        <w:numId w:val="16"/>
      </w:numPr>
      <w:spacing w:before="200"/>
      <w:outlineLvl w:val="3"/>
    </w:pPr>
    <w:rPr>
      <w:rFonts w:ascii="Cambria" w:hAnsi="Cambria"/>
      <w:b/>
      <w:bCs/>
      <w:i/>
      <w:iCs/>
    </w:rPr>
  </w:style>
  <w:style w:type="paragraph" w:styleId="Heading5">
    <w:name w:val="heading 5"/>
    <w:basedOn w:val="Normal"/>
    <w:next w:val="Normal"/>
    <w:link w:val="Heading5Char"/>
    <w:qFormat/>
    <w:rsid w:val="006427CE"/>
    <w:pPr>
      <w:keepNext/>
      <w:keepLines/>
      <w:spacing w:before="200"/>
      <w:outlineLvl w:val="4"/>
    </w:pPr>
    <w:rPr>
      <w:rFonts w:asciiTheme="minorHAnsi" w:hAnsiTheme="minorHAnsi"/>
      <w:b/>
      <w:bCs/>
      <w:caps/>
      <w:color w:val="000000" w:themeColor="text1"/>
      <w:sz w:val="28"/>
      <w:szCs w:val="28"/>
    </w:rPr>
  </w:style>
  <w:style w:type="paragraph" w:styleId="Heading6">
    <w:name w:val="heading 6"/>
    <w:basedOn w:val="Normal"/>
    <w:next w:val="Normal"/>
    <w:link w:val="Heading6Char"/>
    <w:qFormat/>
    <w:rsid w:val="006427CE"/>
    <w:pPr>
      <w:keepNext/>
      <w:keepLines/>
      <w:numPr>
        <w:ilvl w:val="5"/>
        <w:numId w:val="16"/>
      </w:numPr>
      <w:spacing w:before="200"/>
      <w:outlineLvl w:val="5"/>
    </w:pPr>
    <w:rPr>
      <w:rFonts w:ascii="Cambria" w:hAnsi="Cambria"/>
      <w:i/>
      <w:iCs/>
      <w:color w:val="243F60"/>
    </w:rPr>
  </w:style>
  <w:style w:type="paragraph" w:styleId="Heading7">
    <w:name w:val="heading 7"/>
    <w:basedOn w:val="Normal"/>
    <w:next w:val="Normal"/>
    <w:link w:val="Heading7Char"/>
    <w:qFormat/>
    <w:rsid w:val="006427CE"/>
    <w:pPr>
      <w:keepNext/>
      <w:keepLines/>
      <w:numPr>
        <w:ilvl w:val="6"/>
        <w:numId w:val="16"/>
      </w:numPr>
      <w:spacing w:before="200"/>
      <w:outlineLvl w:val="6"/>
    </w:pPr>
    <w:rPr>
      <w:rFonts w:ascii="Cambria" w:hAnsi="Cambria"/>
      <w:i/>
      <w:iCs/>
      <w:color w:val="404040"/>
    </w:rPr>
  </w:style>
  <w:style w:type="paragraph" w:styleId="Heading8">
    <w:name w:val="heading 8"/>
    <w:basedOn w:val="Normal"/>
    <w:next w:val="Normal"/>
    <w:link w:val="Heading8Char"/>
    <w:qFormat/>
    <w:rsid w:val="006427CE"/>
    <w:pPr>
      <w:keepNext/>
      <w:keepLines/>
      <w:numPr>
        <w:ilvl w:val="7"/>
        <w:numId w:val="16"/>
      </w:numPr>
      <w:spacing w:before="200"/>
      <w:outlineLvl w:val="7"/>
    </w:pPr>
    <w:rPr>
      <w:rFonts w:ascii="Cambria" w:hAnsi="Cambria"/>
      <w:color w:val="404040"/>
      <w:sz w:val="20"/>
      <w:szCs w:val="20"/>
    </w:rPr>
  </w:style>
  <w:style w:type="paragraph" w:styleId="Heading9">
    <w:name w:val="heading 9"/>
    <w:basedOn w:val="Normal"/>
    <w:next w:val="Normal"/>
    <w:link w:val="Heading9Char"/>
    <w:qFormat/>
    <w:rsid w:val="006427CE"/>
    <w:pPr>
      <w:keepNext/>
      <w:keepLines/>
      <w:numPr>
        <w:ilvl w:val="8"/>
        <w:numId w:val="16"/>
      </w:numPr>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basedOn w:val="Normal"/>
    <w:link w:val="NoSpacingChar"/>
    <w:qFormat/>
    <w:rsid w:val="00BD2094"/>
  </w:style>
  <w:style w:type="character" w:customStyle="1" w:styleId="NoSpacingChar">
    <w:name w:val="No Spacing Char"/>
    <w:basedOn w:val="DefaultParagraphFont"/>
    <w:link w:val="NoSpacing1"/>
    <w:rsid w:val="00BD2094"/>
    <w:rPr>
      <w:rFonts w:cs="Times New Roman"/>
      <w:sz w:val="24"/>
      <w:szCs w:val="24"/>
    </w:rPr>
  </w:style>
  <w:style w:type="paragraph" w:styleId="BalloonText">
    <w:name w:val="Balloon Text"/>
    <w:basedOn w:val="Normal"/>
    <w:link w:val="BalloonTextChar"/>
    <w:semiHidden/>
    <w:rsid w:val="009B4569"/>
    <w:rPr>
      <w:rFonts w:ascii="Tahoma" w:hAnsi="Tahoma" w:cs="Tahoma"/>
      <w:sz w:val="16"/>
      <w:szCs w:val="16"/>
    </w:rPr>
  </w:style>
  <w:style w:type="character" w:customStyle="1" w:styleId="BalloonTextChar">
    <w:name w:val="Balloon Text Char"/>
    <w:basedOn w:val="DefaultParagraphFont"/>
    <w:link w:val="BalloonText"/>
    <w:semiHidden/>
    <w:rsid w:val="009B4569"/>
    <w:rPr>
      <w:rFonts w:ascii="Tahoma" w:hAnsi="Tahoma" w:cs="Tahoma"/>
      <w:sz w:val="16"/>
      <w:szCs w:val="16"/>
    </w:rPr>
  </w:style>
  <w:style w:type="character" w:customStyle="1" w:styleId="Heading1Char">
    <w:name w:val="Heading 1 Char"/>
    <w:basedOn w:val="DefaultParagraphFont"/>
    <w:link w:val="Heading1"/>
    <w:rsid w:val="00114A2E"/>
    <w:rPr>
      <w:rFonts w:cs="Arial"/>
      <w:b/>
      <w:bCs/>
      <w:caps/>
      <w:kern w:val="32"/>
      <w:sz w:val="28"/>
      <w:szCs w:val="32"/>
    </w:rPr>
  </w:style>
  <w:style w:type="character" w:customStyle="1" w:styleId="Heading2Char">
    <w:name w:val="Heading 2 Char"/>
    <w:basedOn w:val="DefaultParagraphFont"/>
    <w:link w:val="Heading2"/>
    <w:rsid w:val="00114A2E"/>
    <w:rPr>
      <w:rFonts w:cs="Arial"/>
      <w:bCs/>
      <w:iCs/>
      <w:caps/>
      <w:szCs w:val="28"/>
    </w:rPr>
  </w:style>
  <w:style w:type="character" w:customStyle="1" w:styleId="Heading3Char">
    <w:name w:val="Heading 3 Char"/>
    <w:basedOn w:val="DefaultParagraphFont"/>
    <w:link w:val="Heading3"/>
    <w:rsid w:val="00B734CF"/>
    <w:rPr>
      <w:rFonts w:cs="Arial"/>
      <w:bCs/>
      <w:i/>
      <w:szCs w:val="26"/>
    </w:rPr>
  </w:style>
  <w:style w:type="character" w:customStyle="1" w:styleId="Heading4Char">
    <w:name w:val="Heading 4 Char"/>
    <w:basedOn w:val="DefaultParagraphFont"/>
    <w:link w:val="Heading4"/>
    <w:rsid w:val="006427CE"/>
    <w:rPr>
      <w:rFonts w:ascii="Cambria" w:hAnsi="Cambria"/>
      <w:b/>
      <w:bCs/>
      <w:i/>
      <w:iCs/>
    </w:rPr>
  </w:style>
  <w:style w:type="character" w:customStyle="1" w:styleId="Heading5Char">
    <w:name w:val="Heading 5 Char"/>
    <w:basedOn w:val="DefaultParagraphFont"/>
    <w:link w:val="Heading5"/>
    <w:rsid w:val="006427CE"/>
    <w:rPr>
      <w:rFonts w:asciiTheme="minorHAnsi" w:hAnsiTheme="minorHAnsi"/>
      <w:b/>
      <w:bCs/>
      <w:caps/>
      <w:color w:val="000000" w:themeColor="text1"/>
      <w:sz w:val="28"/>
      <w:szCs w:val="28"/>
    </w:rPr>
  </w:style>
  <w:style w:type="character" w:customStyle="1" w:styleId="Heading6Char">
    <w:name w:val="Heading 6 Char"/>
    <w:basedOn w:val="DefaultParagraphFont"/>
    <w:link w:val="Heading6"/>
    <w:rsid w:val="006427CE"/>
    <w:rPr>
      <w:rFonts w:ascii="Cambria" w:hAnsi="Cambria"/>
      <w:i/>
      <w:iCs/>
      <w:color w:val="243F60"/>
    </w:rPr>
  </w:style>
  <w:style w:type="character" w:customStyle="1" w:styleId="Heading7Char">
    <w:name w:val="Heading 7 Char"/>
    <w:basedOn w:val="DefaultParagraphFont"/>
    <w:link w:val="Heading7"/>
    <w:rsid w:val="006427CE"/>
    <w:rPr>
      <w:rFonts w:ascii="Cambria" w:hAnsi="Cambria"/>
      <w:i/>
      <w:iCs/>
      <w:color w:val="404040"/>
    </w:rPr>
  </w:style>
  <w:style w:type="character" w:customStyle="1" w:styleId="Heading8Char">
    <w:name w:val="Heading 8 Char"/>
    <w:basedOn w:val="DefaultParagraphFont"/>
    <w:link w:val="Heading8"/>
    <w:rsid w:val="006427CE"/>
    <w:rPr>
      <w:rFonts w:ascii="Cambria" w:hAnsi="Cambria"/>
      <w:color w:val="404040"/>
      <w:sz w:val="20"/>
      <w:szCs w:val="20"/>
    </w:rPr>
  </w:style>
  <w:style w:type="character" w:customStyle="1" w:styleId="Heading9Char">
    <w:name w:val="Heading 9 Char"/>
    <w:basedOn w:val="DefaultParagraphFont"/>
    <w:link w:val="Heading9"/>
    <w:rsid w:val="006427CE"/>
    <w:rPr>
      <w:rFonts w:ascii="Cambria" w:hAnsi="Cambria"/>
      <w:i/>
      <w:iCs/>
      <w:color w:val="404040"/>
      <w:sz w:val="20"/>
      <w:szCs w:val="20"/>
    </w:rPr>
  </w:style>
  <w:style w:type="paragraph" w:styleId="Caption">
    <w:name w:val="caption"/>
    <w:basedOn w:val="Normal"/>
    <w:next w:val="Normal"/>
    <w:qFormat/>
    <w:rsid w:val="00BD2094"/>
    <w:rPr>
      <w:b/>
      <w:bCs/>
      <w:sz w:val="20"/>
      <w:szCs w:val="20"/>
    </w:rPr>
  </w:style>
  <w:style w:type="paragraph" w:styleId="Title">
    <w:name w:val="Title"/>
    <w:basedOn w:val="Normal"/>
    <w:next w:val="Normal"/>
    <w:link w:val="TitleChar"/>
    <w:qFormat/>
    <w:rsid w:val="00BD2094"/>
    <w:pPr>
      <w:pBdr>
        <w:bottom w:val="single" w:sz="8" w:space="4" w:color="4F81BD"/>
      </w:pBdr>
      <w:spacing w:after="300"/>
    </w:pPr>
    <w:rPr>
      <w:rFonts w:ascii="Cambria" w:hAnsi="Cambria"/>
      <w:color w:val="17365D"/>
      <w:spacing w:val="5"/>
      <w:kern w:val="28"/>
      <w:sz w:val="52"/>
      <w:szCs w:val="52"/>
    </w:rPr>
  </w:style>
  <w:style w:type="character" w:customStyle="1" w:styleId="TitleChar">
    <w:name w:val="Title Char"/>
    <w:basedOn w:val="DefaultParagraphFont"/>
    <w:link w:val="Title"/>
    <w:rsid w:val="00BD2094"/>
    <w:rPr>
      <w:rFonts w:ascii="Cambria" w:hAnsi="Cambria" w:cs="Times New Roman"/>
      <w:color w:val="17365D"/>
      <w:spacing w:val="5"/>
      <w:kern w:val="28"/>
      <w:sz w:val="52"/>
      <w:szCs w:val="52"/>
    </w:rPr>
  </w:style>
  <w:style w:type="paragraph" w:styleId="Subtitle">
    <w:name w:val="Subtitle"/>
    <w:basedOn w:val="Normal"/>
    <w:next w:val="Normal"/>
    <w:link w:val="SubtitleChar"/>
    <w:qFormat/>
    <w:rsid w:val="00BD2094"/>
    <w:pPr>
      <w:numPr>
        <w:ilvl w:val="1"/>
      </w:numPr>
    </w:pPr>
    <w:rPr>
      <w:rFonts w:ascii="Cambria" w:hAnsi="Cambria"/>
      <w:i/>
      <w:iCs/>
      <w:color w:val="4F81BD"/>
      <w:spacing w:val="15"/>
    </w:rPr>
  </w:style>
  <w:style w:type="character" w:customStyle="1" w:styleId="SubtitleChar">
    <w:name w:val="Subtitle Char"/>
    <w:basedOn w:val="DefaultParagraphFont"/>
    <w:link w:val="Subtitle"/>
    <w:rsid w:val="00BD2094"/>
    <w:rPr>
      <w:rFonts w:ascii="Cambria" w:hAnsi="Cambria" w:cs="Times New Roman"/>
      <w:i/>
      <w:iCs/>
      <w:color w:val="4F81BD"/>
      <w:spacing w:val="15"/>
      <w:sz w:val="24"/>
      <w:szCs w:val="24"/>
    </w:rPr>
  </w:style>
  <w:style w:type="character" w:styleId="Strong">
    <w:name w:val="Strong"/>
    <w:basedOn w:val="DefaultParagraphFont"/>
    <w:qFormat/>
    <w:rsid w:val="00BD2094"/>
    <w:rPr>
      <w:rFonts w:ascii="Arial" w:hAnsi="Arial" w:cs="Times New Roman"/>
      <w:b/>
      <w:bCs/>
      <w:sz w:val="28"/>
    </w:rPr>
  </w:style>
  <w:style w:type="character" w:styleId="Emphasis">
    <w:name w:val="Emphasis"/>
    <w:basedOn w:val="DefaultParagraphFont"/>
    <w:qFormat/>
    <w:rsid w:val="00BD2094"/>
    <w:rPr>
      <w:rFonts w:cs="Times New Roman"/>
      <w:i/>
      <w:iCs/>
    </w:rPr>
  </w:style>
  <w:style w:type="paragraph" w:customStyle="1" w:styleId="ColorfulList-Accent11">
    <w:name w:val="Colorful List - Accent 11"/>
    <w:basedOn w:val="Normal"/>
    <w:qFormat/>
    <w:rsid w:val="00BD2094"/>
    <w:pPr>
      <w:ind w:left="720"/>
    </w:pPr>
  </w:style>
  <w:style w:type="paragraph" w:customStyle="1" w:styleId="ColorfulGrid-Accent11">
    <w:name w:val="Colorful Grid - Accent 11"/>
    <w:basedOn w:val="Normal"/>
    <w:next w:val="Normal"/>
    <w:link w:val="ColorfulGrid-Accent1Char"/>
    <w:qFormat/>
    <w:rsid w:val="00BD2094"/>
    <w:rPr>
      <w:i/>
      <w:iCs/>
      <w:color w:val="000000"/>
    </w:rPr>
  </w:style>
  <w:style w:type="character" w:customStyle="1" w:styleId="ColorfulGrid-Accent1Char">
    <w:name w:val="Colorful Grid - Accent 1 Char"/>
    <w:basedOn w:val="DefaultParagraphFont"/>
    <w:link w:val="ColorfulGrid-Accent11"/>
    <w:rsid w:val="00BD2094"/>
    <w:rPr>
      <w:rFonts w:cs="Times New Roman"/>
      <w:i/>
      <w:iCs/>
      <w:color w:val="000000"/>
      <w:sz w:val="24"/>
      <w:szCs w:val="24"/>
    </w:rPr>
  </w:style>
  <w:style w:type="paragraph" w:customStyle="1" w:styleId="LightShading-Accent21">
    <w:name w:val="Light Shading - Accent 21"/>
    <w:basedOn w:val="Normal"/>
    <w:next w:val="Normal"/>
    <w:link w:val="LightShading-Accent2Char"/>
    <w:qFormat/>
    <w:rsid w:val="00BD2094"/>
    <w:pPr>
      <w:pBdr>
        <w:bottom w:val="single" w:sz="4" w:space="4" w:color="4F81BD"/>
      </w:pBdr>
      <w:spacing w:before="200" w:after="280"/>
      <w:ind w:left="936" w:right="936"/>
    </w:pPr>
    <w:rPr>
      <w:b/>
      <w:bCs/>
      <w:i/>
      <w:iCs/>
      <w:color w:val="4F81BD"/>
    </w:rPr>
  </w:style>
  <w:style w:type="character" w:customStyle="1" w:styleId="LightShading-Accent2Char">
    <w:name w:val="Light Shading - Accent 2 Char"/>
    <w:basedOn w:val="DefaultParagraphFont"/>
    <w:link w:val="LightShading-Accent21"/>
    <w:rsid w:val="00BD2094"/>
    <w:rPr>
      <w:rFonts w:cs="Times New Roman"/>
      <w:b/>
      <w:bCs/>
      <w:i/>
      <w:iCs/>
      <w:color w:val="4F81BD"/>
      <w:sz w:val="24"/>
      <w:szCs w:val="24"/>
    </w:rPr>
  </w:style>
  <w:style w:type="character" w:customStyle="1" w:styleId="SubtleEmphasis1">
    <w:name w:val="Subtle Emphasis1"/>
    <w:qFormat/>
    <w:rsid w:val="00BD2094"/>
    <w:rPr>
      <w:i/>
      <w:color w:val="808080"/>
    </w:rPr>
  </w:style>
  <w:style w:type="character" w:customStyle="1" w:styleId="IntenseEmphasis1">
    <w:name w:val="Intense Emphasis1"/>
    <w:basedOn w:val="DefaultParagraphFont"/>
    <w:qFormat/>
    <w:rsid w:val="00BD2094"/>
    <w:rPr>
      <w:rFonts w:cs="Times New Roman"/>
      <w:b/>
      <w:bCs/>
      <w:i/>
      <w:iCs/>
      <w:color w:val="4F81BD"/>
    </w:rPr>
  </w:style>
  <w:style w:type="character" w:customStyle="1" w:styleId="SubtleReference1">
    <w:name w:val="Subtle Reference1"/>
    <w:basedOn w:val="DefaultParagraphFont"/>
    <w:qFormat/>
    <w:rsid w:val="00BD2094"/>
    <w:rPr>
      <w:rFonts w:cs="Times New Roman"/>
      <w:smallCaps/>
      <w:color w:val="C0504D"/>
      <w:u w:val="single"/>
    </w:rPr>
  </w:style>
  <w:style w:type="character" w:customStyle="1" w:styleId="IntenseReference1">
    <w:name w:val="Intense Reference1"/>
    <w:basedOn w:val="DefaultParagraphFont"/>
    <w:qFormat/>
    <w:rsid w:val="00BD2094"/>
    <w:rPr>
      <w:rFonts w:cs="Times New Roman"/>
      <w:b/>
      <w:bCs/>
      <w:smallCaps/>
      <w:color w:val="C0504D"/>
      <w:spacing w:val="5"/>
      <w:u w:val="single"/>
    </w:rPr>
  </w:style>
  <w:style w:type="character" w:customStyle="1" w:styleId="BookTitle1">
    <w:name w:val="Book Title1"/>
    <w:basedOn w:val="DefaultParagraphFont"/>
    <w:qFormat/>
    <w:rsid w:val="00BD2094"/>
    <w:rPr>
      <w:rFonts w:cs="Times New Roman"/>
      <w:b/>
      <w:bCs/>
      <w:smallCaps/>
      <w:spacing w:val="5"/>
    </w:rPr>
  </w:style>
  <w:style w:type="paragraph" w:customStyle="1" w:styleId="TOCHeading1">
    <w:name w:val="TOC Heading1"/>
    <w:basedOn w:val="Heading1"/>
    <w:next w:val="Normal"/>
    <w:qFormat/>
    <w:rsid w:val="00BD2094"/>
    <w:pPr>
      <w:keepLines/>
      <w:spacing w:before="480" w:after="0"/>
      <w:jc w:val="left"/>
      <w:outlineLvl w:val="9"/>
    </w:pPr>
    <w:rPr>
      <w:rFonts w:ascii="Cambria" w:hAnsi="Cambria" w:cs="Times New Roman"/>
      <w:color w:val="365F91"/>
      <w:kern w:val="0"/>
      <w:szCs w:val="28"/>
    </w:rPr>
  </w:style>
  <w:style w:type="paragraph" w:styleId="TOC1">
    <w:name w:val="toc 1"/>
    <w:basedOn w:val="Normal"/>
    <w:next w:val="Normal"/>
    <w:autoRedefine/>
    <w:uiPriority w:val="39"/>
    <w:rsid w:val="000C424D"/>
    <w:pPr>
      <w:tabs>
        <w:tab w:val="left" w:pos="630"/>
        <w:tab w:val="right" w:leader="dot" w:pos="8460"/>
      </w:tabs>
      <w:spacing w:before="120" w:after="120" w:line="240" w:lineRule="auto"/>
      <w:ind w:left="1530" w:hanging="1530"/>
      <w:jc w:val="left"/>
    </w:pPr>
    <w:rPr>
      <w:rFonts w:asciiTheme="minorHAnsi" w:hAnsiTheme="minorHAnsi"/>
      <w:b/>
      <w:bCs/>
      <w:caps/>
      <w:szCs w:val="20"/>
    </w:rPr>
  </w:style>
  <w:style w:type="paragraph" w:styleId="TOC2">
    <w:name w:val="toc 2"/>
    <w:basedOn w:val="Normal"/>
    <w:next w:val="Normal"/>
    <w:autoRedefine/>
    <w:uiPriority w:val="39"/>
    <w:rsid w:val="00C52689"/>
    <w:pPr>
      <w:tabs>
        <w:tab w:val="left" w:pos="900"/>
        <w:tab w:val="right" w:leader="dot" w:pos="8550"/>
      </w:tabs>
      <w:spacing w:line="240" w:lineRule="auto"/>
      <w:ind w:left="900" w:hanging="540"/>
      <w:jc w:val="left"/>
    </w:pPr>
    <w:rPr>
      <w:rFonts w:asciiTheme="minorHAnsi" w:hAnsiTheme="minorHAnsi"/>
      <w:smallCaps/>
      <w:szCs w:val="20"/>
    </w:rPr>
  </w:style>
  <w:style w:type="paragraph" w:styleId="TOC3">
    <w:name w:val="toc 3"/>
    <w:basedOn w:val="Normal"/>
    <w:next w:val="Normal"/>
    <w:autoRedefine/>
    <w:uiPriority w:val="39"/>
    <w:rsid w:val="00C52689"/>
    <w:pPr>
      <w:tabs>
        <w:tab w:val="left" w:pos="1196"/>
        <w:tab w:val="right" w:leader="dot" w:pos="8550"/>
      </w:tabs>
      <w:spacing w:line="240" w:lineRule="auto"/>
      <w:ind w:left="1260" w:hanging="780"/>
      <w:jc w:val="left"/>
    </w:pPr>
    <w:rPr>
      <w:rFonts w:asciiTheme="minorHAnsi" w:hAnsiTheme="minorHAnsi"/>
      <w:i/>
      <w:iCs/>
      <w:szCs w:val="20"/>
    </w:rPr>
  </w:style>
  <w:style w:type="paragraph" w:customStyle="1" w:styleId="ThesisTitlePageDoubleSpace">
    <w:name w:val="Thesis Title Page (Double Space)"/>
    <w:basedOn w:val="Normal"/>
    <w:rsid w:val="00BD2094"/>
    <w:pPr>
      <w:jc w:val="center"/>
    </w:pPr>
    <w:rPr>
      <w:sz w:val="32"/>
      <w:szCs w:val="20"/>
    </w:rPr>
  </w:style>
  <w:style w:type="paragraph" w:customStyle="1" w:styleId="Headingwo">
    <w:name w:val="Heading w/o #"/>
    <w:basedOn w:val="Heading1"/>
    <w:rsid w:val="00BD2094"/>
    <w:pPr>
      <w:autoSpaceDE w:val="0"/>
      <w:autoSpaceDN w:val="0"/>
      <w:adjustRightInd w:val="0"/>
    </w:pPr>
    <w:rPr>
      <w:rFonts w:cs="TimesNewRoman"/>
    </w:rPr>
  </w:style>
  <w:style w:type="paragraph" w:customStyle="1" w:styleId="Heading0">
    <w:name w:val="Heading 0"/>
    <w:basedOn w:val="Normal"/>
    <w:next w:val="Normal"/>
    <w:rsid w:val="00BD2094"/>
    <w:pPr>
      <w:numPr>
        <w:numId w:val="1"/>
      </w:numPr>
    </w:pPr>
    <w:rPr>
      <w:rFonts w:ascii="Arial" w:hAnsi="Arial"/>
      <w:b/>
      <w:caps/>
      <w:sz w:val="36"/>
    </w:rPr>
  </w:style>
  <w:style w:type="paragraph" w:customStyle="1" w:styleId="ThesisTitleSingleSpace">
    <w:name w:val="Thesis Title (Single Space)"/>
    <w:basedOn w:val="ThesisTitlePageDoubleSpace"/>
    <w:rsid w:val="00BD2094"/>
  </w:style>
  <w:style w:type="paragraph" w:customStyle="1" w:styleId="Dedication">
    <w:name w:val="Dedication"/>
    <w:basedOn w:val="Normal"/>
    <w:rsid w:val="00BD2094"/>
    <w:pPr>
      <w:spacing w:line="360" w:lineRule="auto"/>
      <w:jc w:val="right"/>
    </w:pPr>
    <w:rPr>
      <w:rFonts w:ascii="Lucida Handwriting" w:hAnsi="Lucida Handwriting"/>
      <w:sz w:val="28"/>
    </w:rPr>
  </w:style>
  <w:style w:type="paragraph" w:styleId="TOC4">
    <w:name w:val="toc 4"/>
    <w:basedOn w:val="Normal"/>
    <w:next w:val="Normal"/>
    <w:autoRedefine/>
    <w:semiHidden/>
    <w:rsid w:val="006A5D46"/>
    <w:pPr>
      <w:ind w:left="720"/>
      <w:jc w:val="left"/>
    </w:pPr>
    <w:rPr>
      <w:rFonts w:ascii="Calibri" w:hAnsi="Calibri"/>
      <w:sz w:val="18"/>
      <w:szCs w:val="18"/>
    </w:rPr>
  </w:style>
  <w:style w:type="paragraph" w:styleId="TOC5">
    <w:name w:val="toc 5"/>
    <w:basedOn w:val="Normal"/>
    <w:next w:val="Normal"/>
    <w:autoRedefine/>
    <w:semiHidden/>
    <w:rsid w:val="006A5D46"/>
    <w:pPr>
      <w:ind w:left="960"/>
      <w:jc w:val="left"/>
    </w:pPr>
    <w:rPr>
      <w:rFonts w:ascii="Calibri" w:hAnsi="Calibri"/>
      <w:sz w:val="18"/>
      <w:szCs w:val="18"/>
    </w:rPr>
  </w:style>
  <w:style w:type="paragraph" w:styleId="TOC6">
    <w:name w:val="toc 6"/>
    <w:basedOn w:val="Normal"/>
    <w:next w:val="Normal"/>
    <w:autoRedefine/>
    <w:semiHidden/>
    <w:rsid w:val="006A5D46"/>
    <w:pPr>
      <w:ind w:left="1200"/>
      <w:jc w:val="left"/>
    </w:pPr>
    <w:rPr>
      <w:rFonts w:ascii="Calibri" w:hAnsi="Calibri"/>
      <w:sz w:val="18"/>
      <w:szCs w:val="18"/>
    </w:rPr>
  </w:style>
  <w:style w:type="paragraph" w:styleId="TOC7">
    <w:name w:val="toc 7"/>
    <w:basedOn w:val="Normal"/>
    <w:next w:val="Normal"/>
    <w:autoRedefine/>
    <w:semiHidden/>
    <w:rsid w:val="006A5D46"/>
    <w:pPr>
      <w:ind w:left="1440"/>
      <w:jc w:val="left"/>
    </w:pPr>
    <w:rPr>
      <w:rFonts w:ascii="Calibri" w:hAnsi="Calibri"/>
      <w:sz w:val="18"/>
      <w:szCs w:val="18"/>
    </w:rPr>
  </w:style>
  <w:style w:type="paragraph" w:styleId="TOC8">
    <w:name w:val="toc 8"/>
    <w:basedOn w:val="Normal"/>
    <w:next w:val="Normal"/>
    <w:autoRedefine/>
    <w:semiHidden/>
    <w:rsid w:val="006A5D46"/>
    <w:pPr>
      <w:ind w:left="1680"/>
      <w:jc w:val="left"/>
    </w:pPr>
    <w:rPr>
      <w:rFonts w:ascii="Calibri" w:hAnsi="Calibri"/>
      <w:sz w:val="18"/>
      <w:szCs w:val="18"/>
    </w:rPr>
  </w:style>
  <w:style w:type="paragraph" w:styleId="TOC9">
    <w:name w:val="toc 9"/>
    <w:basedOn w:val="Normal"/>
    <w:next w:val="Normal"/>
    <w:autoRedefine/>
    <w:semiHidden/>
    <w:rsid w:val="006A5D46"/>
    <w:pPr>
      <w:ind w:left="1920"/>
      <w:jc w:val="left"/>
    </w:pPr>
    <w:rPr>
      <w:rFonts w:ascii="Calibri" w:hAnsi="Calibri"/>
      <w:sz w:val="18"/>
      <w:szCs w:val="18"/>
    </w:rPr>
  </w:style>
  <w:style w:type="character" w:styleId="Hyperlink">
    <w:name w:val="Hyperlink"/>
    <w:basedOn w:val="DefaultParagraphFont"/>
    <w:uiPriority w:val="99"/>
    <w:rsid w:val="006A5D46"/>
    <w:rPr>
      <w:rFonts w:cs="Times New Roman"/>
      <w:color w:val="0000FF"/>
      <w:u w:val="single"/>
    </w:rPr>
  </w:style>
  <w:style w:type="character" w:customStyle="1" w:styleId="apple-converted-space">
    <w:name w:val="apple-converted-space"/>
    <w:basedOn w:val="DefaultParagraphFont"/>
    <w:rsid w:val="00730B9B"/>
    <w:rPr>
      <w:rFonts w:cs="Times New Roman"/>
    </w:rPr>
  </w:style>
  <w:style w:type="paragraph" w:styleId="NormalWeb">
    <w:name w:val="Normal (Web)"/>
    <w:basedOn w:val="Normal"/>
    <w:uiPriority w:val="99"/>
    <w:rsid w:val="00730B9B"/>
    <w:pPr>
      <w:spacing w:before="100" w:beforeAutospacing="1" w:after="100" w:afterAutospacing="1"/>
      <w:jc w:val="left"/>
    </w:pPr>
  </w:style>
  <w:style w:type="paragraph" w:styleId="Header">
    <w:name w:val="header"/>
    <w:basedOn w:val="Normal"/>
    <w:link w:val="HeaderChar"/>
    <w:semiHidden/>
    <w:rsid w:val="00F960F5"/>
    <w:pPr>
      <w:tabs>
        <w:tab w:val="center" w:pos="4680"/>
        <w:tab w:val="right" w:pos="9360"/>
      </w:tabs>
      <w:spacing w:line="240" w:lineRule="auto"/>
    </w:pPr>
  </w:style>
  <w:style w:type="character" w:customStyle="1" w:styleId="HeaderChar">
    <w:name w:val="Header Char"/>
    <w:basedOn w:val="DefaultParagraphFont"/>
    <w:link w:val="Header"/>
    <w:semiHidden/>
    <w:rsid w:val="00F960F5"/>
    <w:rPr>
      <w:rFonts w:cs="Times New Roman"/>
      <w:sz w:val="24"/>
      <w:szCs w:val="24"/>
    </w:rPr>
  </w:style>
  <w:style w:type="paragraph" w:styleId="Footer">
    <w:name w:val="footer"/>
    <w:basedOn w:val="Normal"/>
    <w:link w:val="FooterChar"/>
    <w:uiPriority w:val="99"/>
    <w:rsid w:val="00F960F5"/>
    <w:pPr>
      <w:tabs>
        <w:tab w:val="center" w:pos="4680"/>
        <w:tab w:val="right" w:pos="9360"/>
      </w:tabs>
      <w:spacing w:line="240" w:lineRule="auto"/>
    </w:pPr>
  </w:style>
  <w:style w:type="character" w:customStyle="1" w:styleId="FooterChar">
    <w:name w:val="Footer Char"/>
    <w:basedOn w:val="DefaultParagraphFont"/>
    <w:link w:val="Footer"/>
    <w:uiPriority w:val="99"/>
    <w:rsid w:val="00F960F5"/>
    <w:rPr>
      <w:rFonts w:cs="Times New Roman"/>
      <w:sz w:val="24"/>
      <w:szCs w:val="24"/>
    </w:rPr>
  </w:style>
  <w:style w:type="character" w:customStyle="1" w:styleId="description">
    <w:name w:val="description"/>
    <w:basedOn w:val="DefaultParagraphFont"/>
    <w:rsid w:val="00E85876"/>
    <w:rPr>
      <w:rFonts w:cs="Times New Roman"/>
    </w:rPr>
  </w:style>
  <w:style w:type="table" w:styleId="TableGrid">
    <w:name w:val="Table Grid"/>
    <w:basedOn w:val="TableNormal"/>
    <w:uiPriority w:val="59"/>
    <w:rsid w:val="00E858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ceholderText1">
    <w:name w:val="Placeholder Text1"/>
    <w:basedOn w:val="DefaultParagraphFont"/>
    <w:semiHidden/>
    <w:rsid w:val="00487CEE"/>
    <w:rPr>
      <w:rFonts w:cs="Times New Roman"/>
      <w:color w:val="808080"/>
    </w:rPr>
  </w:style>
  <w:style w:type="paragraph" w:styleId="EndnoteText">
    <w:name w:val="endnote text"/>
    <w:basedOn w:val="Normal"/>
    <w:link w:val="EndnoteTextChar"/>
    <w:semiHidden/>
    <w:rsid w:val="00D670BE"/>
    <w:pPr>
      <w:spacing w:line="240" w:lineRule="auto"/>
    </w:pPr>
    <w:rPr>
      <w:sz w:val="20"/>
      <w:szCs w:val="20"/>
    </w:rPr>
  </w:style>
  <w:style w:type="character" w:customStyle="1" w:styleId="EndnoteTextChar">
    <w:name w:val="Endnote Text Char"/>
    <w:basedOn w:val="DefaultParagraphFont"/>
    <w:link w:val="EndnoteText"/>
    <w:semiHidden/>
    <w:rsid w:val="00D670BE"/>
    <w:rPr>
      <w:rFonts w:cs="Times New Roman"/>
    </w:rPr>
  </w:style>
  <w:style w:type="character" w:styleId="EndnoteReference">
    <w:name w:val="endnote reference"/>
    <w:basedOn w:val="DefaultParagraphFont"/>
    <w:semiHidden/>
    <w:rsid w:val="00D670BE"/>
    <w:rPr>
      <w:rFonts w:cs="Times New Roman"/>
      <w:vertAlign w:val="superscript"/>
    </w:rPr>
  </w:style>
  <w:style w:type="paragraph" w:styleId="FootnoteText">
    <w:name w:val="footnote text"/>
    <w:basedOn w:val="Normal"/>
    <w:link w:val="FootnoteTextChar"/>
    <w:semiHidden/>
    <w:rsid w:val="00D670BE"/>
    <w:pPr>
      <w:spacing w:line="240" w:lineRule="auto"/>
    </w:pPr>
    <w:rPr>
      <w:sz w:val="20"/>
      <w:szCs w:val="20"/>
    </w:rPr>
  </w:style>
  <w:style w:type="character" w:customStyle="1" w:styleId="FootnoteTextChar">
    <w:name w:val="Footnote Text Char"/>
    <w:basedOn w:val="DefaultParagraphFont"/>
    <w:link w:val="FootnoteText"/>
    <w:semiHidden/>
    <w:rsid w:val="00D670BE"/>
    <w:rPr>
      <w:rFonts w:cs="Times New Roman"/>
    </w:rPr>
  </w:style>
  <w:style w:type="character" w:styleId="FootnoteReference">
    <w:name w:val="footnote reference"/>
    <w:basedOn w:val="DefaultParagraphFont"/>
    <w:semiHidden/>
    <w:rsid w:val="00D670BE"/>
    <w:rPr>
      <w:rFonts w:cs="Times New Roman"/>
      <w:vertAlign w:val="superscript"/>
    </w:rPr>
  </w:style>
  <w:style w:type="character" w:styleId="CommentReference">
    <w:name w:val="annotation reference"/>
    <w:basedOn w:val="DefaultParagraphFont"/>
    <w:semiHidden/>
    <w:rsid w:val="00111CFC"/>
    <w:rPr>
      <w:rFonts w:cs="Times New Roman"/>
      <w:sz w:val="16"/>
      <w:szCs w:val="16"/>
    </w:rPr>
  </w:style>
  <w:style w:type="paragraph" w:styleId="CommentText">
    <w:name w:val="annotation text"/>
    <w:basedOn w:val="Normal"/>
    <w:semiHidden/>
    <w:rsid w:val="00111CFC"/>
    <w:rPr>
      <w:sz w:val="20"/>
      <w:szCs w:val="20"/>
    </w:rPr>
  </w:style>
  <w:style w:type="paragraph" w:styleId="CommentSubject">
    <w:name w:val="annotation subject"/>
    <w:basedOn w:val="CommentText"/>
    <w:next w:val="CommentText"/>
    <w:semiHidden/>
    <w:rsid w:val="00111CFC"/>
    <w:rPr>
      <w:b/>
      <w:bCs/>
    </w:rPr>
  </w:style>
  <w:style w:type="paragraph" w:styleId="HTMLPreformatted">
    <w:name w:val="HTML Preformatted"/>
    <w:basedOn w:val="Normal"/>
    <w:link w:val="HTMLPreformattedChar"/>
    <w:rsid w:val="005B2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szCs w:val="20"/>
    </w:rPr>
  </w:style>
  <w:style w:type="character" w:customStyle="1" w:styleId="HTMLPreformattedChar">
    <w:name w:val="HTML Preformatted Char"/>
    <w:basedOn w:val="DefaultParagraphFont"/>
    <w:link w:val="HTMLPreformatted"/>
    <w:rsid w:val="005B255F"/>
    <w:rPr>
      <w:rFonts w:ascii="Courier New" w:hAnsi="Courier New" w:cs="Courier New"/>
    </w:rPr>
  </w:style>
  <w:style w:type="paragraph" w:styleId="ListParagraph">
    <w:name w:val="List Paragraph"/>
    <w:basedOn w:val="Normal"/>
    <w:uiPriority w:val="34"/>
    <w:qFormat/>
    <w:rsid w:val="004004A3"/>
    <w:pPr>
      <w:ind w:left="720"/>
      <w:contextualSpacing/>
    </w:pPr>
  </w:style>
  <w:style w:type="table" w:customStyle="1" w:styleId="LightList-Accent11">
    <w:name w:val="Light List - Accent 11"/>
    <w:basedOn w:val="TableNormal"/>
    <w:uiPriority w:val="61"/>
    <w:rsid w:val="00745508"/>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Shading1">
    <w:name w:val="Light Shading1"/>
    <w:basedOn w:val="TableNormal"/>
    <w:uiPriority w:val="60"/>
    <w:rsid w:val="007B45FE"/>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0">
    <w:name w:val="Light Shading1"/>
    <w:basedOn w:val="TableNormal"/>
    <w:uiPriority w:val="60"/>
    <w:rsid w:val="00A47E0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1">
    <w:name w:val="Light List1"/>
    <w:basedOn w:val="TableNormal"/>
    <w:uiPriority w:val="61"/>
    <w:rsid w:val="00F174FA"/>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7E19C3"/>
    <w:pPr>
      <w:keepLines/>
      <w:spacing w:before="480" w:after="0"/>
      <w:jc w:val="left"/>
      <w:outlineLvl w:val="9"/>
    </w:pPr>
    <w:rPr>
      <w:rFonts w:asciiTheme="majorHAnsi" w:eastAsiaTheme="majorEastAsia" w:hAnsiTheme="majorHAnsi" w:cstheme="majorBidi"/>
      <w:b w:val="0"/>
      <w:caps w:val="0"/>
      <w:color w:val="365F91" w:themeColor="accent1" w:themeShade="BF"/>
      <w:kern w:val="0"/>
      <w:szCs w:val="28"/>
    </w:rPr>
  </w:style>
  <w:style w:type="paragraph" w:styleId="TableofFigures">
    <w:name w:val="table of figures"/>
    <w:basedOn w:val="Normal"/>
    <w:next w:val="Normal"/>
    <w:uiPriority w:val="99"/>
    <w:unhideWhenUsed/>
    <w:rsid w:val="00862E39"/>
    <w:pPr>
      <w:ind w:left="480" w:hanging="480"/>
      <w:jc w:val="left"/>
    </w:pPr>
    <w:rPr>
      <w:rFonts w:asciiTheme="minorHAnsi" w:hAnsiTheme="minorHAnsi" w:cstheme="minorHAnsi"/>
      <w:smallCaps/>
      <w:szCs w:val="20"/>
    </w:rPr>
  </w:style>
  <w:style w:type="table" w:customStyle="1" w:styleId="LightList2">
    <w:name w:val="Light List2"/>
    <w:basedOn w:val="TableNormal"/>
    <w:uiPriority w:val="61"/>
    <w:rsid w:val="007379BC"/>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PlaceholderText">
    <w:name w:val="Placeholder Text"/>
    <w:basedOn w:val="DefaultParagraphFont"/>
    <w:semiHidden/>
    <w:rsid w:val="009A641C"/>
    <w:rPr>
      <w:color w:val="808080"/>
    </w:rPr>
  </w:style>
  <w:style w:type="character" w:styleId="FollowedHyperlink">
    <w:name w:val="FollowedHyperlink"/>
    <w:basedOn w:val="DefaultParagraphFont"/>
    <w:uiPriority w:val="99"/>
    <w:semiHidden/>
    <w:unhideWhenUsed/>
    <w:rsid w:val="00153512"/>
    <w:rPr>
      <w:color w:val="800080" w:themeColor="followedHyperlink"/>
      <w:u w:val="single"/>
    </w:rPr>
  </w:style>
  <w:style w:type="character" w:styleId="PageNumber">
    <w:name w:val="page number"/>
    <w:basedOn w:val="DefaultParagraphFont"/>
    <w:uiPriority w:val="99"/>
    <w:semiHidden/>
    <w:unhideWhenUsed/>
    <w:rsid w:val="00C93C97"/>
  </w:style>
  <w:style w:type="paragraph" w:customStyle="1" w:styleId="EndNoteBibliographyTitle">
    <w:name w:val="EndNote Bibliography Title"/>
    <w:basedOn w:val="Normal"/>
    <w:link w:val="EndNoteBibliographyTitleChar"/>
    <w:rsid w:val="007055CE"/>
    <w:pPr>
      <w:jc w:val="center"/>
    </w:pPr>
    <w:rPr>
      <w:noProof/>
    </w:rPr>
  </w:style>
  <w:style w:type="character" w:customStyle="1" w:styleId="EndNoteBibliographyTitleChar">
    <w:name w:val="EndNote Bibliography Title Char"/>
    <w:basedOn w:val="DefaultParagraphFont"/>
    <w:link w:val="EndNoteBibliographyTitle"/>
    <w:rsid w:val="007055CE"/>
    <w:rPr>
      <w:noProof/>
    </w:rPr>
  </w:style>
  <w:style w:type="paragraph" w:customStyle="1" w:styleId="EndNoteBibliography">
    <w:name w:val="EndNote Bibliography"/>
    <w:basedOn w:val="Normal"/>
    <w:link w:val="EndNoteBibliographyChar"/>
    <w:rsid w:val="007055CE"/>
    <w:pPr>
      <w:spacing w:line="240" w:lineRule="auto"/>
    </w:pPr>
    <w:rPr>
      <w:noProof/>
    </w:rPr>
  </w:style>
  <w:style w:type="character" w:customStyle="1" w:styleId="EndNoteBibliographyChar">
    <w:name w:val="EndNote Bibliography Char"/>
    <w:basedOn w:val="DefaultParagraphFont"/>
    <w:link w:val="EndNoteBibliography"/>
    <w:rsid w:val="007055CE"/>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673073397">
      <w:bodyDiv w:val="1"/>
      <w:marLeft w:val="0"/>
      <w:marRight w:val="0"/>
      <w:marTop w:val="0"/>
      <w:marBottom w:val="0"/>
      <w:divBdr>
        <w:top w:val="none" w:sz="0" w:space="0" w:color="auto"/>
        <w:left w:val="none" w:sz="0" w:space="0" w:color="auto"/>
        <w:bottom w:val="none" w:sz="0" w:space="0" w:color="auto"/>
        <w:right w:val="none" w:sz="0" w:space="0" w:color="auto"/>
      </w:divBdr>
    </w:div>
    <w:div w:id="1370648778">
      <w:bodyDiv w:val="1"/>
      <w:marLeft w:val="0"/>
      <w:marRight w:val="0"/>
      <w:marTop w:val="0"/>
      <w:marBottom w:val="0"/>
      <w:divBdr>
        <w:top w:val="none" w:sz="0" w:space="0" w:color="auto"/>
        <w:left w:val="none" w:sz="0" w:space="0" w:color="auto"/>
        <w:bottom w:val="none" w:sz="0" w:space="0" w:color="auto"/>
        <w:right w:val="none" w:sz="0" w:space="0" w:color="auto"/>
      </w:divBdr>
    </w:div>
    <w:div w:id="1945459316">
      <w:bodyDiv w:val="1"/>
      <w:marLeft w:val="0"/>
      <w:marRight w:val="0"/>
      <w:marTop w:val="0"/>
      <w:marBottom w:val="0"/>
      <w:divBdr>
        <w:top w:val="none" w:sz="0" w:space="0" w:color="auto"/>
        <w:left w:val="none" w:sz="0" w:space="0" w:color="auto"/>
        <w:bottom w:val="none" w:sz="0" w:space="0" w:color="auto"/>
        <w:right w:val="none" w:sz="0" w:space="0" w:color="auto"/>
      </w:divBdr>
      <w:divsChild>
        <w:div w:id="116998175">
          <w:marLeft w:val="0"/>
          <w:marRight w:val="0"/>
          <w:marTop w:val="0"/>
          <w:marBottom w:val="0"/>
          <w:divBdr>
            <w:top w:val="none" w:sz="0" w:space="0" w:color="auto"/>
            <w:left w:val="none" w:sz="0" w:space="0" w:color="auto"/>
            <w:bottom w:val="none" w:sz="0" w:space="0" w:color="auto"/>
            <w:right w:val="none" w:sz="0" w:space="0" w:color="auto"/>
          </w:divBdr>
          <w:divsChild>
            <w:div w:id="402994010">
              <w:marLeft w:val="0"/>
              <w:marRight w:val="0"/>
              <w:marTop w:val="0"/>
              <w:marBottom w:val="0"/>
              <w:divBdr>
                <w:top w:val="none" w:sz="0" w:space="0" w:color="auto"/>
                <w:left w:val="none" w:sz="0" w:space="0" w:color="auto"/>
                <w:bottom w:val="none" w:sz="0" w:space="0" w:color="auto"/>
                <w:right w:val="none" w:sz="0" w:space="0" w:color="auto"/>
              </w:divBdr>
            </w:div>
            <w:div w:id="429549849">
              <w:marLeft w:val="0"/>
              <w:marRight w:val="0"/>
              <w:marTop w:val="0"/>
              <w:marBottom w:val="0"/>
              <w:divBdr>
                <w:top w:val="none" w:sz="0" w:space="0" w:color="auto"/>
                <w:left w:val="none" w:sz="0" w:space="0" w:color="auto"/>
                <w:bottom w:val="none" w:sz="0" w:space="0" w:color="auto"/>
                <w:right w:val="none" w:sz="0" w:space="0" w:color="auto"/>
              </w:divBdr>
            </w:div>
            <w:div w:id="472527523">
              <w:marLeft w:val="0"/>
              <w:marRight w:val="0"/>
              <w:marTop w:val="0"/>
              <w:marBottom w:val="0"/>
              <w:divBdr>
                <w:top w:val="none" w:sz="0" w:space="0" w:color="auto"/>
                <w:left w:val="none" w:sz="0" w:space="0" w:color="auto"/>
                <w:bottom w:val="none" w:sz="0" w:space="0" w:color="auto"/>
                <w:right w:val="none" w:sz="0" w:space="0" w:color="auto"/>
              </w:divBdr>
            </w:div>
            <w:div w:id="947276332">
              <w:marLeft w:val="0"/>
              <w:marRight w:val="0"/>
              <w:marTop w:val="0"/>
              <w:marBottom w:val="0"/>
              <w:divBdr>
                <w:top w:val="none" w:sz="0" w:space="0" w:color="auto"/>
                <w:left w:val="none" w:sz="0" w:space="0" w:color="auto"/>
                <w:bottom w:val="none" w:sz="0" w:space="0" w:color="auto"/>
                <w:right w:val="none" w:sz="0" w:space="0" w:color="auto"/>
              </w:divBdr>
            </w:div>
            <w:div w:id="976909479">
              <w:marLeft w:val="0"/>
              <w:marRight w:val="0"/>
              <w:marTop w:val="0"/>
              <w:marBottom w:val="0"/>
              <w:divBdr>
                <w:top w:val="none" w:sz="0" w:space="0" w:color="auto"/>
                <w:left w:val="none" w:sz="0" w:space="0" w:color="auto"/>
                <w:bottom w:val="none" w:sz="0" w:space="0" w:color="auto"/>
                <w:right w:val="none" w:sz="0" w:space="0" w:color="auto"/>
              </w:divBdr>
            </w:div>
            <w:div w:id="122317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42" Type="http://schemas.openxmlformats.org/officeDocument/2006/relationships/chart" Target="charts/chart64.xml"/><Relationship Id="rId143" Type="http://schemas.openxmlformats.org/officeDocument/2006/relationships/chart" Target="charts/chart65.xml"/><Relationship Id="rId144" Type="http://schemas.openxmlformats.org/officeDocument/2006/relationships/image" Target="media/image66.png"/><Relationship Id="rId145" Type="http://schemas.openxmlformats.org/officeDocument/2006/relationships/image" Target="media/image67.png"/><Relationship Id="rId146" Type="http://schemas.openxmlformats.org/officeDocument/2006/relationships/image" Target="media/image68.png"/><Relationship Id="rId147" Type="http://schemas.openxmlformats.org/officeDocument/2006/relationships/image" Target="media/image69.png"/><Relationship Id="rId148" Type="http://schemas.openxmlformats.org/officeDocument/2006/relationships/chart" Target="charts/chart66.xml"/><Relationship Id="rId149" Type="http://schemas.openxmlformats.org/officeDocument/2006/relationships/chart" Target="charts/chart67.xml"/><Relationship Id="rId180" Type="http://schemas.openxmlformats.org/officeDocument/2006/relationships/chart" Target="charts/chart84.xml"/><Relationship Id="rId181" Type="http://schemas.openxmlformats.org/officeDocument/2006/relationships/chart" Target="charts/chart85.xml"/><Relationship Id="rId182" Type="http://schemas.openxmlformats.org/officeDocument/2006/relationships/image" Target="media/image70.png"/><Relationship Id="rId40" Type="http://schemas.openxmlformats.org/officeDocument/2006/relationships/chart" Target="charts/chart15.xml"/><Relationship Id="rId41" Type="http://schemas.openxmlformats.org/officeDocument/2006/relationships/chart" Target="charts/chart16.xml"/><Relationship Id="rId42" Type="http://schemas.openxmlformats.org/officeDocument/2006/relationships/chart" Target="charts/chart17.xml"/><Relationship Id="rId43" Type="http://schemas.openxmlformats.org/officeDocument/2006/relationships/image" Target="media/image13.png"/><Relationship Id="rId44" Type="http://schemas.openxmlformats.org/officeDocument/2006/relationships/image" Target="media/image14.png"/><Relationship Id="rId45" Type="http://schemas.openxmlformats.org/officeDocument/2006/relationships/image" Target="media/image15.png"/><Relationship Id="rId46" Type="http://schemas.openxmlformats.org/officeDocument/2006/relationships/chart" Target="charts/chart18.xml"/><Relationship Id="rId47" Type="http://schemas.openxmlformats.org/officeDocument/2006/relationships/chart" Target="charts/chart19.xml"/><Relationship Id="rId48" Type="http://schemas.openxmlformats.org/officeDocument/2006/relationships/chart" Target="charts/chart20.xml"/><Relationship Id="rId49" Type="http://schemas.openxmlformats.org/officeDocument/2006/relationships/image" Target="media/image8.png"/><Relationship Id="rId183" Type="http://schemas.openxmlformats.org/officeDocument/2006/relationships/image" Target="media/image71.png"/><Relationship Id="rId184" Type="http://schemas.openxmlformats.org/officeDocument/2006/relationships/chart" Target="charts/chart86.xml"/><Relationship Id="rId185" Type="http://schemas.openxmlformats.org/officeDocument/2006/relationships/chart" Target="charts/chart87.xml"/><Relationship Id="rId186" Type="http://schemas.openxmlformats.org/officeDocument/2006/relationships/image" Target="media/image72.png"/><Relationship Id="rId187" Type="http://schemas.openxmlformats.org/officeDocument/2006/relationships/image" Target="media/image73.png"/><Relationship Id="rId188" Type="http://schemas.openxmlformats.org/officeDocument/2006/relationships/chart" Target="charts/chart88.xml"/><Relationship Id="rId189" Type="http://schemas.openxmlformats.org/officeDocument/2006/relationships/chart" Target="charts/chart89.xml"/><Relationship Id="rId80" Type="http://schemas.openxmlformats.org/officeDocument/2006/relationships/image" Target="media/image32.png"/><Relationship Id="rId81" Type="http://schemas.openxmlformats.org/officeDocument/2006/relationships/image" Target="media/image33.png"/><Relationship Id="rId82" Type="http://schemas.openxmlformats.org/officeDocument/2006/relationships/chart" Target="charts/chart36.xml"/><Relationship Id="rId83" Type="http://schemas.openxmlformats.org/officeDocument/2006/relationships/chart" Target="charts/chart37.xml"/><Relationship Id="rId84" Type="http://schemas.openxmlformats.org/officeDocument/2006/relationships/chart" Target="charts/chart38.xml"/><Relationship Id="rId85" Type="http://schemas.openxmlformats.org/officeDocument/2006/relationships/image" Target="media/image34.png"/><Relationship Id="rId86" Type="http://schemas.openxmlformats.org/officeDocument/2006/relationships/image" Target="media/image35.png"/><Relationship Id="rId87" Type="http://schemas.openxmlformats.org/officeDocument/2006/relationships/image" Target="media/image36.png"/><Relationship Id="rId88" Type="http://schemas.openxmlformats.org/officeDocument/2006/relationships/chart" Target="charts/chart39.xml"/><Relationship Id="rId89" Type="http://schemas.openxmlformats.org/officeDocument/2006/relationships/chart" Target="charts/chart40.xml"/><Relationship Id="rId110" Type="http://schemas.openxmlformats.org/officeDocument/2006/relationships/chart" Target="charts/chart48.xml"/><Relationship Id="rId111" Type="http://schemas.openxmlformats.org/officeDocument/2006/relationships/chart" Target="charts/chart49.xml"/><Relationship Id="rId112" Type="http://schemas.openxmlformats.org/officeDocument/2006/relationships/image" Target="media/image50.png"/><Relationship Id="rId113" Type="http://schemas.openxmlformats.org/officeDocument/2006/relationships/image" Target="media/image51.png"/><Relationship Id="rId114" Type="http://schemas.openxmlformats.org/officeDocument/2006/relationships/image" Target="media/image52.png"/><Relationship Id="rId115" Type="http://schemas.openxmlformats.org/officeDocument/2006/relationships/image" Target="media/image53.png"/><Relationship Id="rId116" Type="http://schemas.openxmlformats.org/officeDocument/2006/relationships/chart" Target="charts/chart50.xml"/><Relationship Id="rId117" Type="http://schemas.openxmlformats.org/officeDocument/2006/relationships/chart" Target="charts/chart51.xml"/><Relationship Id="rId118" Type="http://schemas.openxmlformats.org/officeDocument/2006/relationships/chart" Target="charts/chart52.xml"/><Relationship Id="rId119" Type="http://schemas.openxmlformats.org/officeDocument/2006/relationships/chart" Target="charts/chart53.xml"/><Relationship Id="rId150" Type="http://schemas.openxmlformats.org/officeDocument/2006/relationships/image" Target="media/image40.png"/><Relationship Id="rId151" Type="http://schemas.openxmlformats.org/officeDocument/2006/relationships/image" Target="media/image41.png"/><Relationship Id="rId152" Type="http://schemas.openxmlformats.org/officeDocument/2006/relationships/chart" Target="charts/chart68.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1.jpeg"/><Relationship Id="rId13" Type="http://schemas.openxmlformats.org/officeDocument/2006/relationships/image" Target="media/image2.jpeg"/><Relationship Id="rId14" Type="http://schemas.openxmlformats.org/officeDocument/2006/relationships/chart" Target="charts/chart1.xml"/><Relationship Id="rId15" Type="http://schemas.openxmlformats.org/officeDocument/2006/relationships/chart" Target="charts/chart2.xml"/><Relationship Id="rId153" Type="http://schemas.openxmlformats.org/officeDocument/2006/relationships/chart" Target="charts/chart69.xm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3.jpg"/><Relationship Id="rId154" Type="http://schemas.openxmlformats.org/officeDocument/2006/relationships/image" Target="media/image42.png"/><Relationship Id="rId155" Type="http://schemas.openxmlformats.org/officeDocument/2006/relationships/image" Target="media/image43.png"/><Relationship Id="rId156" Type="http://schemas.openxmlformats.org/officeDocument/2006/relationships/chart" Target="charts/chart70.xml"/><Relationship Id="rId157" Type="http://schemas.openxmlformats.org/officeDocument/2006/relationships/chart" Target="charts/chart71.xml"/><Relationship Id="rId158" Type="http://schemas.openxmlformats.org/officeDocument/2006/relationships/chart" Target="charts/chart72.xml"/><Relationship Id="rId159" Type="http://schemas.openxmlformats.org/officeDocument/2006/relationships/chart" Target="charts/chart73.xml"/><Relationship Id="rId190" Type="http://schemas.openxmlformats.org/officeDocument/2006/relationships/image" Target="media/image82.png"/><Relationship Id="rId191" Type="http://schemas.openxmlformats.org/officeDocument/2006/relationships/image" Target="media/image83.png"/><Relationship Id="rId192" Type="http://schemas.openxmlformats.org/officeDocument/2006/relationships/chart" Target="charts/chart90.xml"/><Relationship Id="rId50" Type="http://schemas.openxmlformats.org/officeDocument/2006/relationships/image" Target="media/image9.png"/><Relationship Id="rId51" Type="http://schemas.openxmlformats.org/officeDocument/2006/relationships/image" Target="media/image16.png"/><Relationship Id="rId52" Type="http://schemas.openxmlformats.org/officeDocument/2006/relationships/chart" Target="charts/chart21.xml"/><Relationship Id="rId53" Type="http://schemas.openxmlformats.org/officeDocument/2006/relationships/chart" Target="charts/chart22.xml"/><Relationship Id="rId54" Type="http://schemas.openxmlformats.org/officeDocument/2006/relationships/chart" Target="charts/chart23.xml"/><Relationship Id="rId55" Type="http://schemas.openxmlformats.org/officeDocument/2006/relationships/image" Target="media/image17.png"/><Relationship Id="rId56" Type="http://schemas.openxmlformats.org/officeDocument/2006/relationships/image" Target="media/image18.png"/><Relationship Id="rId57" Type="http://schemas.openxmlformats.org/officeDocument/2006/relationships/image" Target="media/image19.png"/><Relationship Id="rId58" Type="http://schemas.openxmlformats.org/officeDocument/2006/relationships/image" Target="media/image6.jpg"/><Relationship Id="rId59" Type="http://schemas.openxmlformats.org/officeDocument/2006/relationships/image" Target="media/image7.jpg"/><Relationship Id="rId193" Type="http://schemas.openxmlformats.org/officeDocument/2006/relationships/chart" Target="charts/chart91.xml"/><Relationship Id="rId194" Type="http://schemas.openxmlformats.org/officeDocument/2006/relationships/image" Target="media/image84.png"/><Relationship Id="rId195" Type="http://schemas.openxmlformats.org/officeDocument/2006/relationships/image" Target="media/image85.png"/><Relationship Id="rId196" Type="http://schemas.openxmlformats.org/officeDocument/2006/relationships/chart" Target="charts/chart92.xml"/><Relationship Id="rId197" Type="http://schemas.openxmlformats.org/officeDocument/2006/relationships/chart" Target="charts/chart93.xml"/><Relationship Id="rId198" Type="http://schemas.openxmlformats.org/officeDocument/2006/relationships/image" Target="media/image86.png"/><Relationship Id="rId199" Type="http://schemas.openxmlformats.org/officeDocument/2006/relationships/image" Target="media/image87.png"/><Relationship Id="rId90" Type="http://schemas.openxmlformats.org/officeDocument/2006/relationships/chart" Target="charts/chart41.xml"/><Relationship Id="rId91" Type="http://schemas.openxmlformats.org/officeDocument/2006/relationships/image" Target="media/image37.png"/><Relationship Id="rId92" Type="http://schemas.openxmlformats.org/officeDocument/2006/relationships/image" Target="media/image38.png"/><Relationship Id="rId93" Type="http://schemas.openxmlformats.org/officeDocument/2006/relationships/image" Target="media/image39.png"/><Relationship Id="rId94" Type="http://schemas.openxmlformats.org/officeDocument/2006/relationships/image" Target="media/image12.jpg"/><Relationship Id="rId95" Type="http://schemas.openxmlformats.org/officeDocument/2006/relationships/image" Target="media/image13.jpg"/><Relationship Id="rId96" Type="http://schemas.openxmlformats.org/officeDocument/2006/relationships/image" Target="media/image14.jpg"/><Relationship Id="rId97" Type="http://schemas.openxmlformats.org/officeDocument/2006/relationships/image" Target="media/image15.jpg"/><Relationship Id="rId98" Type="http://schemas.openxmlformats.org/officeDocument/2006/relationships/image" Target="media/image16.jpg"/><Relationship Id="rId99" Type="http://schemas.openxmlformats.org/officeDocument/2006/relationships/image" Target="media/image17.jpeg"/><Relationship Id="rId120" Type="http://schemas.openxmlformats.org/officeDocument/2006/relationships/image" Target="media/image54.png"/><Relationship Id="rId121" Type="http://schemas.openxmlformats.org/officeDocument/2006/relationships/image" Target="media/image55.png"/><Relationship Id="rId122" Type="http://schemas.openxmlformats.org/officeDocument/2006/relationships/image" Target="media/image56.png"/><Relationship Id="rId123" Type="http://schemas.openxmlformats.org/officeDocument/2006/relationships/image" Target="media/image57.png"/><Relationship Id="rId124" Type="http://schemas.openxmlformats.org/officeDocument/2006/relationships/chart" Target="charts/chart54.xml"/><Relationship Id="rId125" Type="http://schemas.openxmlformats.org/officeDocument/2006/relationships/chart" Target="charts/chart55.xml"/><Relationship Id="rId126" Type="http://schemas.openxmlformats.org/officeDocument/2006/relationships/chart" Target="charts/chart56.xml"/><Relationship Id="rId127" Type="http://schemas.openxmlformats.org/officeDocument/2006/relationships/chart" Target="charts/chart57.xml"/><Relationship Id="rId128" Type="http://schemas.openxmlformats.org/officeDocument/2006/relationships/image" Target="media/image58.png"/><Relationship Id="rId129" Type="http://schemas.openxmlformats.org/officeDocument/2006/relationships/image" Target="media/image59.png"/><Relationship Id="rId160" Type="http://schemas.openxmlformats.org/officeDocument/2006/relationships/image" Target="media/image74.png"/><Relationship Id="rId161" Type="http://schemas.openxmlformats.org/officeDocument/2006/relationships/image" Target="media/image75.png"/><Relationship Id="rId162" Type="http://schemas.openxmlformats.org/officeDocument/2006/relationships/image" Target="media/image76.png"/><Relationship Id="rId20" Type="http://schemas.openxmlformats.org/officeDocument/2006/relationships/image" Target="media/image30.jpg"/><Relationship Id="rId21" Type="http://schemas.openxmlformats.org/officeDocument/2006/relationships/chart" Target="charts/chart3.xml"/><Relationship Id="rId22" Type="http://schemas.openxmlformats.org/officeDocument/2006/relationships/chart" Target="charts/chart4.xml"/><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chart" Target="charts/chart5.xml"/><Relationship Id="rId26" Type="http://schemas.openxmlformats.org/officeDocument/2006/relationships/image" Target="media/image4.jpeg"/><Relationship Id="rId27" Type="http://schemas.openxmlformats.org/officeDocument/2006/relationships/image" Target="media/image5.jpg"/><Relationship Id="rId28" Type="http://schemas.openxmlformats.org/officeDocument/2006/relationships/chart" Target="charts/chart6.xml"/><Relationship Id="rId29" Type="http://schemas.openxmlformats.org/officeDocument/2006/relationships/chart" Target="charts/chart7.xml"/><Relationship Id="rId163" Type="http://schemas.openxmlformats.org/officeDocument/2006/relationships/image" Target="media/image77.png"/><Relationship Id="rId164" Type="http://schemas.openxmlformats.org/officeDocument/2006/relationships/chart" Target="charts/chart74.xml"/><Relationship Id="rId165" Type="http://schemas.openxmlformats.org/officeDocument/2006/relationships/chart" Target="charts/chart75.xml"/><Relationship Id="rId166" Type="http://schemas.openxmlformats.org/officeDocument/2006/relationships/chart" Target="charts/chart76.xml"/><Relationship Id="rId167" Type="http://schemas.openxmlformats.org/officeDocument/2006/relationships/chart" Target="charts/chart77.xml"/><Relationship Id="rId168" Type="http://schemas.openxmlformats.org/officeDocument/2006/relationships/image" Target="media/image78.png"/><Relationship Id="rId169" Type="http://schemas.openxmlformats.org/officeDocument/2006/relationships/image" Target="media/image79.png"/><Relationship Id="rId200" Type="http://schemas.openxmlformats.org/officeDocument/2006/relationships/chart" Target="charts/chart94.xml"/><Relationship Id="rId201" Type="http://schemas.openxmlformats.org/officeDocument/2006/relationships/chart" Target="charts/chart95.xml"/><Relationship Id="rId202" Type="http://schemas.openxmlformats.org/officeDocument/2006/relationships/image" Target="media/image88.png"/><Relationship Id="rId203" Type="http://schemas.openxmlformats.org/officeDocument/2006/relationships/image" Target="media/image89.png"/><Relationship Id="rId60" Type="http://schemas.openxmlformats.org/officeDocument/2006/relationships/image" Target="media/image8.jpg"/><Relationship Id="rId61" Type="http://schemas.openxmlformats.org/officeDocument/2006/relationships/image" Target="media/image9.jpg"/><Relationship Id="rId62" Type="http://schemas.openxmlformats.org/officeDocument/2006/relationships/image" Target="media/image10.jpg"/><Relationship Id="rId63" Type="http://schemas.openxmlformats.org/officeDocument/2006/relationships/image" Target="media/image11.jpg"/><Relationship Id="rId64" Type="http://schemas.openxmlformats.org/officeDocument/2006/relationships/chart" Target="charts/chart24.xml"/><Relationship Id="rId65" Type="http://schemas.openxmlformats.org/officeDocument/2006/relationships/chart" Target="charts/chart25.xml"/><Relationship Id="rId66" Type="http://schemas.openxmlformats.org/officeDocument/2006/relationships/chart" Target="charts/chart26.xml"/><Relationship Id="rId67" Type="http://schemas.openxmlformats.org/officeDocument/2006/relationships/chart" Target="charts/chart27.xml"/><Relationship Id="rId68" Type="http://schemas.openxmlformats.org/officeDocument/2006/relationships/chart" Target="charts/chart28.xml"/><Relationship Id="rId69" Type="http://schemas.openxmlformats.org/officeDocument/2006/relationships/chart" Target="charts/chart29.xml"/><Relationship Id="rId204" Type="http://schemas.openxmlformats.org/officeDocument/2006/relationships/chart" Target="charts/chart96.xml"/><Relationship Id="rId205" Type="http://schemas.openxmlformats.org/officeDocument/2006/relationships/chart" Target="charts/chart97.xml"/><Relationship Id="rId206" Type="http://schemas.openxmlformats.org/officeDocument/2006/relationships/image" Target="media/image90.png"/><Relationship Id="rId207" Type="http://schemas.openxmlformats.org/officeDocument/2006/relationships/image" Target="media/image91.png"/><Relationship Id="rId208" Type="http://schemas.openxmlformats.org/officeDocument/2006/relationships/footer" Target="footer4.xml"/><Relationship Id="rId209" Type="http://schemas.openxmlformats.org/officeDocument/2006/relationships/fontTable" Target="fontTable.xml"/><Relationship Id="rId130" Type="http://schemas.openxmlformats.org/officeDocument/2006/relationships/image" Target="media/image60.png"/><Relationship Id="rId131" Type="http://schemas.openxmlformats.org/officeDocument/2006/relationships/image" Target="media/image61.png"/><Relationship Id="rId132" Type="http://schemas.openxmlformats.org/officeDocument/2006/relationships/chart" Target="charts/chart58.xml"/><Relationship Id="rId133" Type="http://schemas.openxmlformats.org/officeDocument/2006/relationships/chart" Target="charts/chart59.xml"/><Relationship Id="rId134" Type="http://schemas.openxmlformats.org/officeDocument/2006/relationships/chart" Target="charts/chart60.xml"/><Relationship Id="rId135" Type="http://schemas.openxmlformats.org/officeDocument/2006/relationships/chart" Target="charts/chart61.xml"/><Relationship Id="rId136" Type="http://schemas.openxmlformats.org/officeDocument/2006/relationships/image" Target="media/image62.png"/><Relationship Id="rId137" Type="http://schemas.openxmlformats.org/officeDocument/2006/relationships/image" Target="media/image63.png"/><Relationship Id="rId138" Type="http://schemas.openxmlformats.org/officeDocument/2006/relationships/image" Target="media/image64.png"/><Relationship Id="rId139" Type="http://schemas.openxmlformats.org/officeDocument/2006/relationships/image" Target="media/image65.png"/><Relationship Id="rId170" Type="http://schemas.openxmlformats.org/officeDocument/2006/relationships/image" Target="media/image80.png"/><Relationship Id="rId171" Type="http://schemas.openxmlformats.org/officeDocument/2006/relationships/image" Target="media/image81.png"/><Relationship Id="rId172" Type="http://schemas.openxmlformats.org/officeDocument/2006/relationships/chart" Target="charts/chart78.xml"/><Relationship Id="rId30" Type="http://schemas.openxmlformats.org/officeDocument/2006/relationships/chart" Target="charts/chart8.xml"/><Relationship Id="rId31" Type="http://schemas.openxmlformats.org/officeDocument/2006/relationships/chart" Target="charts/chart9.xml"/><Relationship Id="rId32" Type="http://schemas.openxmlformats.org/officeDocument/2006/relationships/chart" Target="charts/chart10.xml"/><Relationship Id="rId33" Type="http://schemas.openxmlformats.org/officeDocument/2006/relationships/chart" Target="charts/chart11.xml"/><Relationship Id="rId34" Type="http://schemas.openxmlformats.org/officeDocument/2006/relationships/chart" Target="charts/chart12.xml"/><Relationship Id="rId35" Type="http://schemas.openxmlformats.org/officeDocument/2006/relationships/chart" Target="charts/chart13.xml"/><Relationship Id="rId36" Type="http://schemas.openxmlformats.org/officeDocument/2006/relationships/chart" Target="charts/chart14.xml"/><Relationship Id="rId37" Type="http://schemas.openxmlformats.org/officeDocument/2006/relationships/image" Target="media/image10.png"/><Relationship Id="rId38" Type="http://schemas.openxmlformats.org/officeDocument/2006/relationships/image" Target="media/image11.png"/><Relationship Id="rId39" Type="http://schemas.openxmlformats.org/officeDocument/2006/relationships/image" Target="media/image12.png"/><Relationship Id="rId173" Type="http://schemas.openxmlformats.org/officeDocument/2006/relationships/chart" Target="charts/chart79.xml"/><Relationship Id="rId174" Type="http://schemas.openxmlformats.org/officeDocument/2006/relationships/chart" Target="charts/chart80.xml"/><Relationship Id="rId175" Type="http://schemas.openxmlformats.org/officeDocument/2006/relationships/chart" Target="charts/chart81.xml"/><Relationship Id="rId176" Type="http://schemas.openxmlformats.org/officeDocument/2006/relationships/chart" Target="charts/chart82.xml"/><Relationship Id="rId177" Type="http://schemas.openxmlformats.org/officeDocument/2006/relationships/chart" Target="charts/chart83.xml"/><Relationship Id="rId178" Type="http://schemas.openxmlformats.org/officeDocument/2006/relationships/image" Target="media/image44.png"/><Relationship Id="rId179" Type="http://schemas.openxmlformats.org/officeDocument/2006/relationships/image" Target="media/image45.png"/><Relationship Id="rId210" Type="http://schemas.openxmlformats.org/officeDocument/2006/relationships/theme" Target="theme/theme1.xml"/><Relationship Id="rId211" Type="http://schemas.microsoft.com/office/2011/relationships/commentsExtended" Target="commentsExtended.xml"/><Relationship Id="rId212" Type="http://schemas.microsoft.com/office/2011/relationships/people" Target="people.xml"/><Relationship Id="rId70" Type="http://schemas.openxmlformats.org/officeDocument/2006/relationships/chart" Target="charts/chart30.xml"/><Relationship Id="rId71" Type="http://schemas.openxmlformats.org/officeDocument/2006/relationships/chart" Target="charts/chart31.xml"/><Relationship Id="rId72" Type="http://schemas.openxmlformats.org/officeDocument/2006/relationships/chart" Target="charts/chart32.xml"/><Relationship Id="rId73" Type="http://schemas.openxmlformats.org/officeDocument/2006/relationships/image" Target="media/image28.png"/><Relationship Id="rId74" Type="http://schemas.openxmlformats.org/officeDocument/2006/relationships/image" Target="media/image29.png"/><Relationship Id="rId75" Type="http://schemas.openxmlformats.org/officeDocument/2006/relationships/image" Target="media/image30.png"/><Relationship Id="rId76" Type="http://schemas.openxmlformats.org/officeDocument/2006/relationships/chart" Target="charts/chart33.xml"/><Relationship Id="rId77" Type="http://schemas.openxmlformats.org/officeDocument/2006/relationships/chart" Target="charts/chart34.xml"/><Relationship Id="rId78" Type="http://schemas.openxmlformats.org/officeDocument/2006/relationships/chart" Target="charts/chart35.xml"/><Relationship Id="rId79" Type="http://schemas.openxmlformats.org/officeDocument/2006/relationships/image" Target="media/image31.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100" Type="http://schemas.openxmlformats.org/officeDocument/2006/relationships/chart" Target="charts/chart42.xml"/><Relationship Id="rId101" Type="http://schemas.openxmlformats.org/officeDocument/2006/relationships/chart" Target="charts/chart43.xml"/><Relationship Id="rId102" Type="http://schemas.openxmlformats.org/officeDocument/2006/relationships/chart" Target="charts/chart44.xml"/><Relationship Id="rId103" Type="http://schemas.openxmlformats.org/officeDocument/2006/relationships/chart" Target="charts/chart45.xml"/><Relationship Id="rId104" Type="http://schemas.openxmlformats.org/officeDocument/2006/relationships/image" Target="media/image46.png"/><Relationship Id="rId105" Type="http://schemas.openxmlformats.org/officeDocument/2006/relationships/image" Target="media/image47.png"/><Relationship Id="rId106" Type="http://schemas.openxmlformats.org/officeDocument/2006/relationships/image" Target="media/image48.png"/><Relationship Id="rId107" Type="http://schemas.openxmlformats.org/officeDocument/2006/relationships/image" Target="media/image49.png"/><Relationship Id="rId108" Type="http://schemas.openxmlformats.org/officeDocument/2006/relationships/chart" Target="charts/chart46.xml"/><Relationship Id="rId109" Type="http://schemas.openxmlformats.org/officeDocument/2006/relationships/chart" Target="charts/chart47.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40" Type="http://schemas.openxmlformats.org/officeDocument/2006/relationships/chart" Target="charts/chart62.xml"/><Relationship Id="rId141" Type="http://schemas.openxmlformats.org/officeDocument/2006/relationships/chart" Target="charts/chart63.xml"/></Relationships>
</file>

<file path=word/charts/_rels/chart1.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5.xml"/></Relationships>
</file>

<file path=word/charts/_rels/chart7.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6.xml"/></Relationships>
</file>

<file path=word/charts/_rels/chart8.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7.xml"/></Relationships>
</file>

<file path=word/charts/_rels/chart9.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8.xml"/></Relationships>
</file>

<file path=word/charts/_rels/chart10.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9.xml"/></Relationships>
</file>

<file path=word/charts/_rels/chart11.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10.xml"/></Relationships>
</file>

<file path=word/charts/_rels/chart12.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11.xml"/></Relationships>
</file>

<file path=word/charts/_rels/chart13.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12.xml"/></Relationships>
</file>

<file path=word/charts/_rels/chart14.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13.xml"/></Relationships>
</file>

<file path=word/charts/_rels/chart15.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14.xml"/></Relationships>
</file>

<file path=word/charts/_rels/chart16.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15.xml"/></Relationships>
</file>

<file path=word/charts/_rels/chart17.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16.xml"/></Relationships>
</file>

<file path=word/charts/_rels/chart18.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17.xml"/></Relationships>
</file>

<file path=word/charts/_rels/chart19.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18.xml"/></Relationships>
</file>

<file path=word/charts/_rels/chart20.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19.xml"/></Relationships>
</file>

<file path=word/charts/_rels/chart21.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20.xml"/></Relationships>
</file>

<file path=word/charts/_rels/chart22.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21.xml"/></Relationships>
</file>

<file path=word/charts/_rels/chart23.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22.xml"/></Relationships>
</file>

<file path=word/charts/_rels/chart24.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23.xml"/></Relationships>
</file>

<file path=word/charts/_rels/chart25.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24.xml"/></Relationships>
</file>

<file path=word/charts/_rels/chart26.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25.xml"/></Relationships>
</file>

<file path=word/charts/_rels/chart27.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26.xml"/></Relationships>
</file>

<file path=word/charts/_rels/chart28.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27.xml"/></Relationships>
</file>

<file path=word/charts/_rels/chart29.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28.xml"/></Relationships>
</file>

<file path=word/charts/_rels/chart30.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29.xml"/></Relationships>
</file>

<file path=word/charts/_rels/chart31.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30.xml"/></Relationships>
</file>

<file path=word/charts/_rels/chart32.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31.xml"/></Relationships>
</file>

<file path=word/charts/_rels/chart33.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32.xml"/></Relationships>
</file>

<file path=word/charts/_rels/chart34.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33.xml"/></Relationships>
</file>

<file path=word/charts/_rels/chart35.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34.xml"/></Relationships>
</file>

<file path=word/charts/_rels/chart36.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35.xml"/></Relationships>
</file>

<file path=word/charts/_rels/chart37.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36.xml"/></Relationships>
</file>

<file path=word/charts/_rels/chart38.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37.xml"/></Relationships>
</file>

<file path=word/charts/_rels/chart39.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38.xml"/></Relationships>
</file>

<file path=word/charts/_rels/chart40.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39.xml"/></Relationships>
</file>

<file path=word/charts/_rels/chart41.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40.xml"/></Relationships>
</file>

<file path=word/charts/_rels/chart42.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41.xml"/></Relationships>
</file>

<file path=word/charts/_rels/chart43.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42.xml"/></Relationships>
</file>

<file path=word/charts/_rels/chart44.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43.xml"/></Relationships>
</file>

<file path=word/charts/_rels/chart45.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44.xml"/></Relationships>
</file>

<file path=word/charts/_rels/chart46.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45.xml"/></Relationships>
</file>

<file path=word/charts/_rels/chart47.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46.xml"/></Relationships>
</file>

<file path=word/charts/_rels/chart48.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47.xml"/></Relationships>
</file>

<file path=word/charts/_rels/chart49.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48.xml"/></Relationships>
</file>

<file path=word/charts/_rels/chart50.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49.xml"/></Relationships>
</file>

<file path=word/charts/_rels/chart51.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50.xml"/></Relationships>
</file>

<file path=word/charts/_rels/chart52.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51.xml"/></Relationships>
</file>

<file path=word/charts/_rels/chart53.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52.xml"/></Relationships>
</file>

<file path=word/charts/_rels/chart54.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53.xml"/></Relationships>
</file>

<file path=word/charts/_rels/chart55.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54.xml"/></Relationships>
</file>

<file path=word/charts/_rels/chart56.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55.xml"/></Relationships>
</file>

<file path=word/charts/_rels/chart57.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56.xml"/></Relationships>
</file>

<file path=word/charts/_rels/chart58.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57.xml"/></Relationships>
</file>

<file path=word/charts/_rels/chart59.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58.xml"/></Relationships>
</file>

<file path=word/charts/_rels/chart60.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59.xml"/></Relationships>
</file>

<file path=word/charts/_rels/chart61.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60.xml"/></Relationships>
</file>

<file path=word/charts/_rels/chart62.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61.xml"/></Relationships>
</file>

<file path=word/charts/_rels/chart63.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62.xml"/></Relationships>
</file>

<file path=word/charts/_rels/chart64.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63.xml"/></Relationships>
</file>

<file path=word/charts/_rels/chart65.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64.xml"/></Relationships>
</file>

<file path=word/charts/_rels/chart66.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65.xml"/></Relationships>
</file>

<file path=word/charts/_rels/chart67.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66.xml"/></Relationships>
</file>

<file path=word/charts/_rels/chart68.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67.xml"/></Relationships>
</file>

<file path=word/charts/_rels/chart69.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68.xml"/></Relationships>
</file>

<file path=word/charts/_rels/chart70.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69.xml"/></Relationships>
</file>

<file path=word/charts/_rels/chart71.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70.xml"/></Relationships>
</file>

<file path=word/charts/_rels/chart72.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71.xml"/></Relationships>
</file>

<file path=word/charts/_rels/chart73.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72.xml"/></Relationships>
</file>

<file path=word/charts/_rels/chart74.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73.xml"/></Relationships>
</file>

<file path=word/charts/_rels/chart75.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74.xml"/></Relationships>
</file>

<file path=word/charts/_rels/chart76.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75.xml"/></Relationships>
</file>

<file path=word/charts/_rels/chart77.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76.xml"/></Relationships>
</file>

<file path=word/charts/_rels/chart78.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77.xml"/></Relationships>
</file>

<file path=word/charts/_rels/chart79.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78.xml"/></Relationships>
</file>

<file path=word/charts/_rels/chart80.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79.xml"/></Relationships>
</file>

<file path=word/charts/_rels/chart81.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80.xml"/></Relationships>
</file>

<file path=word/charts/_rels/chart82.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81.xml"/></Relationships>
</file>

<file path=word/charts/_rels/chart83.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82.xml"/></Relationships>
</file>

<file path=word/charts/_rels/chart84.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83.xml"/></Relationships>
</file>

<file path=word/charts/_rels/chart85.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84.xml"/></Relationships>
</file>

<file path=word/charts/_rels/chart86.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85.xml"/></Relationships>
</file>

<file path=word/charts/_rels/chart87.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86.xml"/></Relationships>
</file>

<file path=word/charts/_rels/chart88.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87.xml"/></Relationships>
</file>

<file path=word/charts/_rels/chart89.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88.xml"/></Relationships>
</file>

<file path=word/charts/_rels/chart90.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89.xml"/></Relationships>
</file>

<file path=word/charts/_rels/chart91.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90.xml"/></Relationships>
</file>

<file path=word/charts/_rels/chart92.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91.xml"/></Relationships>
</file>

<file path=word/charts/_rels/chart93.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92.xml"/></Relationships>
</file>

<file path=word/charts/_rels/chart94.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93.xml"/></Relationships>
</file>

<file path=word/charts/_rels/chart95.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94.xml"/></Relationships>
</file>

<file path=word/charts/_rels/chart96.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95.xml"/></Relationships>
</file>

<file path=word/charts/_rels/chart97.xml.rels><?xml version="1.0" encoding="UTF-8" standalone="yes"?>
<Relationships xmlns="http://schemas.openxmlformats.org/package/2006/relationships"><Relationship Id="rId1" Type="http://schemas.openxmlformats.org/officeDocument/2006/relationships/oleObject" Target="PHD:PHD:DISSERTATION:Dissertation%20Data.xlsx" TargetMode="External"/><Relationship Id="rId2" Type="http://schemas.openxmlformats.org/officeDocument/2006/relationships/chartUserShapes" Target="../drawings/drawing9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222497553780185"/>
          <c:y val="0.0333333333333333"/>
          <c:w val="0.70072403595633"/>
          <c:h val="0.782747156605424"/>
        </c:manualLayout>
      </c:layout>
      <c:scatterChart>
        <c:scatterStyle val="lineMarker"/>
        <c:varyColors val="0"/>
        <c:ser>
          <c:idx val="0"/>
          <c:order val="0"/>
          <c:tx>
            <c:v>Quartz / BMI</c:v>
          </c:tx>
          <c:spPr>
            <a:ln w="47625">
              <a:noFill/>
            </a:ln>
            <a:effectLst/>
          </c:spPr>
          <c:marker>
            <c:symbol val="square"/>
            <c:size val="10"/>
            <c:spPr>
              <a:solidFill>
                <a:srgbClr val="0070C0">
                  <a:alpha val="50000"/>
                </a:srgbClr>
              </a:solidFill>
              <a:ln w="12700">
                <a:solidFill>
                  <a:schemeClr val="tx1"/>
                </a:solidFill>
              </a:ln>
              <a:effectLst/>
            </c:spPr>
          </c:marker>
          <c:trendline>
            <c:spPr>
              <a:ln w="19050">
                <a:solidFill>
                  <a:srgbClr val="0070C0"/>
                </a:solidFill>
              </a:ln>
            </c:spPr>
            <c:trendlineType val="exp"/>
            <c:dispRSqr val="0"/>
            <c:dispEq val="0"/>
          </c:trendline>
          <c:errBars>
            <c:errDir val="y"/>
            <c:errBarType val="both"/>
            <c:errValType val="cust"/>
            <c:noEndCap val="0"/>
            <c:plus>
              <c:numRef>
                <c:f>'Prepreg Moisture Content'!$D$3:$D$6</c:f>
                <c:numCache>
                  <c:formatCode>General</c:formatCode>
                  <c:ptCount val="4"/>
                  <c:pt idx="0">
                    <c:v>0.032</c:v>
                  </c:pt>
                  <c:pt idx="1">
                    <c:v>0.018</c:v>
                  </c:pt>
                  <c:pt idx="2">
                    <c:v>0.036</c:v>
                  </c:pt>
                  <c:pt idx="3">
                    <c:v>0.046</c:v>
                  </c:pt>
                </c:numCache>
              </c:numRef>
            </c:plus>
            <c:minus>
              <c:numRef>
                <c:f>'Prepreg Moisture Content'!$D$3:$D$6</c:f>
                <c:numCache>
                  <c:formatCode>General</c:formatCode>
                  <c:ptCount val="4"/>
                  <c:pt idx="0">
                    <c:v>0.032</c:v>
                  </c:pt>
                  <c:pt idx="1">
                    <c:v>0.018</c:v>
                  </c:pt>
                  <c:pt idx="2">
                    <c:v>0.036</c:v>
                  </c:pt>
                  <c:pt idx="3">
                    <c:v>0.046</c:v>
                  </c:pt>
                </c:numCache>
              </c:numRef>
            </c:minus>
            <c:spPr>
              <a:ln w="19050"/>
            </c:spPr>
          </c:errBars>
          <c:xVal>
            <c:numLit>
              <c:formatCode>General</c:formatCode>
              <c:ptCount val="4"/>
              <c:pt idx="0">
                <c:v>2.0</c:v>
              </c:pt>
              <c:pt idx="1">
                <c:v>40.0</c:v>
              </c:pt>
              <c:pt idx="2">
                <c:v>70.0</c:v>
              </c:pt>
              <c:pt idx="3">
                <c:v>99.0</c:v>
              </c:pt>
            </c:numLit>
          </c:xVal>
          <c:yVal>
            <c:numRef>
              <c:f>'Prepreg Moisture Content'!$B$3:$B$6</c:f>
              <c:numCache>
                <c:formatCode>General</c:formatCode>
                <c:ptCount val="4"/>
                <c:pt idx="0">
                  <c:v>0.076</c:v>
                </c:pt>
                <c:pt idx="1">
                  <c:v>0.16</c:v>
                </c:pt>
                <c:pt idx="2">
                  <c:v>0.323</c:v>
                </c:pt>
                <c:pt idx="3">
                  <c:v>0.569</c:v>
                </c:pt>
              </c:numCache>
            </c:numRef>
          </c:yVal>
          <c:smooth val="0"/>
        </c:ser>
        <c:dLbls>
          <c:showLegendKey val="0"/>
          <c:showVal val="0"/>
          <c:showCatName val="0"/>
          <c:showSerName val="0"/>
          <c:showPercent val="0"/>
          <c:showBubbleSize val="0"/>
        </c:dLbls>
        <c:axId val="475512168"/>
        <c:axId val="475522056"/>
      </c:scatterChart>
      <c:valAx>
        <c:axId val="475512168"/>
        <c:scaling>
          <c:orientation val="minMax"/>
          <c:max val="100.0"/>
          <c:min val="0.0"/>
        </c:scaling>
        <c:delete val="0"/>
        <c:axPos val="b"/>
        <c:title>
          <c:tx>
            <c:rich>
              <a:bodyPr/>
              <a:lstStyle/>
              <a:p>
                <a:pPr>
                  <a:defRPr/>
                </a:pPr>
                <a:r>
                  <a:rPr lang="en-US"/>
                  <a:t>Conditioning</a:t>
                </a:r>
                <a:r>
                  <a:rPr lang="en-US" baseline="0"/>
                  <a:t> Level (% RH)</a:t>
                </a:r>
                <a:endParaRPr lang="en-US"/>
              </a:p>
            </c:rich>
          </c:tx>
          <c:layout/>
          <c:overlay val="0"/>
        </c:title>
        <c:numFmt formatCode="General" sourceLinked="1"/>
        <c:majorTickMark val="out"/>
        <c:minorTickMark val="in"/>
        <c:tickLblPos val="nextTo"/>
        <c:spPr>
          <a:ln w="19050" cmpd="sng">
            <a:solidFill>
              <a:schemeClr val="tx1"/>
            </a:solidFill>
          </a:ln>
        </c:spPr>
        <c:crossAx val="475522056"/>
        <c:crosses val="autoZero"/>
        <c:crossBetween val="midCat"/>
        <c:majorUnit val="20.0"/>
        <c:minorUnit val="5.0"/>
      </c:valAx>
      <c:valAx>
        <c:axId val="475522056"/>
        <c:scaling>
          <c:orientation val="minMax"/>
          <c:max val="0.65"/>
          <c:min val="0.0"/>
        </c:scaling>
        <c:delete val="0"/>
        <c:axPos val="l"/>
        <c:title>
          <c:tx>
            <c:rich>
              <a:bodyPr rot="-5400000" vert="horz"/>
              <a:lstStyle/>
              <a:p>
                <a:pPr>
                  <a:defRPr/>
                </a:pPr>
                <a:r>
                  <a:rPr lang="en-US"/>
                  <a:t>Moisture Content (% wt)</a:t>
                </a:r>
              </a:p>
            </c:rich>
          </c:tx>
          <c:layout/>
          <c:overlay val="0"/>
        </c:title>
        <c:numFmt formatCode="General" sourceLinked="1"/>
        <c:majorTickMark val="out"/>
        <c:minorTickMark val="in"/>
        <c:tickLblPos val="nextTo"/>
        <c:spPr>
          <a:ln w="19050" cmpd="sng">
            <a:solidFill>
              <a:schemeClr val="tx1"/>
            </a:solidFill>
          </a:ln>
        </c:spPr>
        <c:crossAx val="475512168"/>
        <c:crosses val="autoZero"/>
        <c:crossBetween val="midCat"/>
        <c:minorUnit val="0.025"/>
      </c:valAx>
      <c:spPr>
        <a:ln w="19050" cmpd="sng">
          <a:solidFill>
            <a:srgbClr val="000000"/>
          </a:solidFill>
        </a:ln>
      </c:spPr>
    </c:plotArea>
    <c:legend>
      <c:legendPos val="r"/>
      <c:legendEntry>
        <c:idx val="1"/>
        <c:delete val="1"/>
      </c:legendEntry>
      <c:layout>
        <c:manualLayout>
          <c:xMode val="edge"/>
          <c:yMode val="edge"/>
          <c:x val="0.226814854521813"/>
          <c:y val="0.0965179352580927"/>
          <c:w val="0.396036879559526"/>
          <c:h val="0.0986307961504812"/>
        </c:manualLayout>
      </c:layout>
      <c:overlay val="1"/>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2272715824627"/>
          <c:y val="0.0333333333333333"/>
          <c:w val="0.695950007273815"/>
          <c:h val="0.782747156605424"/>
        </c:manualLayout>
      </c:layout>
      <c:scatterChart>
        <c:scatterStyle val="lineMarker"/>
        <c:varyColors val="0"/>
        <c:ser>
          <c:idx val="0"/>
          <c:order val="0"/>
          <c:tx>
            <c:v>Quartz / Epoxy</c:v>
          </c:tx>
          <c:spPr>
            <a:ln w="47625">
              <a:noFill/>
            </a:ln>
            <a:effectLst/>
          </c:spPr>
          <c:marker>
            <c:symbol val="circle"/>
            <c:size val="10"/>
            <c:spPr>
              <a:solidFill>
                <a:srgbClr val="C00000">
                  <a:alpha val="50000"/>
                </a:srgbClr>
              </a:solidFill>
              <a:ln w="12700">
                <a:solidFill>
                  <a:schemeClr val="tx1"/>
                </a:solidFill>
              </a:ln>
              <a:effectLst/>
            </c:spPr>
          </c:marker>
          <c:trendline>
            <c:spPr>
              <a:ln w="19050">
                <a:solidFill>
                  <a:srgbClr val="C00000"/>
                </a:solidFill>
              </a:ln>
            </c:spPr>
            <c:trendlineType val="exp"/>
            <c:dispRSqr val="0"/>
            <c:dispEq val="0"/>
          </c:trendline>
          <c:errBars>
            <c:errDir val="y"/>
            <c:errBarType val="both"/>
            <c:errValType val="cust"/>
            <c:noEndCap val="0"/>
            <c:plus>
              <c:numRef>
                <c:f>'Prepreg Moisture Content'!$G$3:$G$6</c:f>
                <c:numCache>
                  <c:formatCode>General</c:formatCode>
                  <c:ptCount val="4"/>
                  <c:pt idx="0">
                    <c:v>0.02</c:v>
                  </c:pt>
                  <c:pt idx="1">
                    <c:v>0.014</c:v>
                  </c:pt>
                  <c:pt idx="2">
                    <c:v>0.01</c:v>
                  </c:pt>
                  <c:pt idx="3">
                    <c:v>0.008</c:v>
                  </c:pt>
                </c:numCache>
              </c:numRef>
            </c:plus>
            <c:minus>
              <c:numRef>
                <c:f>'Prepreg Moisture Content'!$G$3:$G$6</c:f>
                <c:numCache>
                  <c:formatCode>General</c:formatCode>
                  <c:ptCount val="4"/>
                  <c:pt idx="0">
                    <c:v>0.02</c:v>
                  </c:pt>
                  <c:pt idx="1">
                    <c:v>0.014</c:v>
                  </c:pt>
                  <c:pt idx="2">
                    <c:v>0.01</c:v>
                  </c:pt>
                  <c:pt idx="3">
                    <c:v>0.008</c:v>
                  </c:pt>
                </c:numCache>
              </c:numRef>
            </c:minus>
            <c:spPr>
              <a:ln w="19050">
                <a:solidFill>
                  <a:srgbClr val="800000"/>
                </a:solidFill>
              </a:ln>
            </c:spPr>
          </c:errBars>
          <c:xVal>
            <c:numLit>
              <c:formatCode>General</c:formatCode>
              <c:ptCount val="4"/>
              <c:pt idx="0">
                <c:v>2.0</c:v>
              </c:pt>
              <c:pt idx="1">
                <c:v>40.0</c:v>
              </c:pt>
              <c:pt idx="2">
                <c:v>70.0</c:v>
              </c:pt>
              <c:pt idx="3">
                <c:v>99.0</c:v>
              </c:pt>
            </c:numLit>
          </c:xVal>
          <c:yVal>
            <c:numRef>
              <c:f>'Prepreg Moisture Content'!$E$3:$E$6</c:f>
              <c:numCache>
                <c:formatCode>General</c:formatCode>
                <c:ptCount val="4"/>
                <c:pt idx="0">
                  <c:v>0.041</c:v>
                </c:pt>
                <c:pt idx="1">
                  <c:v>0.046</c:v>
                </c:pt>
                <c:pt idx="2">
                  <c:v>0.068</c:v>
                </c:pt>
                <c:pt idx="3">
                  <c:v>0.077</c:v>
                </c:pt>
              </c:numCache>
            </c:numRef>
          </c:yVal>
          <c:smooth val="0"/>
        </c:ser>
        <c:ser>
          <c:idx val="1"/>
          <c:order val="1"/>
          <c:tx>
            <c:v>Carbon / Epoxy</c:v>
          </c:tx>
          <c:spPr>
            <a:ln w="47625">
              <a:noFill/>
            </a:ln>
            <a:effectLst/>
          </c:spPr>
          <c:marker>
            <c:symbol val="triangle"/>
            <c:size val="10"/>
            <c:spPr>
              <a:solidFill>
                <a:srgbClr val="00B050">
                  <a:alpha val="50000"/>
                </a:srgbClr>
              </a:solidFill>
              <a:ln w="15875">
                <a:solidFill>
                  <a:schemeClr val="tx1"/>
                </a:solidFill>
              </a:ln>
              <a:effectLst/>
            </c:spPr>
          </c:marker>
          <c:trendline>
            <c:spPr>
              <a:ln w="19050">
                <a:solidFill>
                  <a:srgbClr val="00B050"/>
                </a:solidFill>
              </a:ln>
            </c:spPr>
            <c:trendlineType val="exp"/>
            <c:dispRSqr val="0"/>
            <c:dispEq val="0"/>
          </c:trendline>
          <c:errBars>
            <c:errDir val="y"/>
            <c:errBarType val="both"/>
            <c:errValType val="cust"/>
            <c:noEndCap val="0"/>
            <c:plus>
              <c:numRef>
                <c:f>'Prepreg Moisture Content'!$J$3:$J$6</c:f>
                <c:numCache>
                  <c:formatCode>General</c:formatCode>
                  <c:ptCount val="4"/>
                  <c:pt idx="0">
                    <c:v>0.009</c:v>
                  </c:pt>
                  <c:pt idx="1">
                    <c:v>0.027</c:v>
                  </c:pt>
                  <c:pt idx="2">
                    <c:v>0.025</c:v>
                  </c:pt>
                  <c:pt idx="3">
                    <c:v>0.04</c:v>
                  </c:pt>
                </c:numCache>
              </c:numRef>
            </c:plus>
            <c:minus>
              <c:numRef>
                <c:f>'Prepreg Moisture Content'!$J$3:$J$6</c:f>
                <c:numCache>
                  <c:formatCode>General</c:formatCode>
                  <c:ptCount val="4"/>
                  <c:pt idx="0">
                    <c:v>0.009</c:v>
                  </c:pt>
                  <c:pt idx="1">
                    <c:v>0.027</c:v>
                  </c:pt>
                  <c:pt idx="2">
                    <c:v>0.025</c:v>
                  </c:pt>
                  <c:pt idx="3">
                    <c:v>0.04</c:v>
                  </c:pt>
                </c:numCache>
              </c:numRef>
            </c:minus>
            <c:spPr>
              <a:ln w="19050">
                <a:solidFill>
                  <a:srgbClr val="008000"/>
                </a:solidFill>
              </a:ln>
            </c:spPr>
          </c:errBars>
          <c:xVal>
            <c:numLit>
              <c:formatCode>General</c:formatCode>
              <c:ptCount val="4"/>
              <c:pt idx="0">
                <c:v>2.0</c:v>
              </c:pt>
              <c:pt idx="1">
                <c:v>40.0</c:v>
              </c:pt>
              <c:pt idx="2">
                <c:v>70.0</c:v>
              </c:pt>
              <c:pt idx="3">
                <c:v>99.0</c:v>
              </c:pt>
            </c:numLit>
          </c:xVal>
          <c:yVal>
            <c:numRef>
              <c:f>'Prepreg Moisture Content'!$H$3:$H$6</c:f>
              <c:numCache>
                <c:formatCode>General</c:formatCode>
                <c:ptCount val="4"/>
                <c:pt idx="0">
                  <c:v>0.043</c:v>
                </c:pt>
                <c:pt idx="1">
                  <c:v>0.07</c:v>
                </c:pt>
                <c:pt idx="2">
                  <c:v>0.083</c:v>
                </c:pt>
                <c:pt idx="3">
                  <c:v>0.121</c:v>
                </c:pt>
              </c:numCache>
            </c:numRef>
          </c:yVal>
          <c:smooth val="0"/>
        </c:ser>
        <c:dLbls>
          <c:showLegendKey val="0"/>
          <c:showVal val="0"/>
          <c:showCatName val="0"/>
          <c:showSerName val="0"/>
          <c:showPercent val="0"/>
          <c:showBubbleSize val="0"/>
        </c:dLbls>
        <c:axId val="475502168"/>
        <c:axId val="420181832"/>
      </c:scatterChart>
      <c:valAx>
        <c:axId val="475502168"/>
        <c:scaling>
          <c:orientation val="minMax"/>
          <c:max val="100.0"/>
          <c:min val="0.0"/>
        </c:scaling>
        <c:delete val="0"/>
        <c:axPos val="b"/>
        <c:title>
          <c:tx>
            <c:rich>
              <a:bodyPr/>
              <a:lstStyle/>
              <a:p>
                <a:pPr>
                  <a:defRPr/>
                </a:pPr>
                <a:r>
                  <a:rPr lang="en-US"/>
                  <a:t>Conditioning</a:t>
                </a:r>
                <a:r>
                  <a:rPr lang="en-US" baseline="0"/>
                  <a:t> Level (% RH)</a:t>
                </a:r>
                <a:endParaRPr lang="en-US"/>
              </a:p>
            </c:rich>
          </c:tx>
          <c:layout/>
          <c:overlay val="0"/>
        </c:title>
        <c:numFmt formatCode="General" sourceLinked="1"/>
        <c:majorTickMark val="out"/>
        <c:minorTickMark val="in"/>
        <c:tickLblPos val="nextTo"/>
        <c:spPr>
          <a:ln w="19050" cmpd="sng">
            <a:solidFill>
              <a:schemeClr val="tx1"/>
            </a:solidFill>
          </a:ln>
        </c:spPr>
        <c:crossAx val="420181832"/>
        <c:crosses val="autoZero"/>
        <c:crossBetween val="midCat"/>
        <c:majorUnit val="20.0"/>
        <c:minorUnit val="5.0"/>
      </c:valAx>
      <c:valAx>
        <c:axId val="420181832"/>
        <c:scaling>
          <c:orientation val="minMax"/>
          <c:max val="0.17"/>
          <c:min val="0.0"/>
        </c:scaling>
        <c:delete val="0"/>
        <c:axPos val="l"/>
        <c:title>
          <c:tx>
            <c:rich>
              <a:bodyPr rot="-5400000" vert="horz"/>
              <a:lstStyle/>
              <a:p>
                <a:pPr>
                  <a:defRPr/>
                </a:pPr>
                <a:r>
                  <a:rPr lang="en-US"/>
                  <a:t>Moisture Content (% wt)</a:t>
                </a:r>
              </a:p>
            </c:rich>
          </c:tx>
          <c:layout/>
          <c:overlay val="0"/>
        </c:title>
        <c:numFmt formatCode="General" sourceLinked="1"/>
        <c:majorTickMark val="out"/>
        <c:minorTickMark val="in"/>
        <c:tickLblPos val="nextTo"/>
        <c:spPr>
          <a:ln w="19050" cmpd="sng">
            <a:solidFill>
              <a:schemeClr val="tx1"/>
            </a:solidFill>
          </a:ln>
        </c:spPr>
        <c:crossAx val="475502168"/>
        <c:crosses val="autoZero"/>
        <c:crossBetween val="midCat"/>
        <c:majorUnit val="0.05"/>
        <c:minorUnit val="0.01"/>
      </c:valAx>
      <c:spPr>
        <a:ln w="19050" cmpd="sng">
          <a:solidFill>
            <a:srgbClr val="000000"/>
          </a:solidFill>
        </a:ln>
      </c:spPr>
    </c:plotArea>
    <c:legend>
      <c:legendPos val="r"/>
      <c:legendEntry>
        <c:idx val="2"/>
        <c:delete val="1"/>
      </c:legendEntry>
      <c:legendEntry>
        <c:idx val="3"/>
        <c:delete val="1"/>
      </c:legendEntry>
      <c:layout>
        <c:manualLayout>
          <c:xMode val="edge"/>
          <c:yMode val="edge"/>
          <c:x val="0.226814854521813"/>
          <c:y val="0.0965179352580927"/>
          <c:w val="0.456476834495703"/>
          <c:h val="0.150965296004666"/>
        </c:manualLayout>
      </c:layout>
      <c:overlay val="1"/>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0879629629628"/>
          <c:y val="0.0550925925925927"/>
          <c:w val="0.709675925925926"/>
          <c:h val="0.772546660834062"/>
        </c:manualLayout>
      </c:layout>
      <c:scatterChart>
        <c:scatterStyle val="lineMarker"/>
        <c:varyColors val="0"/>
        <c:ser>
          <c:idx val="0"/>
          <c:order val="0"/>
          <c:tx>
            <c:v>BMI Cure Cycle</c:v>
          </c:tx>
          <c:spPr>
            <a:ln>
              <a:solidFill>
                <a:sysClr val="windowText" lastClr="000000"/>
              </a:solidFill>
            </a:ln>
          </c:spPr>
          <c:marker>
            <c:symbol val="none"/>
          </c:marker>
          <c:xVal>
            <c:numRef>
              <c:f>'Cure Cycle'!$B$3:$B$7</c:f>
              <c:numCache>
                <c:formatCode>General</c:formatCode>
                <c:ptCount val="5"/>
                <c:pt idx="0">
                  <c:v>0.0</c:v>
                </c:pt>
                <c:pt idx="1">
                  <c:v>30.0</c:v>
                </c:pt>
                <c:pt idx="2">
                  <c:v>81.0</c:v>
                </c:pt>
                <c:pt idx="3">
                  <c:v>321.0</c:v>
                </c:pt>
                <c:pt idx="4">
                  <c:v>351.0</c:v>
                </c:pt>
              </c:numCache>
            </c:numRef>
          </c:xVal>
          <c:yVal>
            <c:numRef>
              <c:f>'Cure Cycle'!$C$3:$C$7</c:f>
              <c:numCache>
                <c:formatCode>General</c:formatCode>
                <c:ptCount val="5"/>
                <c:pt idx="0">
                  <c:v>38.0</c:v>
                </c:pt>
                <c:pt idx="1">
                  <c:v>38.0</c:v>
                </c:pt>
                <c:pt idx="2">
                  <c:v>191.0</c:v>
                </c:pt>
                <c:pt idx="3">
                  <c:v>191.0</c:v>
                </c:pt>
                <c:pt idx="4">
                  <c:v>66.0</c:v>
                </c:pt>
              </c:numCache>
            </c:numRef>
          </c:yVal>
          <c:smooth val="0"/>
        </c:ser>
        <c:dLbls>
          <c:showLegendKey val="0"/>
          <c:showVal val="0"/>
          <c:showCatName val="0"/>
          <c:showSerName val="0"/>
          <c:showPercent val="0"/>
          <c:showBubbleSize val="0"/>
        </c:dLbls>
        <c:axId val="541992328"/>
        <c:axId val="541981288"/>
      </c:scatterChart>
      <c:valAx>
        <c:axId val="541992328"/>
        <c:scaling>
          <c:orientation val="minMax"/>
          <c:max val="390.0"/>
          <c:min val="0.0"/>
        </c:scaling>
        <c:delete val="0"/>
        <c:axPos val="b"/>
        <c:title>
          <c:tx>
            <c:rich>
              <a:bodyPr/>
              <a:lstStyle/>
              <a:p>
                <a:pPr>
                  <a:defRPr sz="1200" b="1">
                    <a:latin typeface="Times New Roman" pitchFamily="18" charset="0"/>
                    <a:cs typeface="Times New Roman" pitchFamily="18" charset="0"/>
                  </a:defRPr>
                </a:pPr>
                <a:r>
                  <a:rPr lang="en-US" sz="1200" b="1">
                    <a:latin typeface="Times New Roman" pitchFamily="18" charset="0"/>
                    <a:cs typeface="Times New Roman" pitchFamily="18" charset="0"/>
                  </a:rPr>
                  <a:t>Time (min)</a:t>
                </a:r>
              </a:p>
            </c:rich>
          </c:tx>
          <c:layout/>
          <c:overlay val="0"/>
        </c:title>
        <c:numFmt formatCode="General" sourceLinked="1"/>
        <c:majorTickMark val="out"/>
        <c:minorTickMark val="in"/>
        <c:tickLblPos val="nextTo"/>
        <c:spPr>
          <a:ln>
            <a:solidFill>
              <a:sysClr val="windowText" lastClr="000000"/>
            </a:solidFill>
          </a:ln>
        </c:spPr>
        <c:txPr>
          <a:bodyPr/>
          <a:lstStyle/>
          <a:p>
            <a:pPr>
              <a:defRPr sz="1200" b="0">
                <a:latin typeface="Times New Roman" pitchFamily="18" charset="0"/>
                <a:cs typeface="Times New Roman" pitchFamily="18" charset="0"/>
              </a:defRPr>
            </a:pPr>
            <a:endParaRPr lang="en-US"/>
          </a:p>
        </c:txPr>
        <c:crossAx val="541981288"/>
        <c:crosses val="autoZero"/>
        <c:crossBetween val="midCat"/>
        <c:majorUnit val="60.0"/>
        <c:minorUnit val="30.0"/>
      </c:valAx>
      <c:valAx>
        <c:axId val="541981288"/>
        <c:scaling>
          <c:orientation val="minMax"/>
          <c:max val="250.0"/>
        </c:scaling>
        <c:delete val="0"/>
        <c:axPos val="l"/>
        <c:title>
          <c:tx>
            <c:rich>
              <a:bodyPr rot="-5400000" vert="horz"/>
              <a:lstStyle/>
              <a:p>
                <a:pPr>
                  <a:defRPr sz="1200" b="1">
                    <a:latin typeface="Times New Roman" pitchFamily="18" charset="0"/>
                    <a:cs typeface="Times New Roman" pitchFamily="18" charset="0"/>
                  </a:defRPr>
                </a:pPr>
                <a:r>
                  <a:rPr lang="en-US" sz="1200" b="1">
                    <a:latin typeface="Times New Roman" pitchFamily="18" charset="0"/>
                    <a:cs typeface="Times New Roman" pitchFamily="18" charset="0"/>
                  </a:rPr>
                  <a:t>Temperature (°C)</a:t>
                </a:r>
              </a:p>
            </c:rich>
          </c:tx>
          <c:layout/>
          <c:overlay val="0"/>
        </c:title>
        <c:numFmt formatCode="General" sourceLinked="1"/>
        <c:majorTickMark val="out"/>
        <c:minorTickMark val="in"/>
        <c:tickLblPos val="nextTo"/>
        <c:spPr>
          <a:ln>
            <a:solidFill>
              <a:schemeClr val="tx1"/>
            </a:solidFill>
          </a:ln>
        </c:spPr>
        <c:txPr>
          <a:bodyPr/>
          <a:lstStyle/>
          <a:p>
            <a:pPr>
              <a:defRPr sz="1200" b="0">
                <a:latin typeface="Times New Roman" pitchFamily="18" charset="0"/>
                <a:cs typeface="Times New Roman" pitchFamily="18" charset="0"/>
              </a:defRPr>
            </a:pPr>
            <a:endParaRPr lang="en-US"/>
          </a:p>
        </c:txPr>
        <c:crossAx val="541992328"/>
        <c:crosses val="autoZero"/>
        <c:crossBetween val="midCat"/>
      </c:valAx>
      <c:spPr>
        <a:ln w="19050">
          <a:solidFill>
            <a:sysClr val="windowText" lastClr="000000"/>
          </a:solidFill>
        </a:ln>
      </c:spPr>
    </c:plotArea>
    <c:plotVisOnly val="1"/>
    <c:dispBlanksAs val="gap"/>
    <c:showDLblsOverMax val="0"/>
  </c:chart>
  <c:spPr>
    <a:ln>
      <a:noFill/>
    </a:ln>
  </c:sp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0879629629628"/>
          <c:y val="0.0550925925925927"/>
          <c:w val="0.709675925925926"/>
          <c:h val="0.772546660834062"/>
        </c:manualLayout>
      </c:layout>
      <c:scatterChart>
        <c:scatterStyle val="lineMarker"/>
        <c:varyColors val="0"/>
        <c:ser>
          <c:idx val="0"/>
          <c:order val="0"/>
          <c:spPr>
            <a:ln>
              <a:solidFill>
                <a:sysClr val="windowText" lastClr="000000"/>
              </a:solidFill>
            </a:ln>
          </c:spPr>
          <c:marker>
            <c:symbol val="none"/>
          </c:marker>
          <c:xVal>
            <c:numRef>
              <c:f>'Cure Cycle'!$B$19:$B$22</c:f>
              <c:numCache>
                <c:formatCode>General</c:formatCode>
                <c:ptCount val="4"/>
                <c:pt idx="0">
                  <c:v>0.0</c:v>
                </c:pt>
                <c:pt idx="1">
                  <c:v>46.33333333333334</c:v>
                </c:pt>
                <c:pt idx="2">
                  <c:v>166.3333333333333</c:v>
                </c:pt>
                <c:pt idx="3">
                  <c:v>196.3333333333333</c:v>
                </c:pt>
              </c:numCache>
            </c:numRef>
          </c:xVal>
          <c:yVal>
            <c:numRef>
              <c:f>'Cure Cycle'!$C$19:$C$22</c:f>
              <c:numCache>
                <c:formatCode>General</c:formatCode>
                <c:ptCount val="4"/>
                <c:pt idx="0">
                  <c:v>38.0</c:v>
                </c:pt>
                <c:pt idx="1">
                  <c:v>177.0</c:v>
                </c:pt>
                <c:pt idx="2">
                  <c:v>177.0</c:v>
                </c:pt>
                <c:pt idx="3">
                  <c:v>66.0</c:v>
                </c:pt>
              </c:numCache>
            </c:numRef>
          </c:yVal>
          <c:smooth val="0"/>
        </c:ser>
        <c:dLbls>
          <c:showLegendKey val="0"/>
          <c:showVal val="0"/>
          <c:showCatName val="0"/>
          <c:showSerName val="0"/>
          <c:showPercent val="0"/>
          <c:showBubbleSize val="0"/>
        </c:dLbls>
        <c:axId val="541996424"/>
        <c:axId val="541982792"/>
      </c:scatterChart>
      <c:valAx>
        <c:axId val="541996424"/>
        <c:scaling>
          <c:orientation val="minMax"/>
          <c:max val="210.0"/>
          <c:min val="0.0"/>
        </c:scaling>
        <c:delete val="0"/>
        <c:axPos val="b"/>
        <c:title>
          <c:tx>
            <c:rich>
              <a:bodyPr/>
              <a:lstStyle/>
              <a:p>
                <a:pPr>
                  <a:defRPr sz="1200" b="1">
                    <a:latin typeface="Times New Roman" pitchFamily="18" charset="0"/>
                    <a:cs typeface="Times New Roman" pitchFamily="18" charset="0"/>
                  </a:defRPr>
                </a:pPr>
                <a:r>
                  <a:rPr lang="en-US" sz="1200" b="1">
                    <a:latin typeface="Times New Roman" pitchFamily="18" charset="0"/>
                    <a:cs typeface="Times New Roman" pitchFamily="18" charset="0"/>
                  </a:rPr>
                  <a:t>Time (min)</a:t>
                </a:r>
              </a:p>
            </c:rich>
          </c:tx>
          <c:layout/>
          <c:overlay val="0"/>
        </c:title>
        <c:numFmt formatCode="General" sourceLinked="1"/>
        <c:majorTickMark val="out"/>
        <c:minorTickMark val="in"/>
        <c:tickLblPos val="nextTo"/>
        <c:spPr>
          <a:ln>
            <a:solidFill>
              <a:sysClr val="windowText" lastClr="000000"/>
            </a:solidFill>
          </a:ln>
        </c:spPr>
        <c:txPr>
          <a:bodyPr/>
          <a:lstStyle/>
          <a:p>
            <a:pPr>
              <a:defRPr sz="1200" b="0">
                <a:latin typeface="Times New Roman" pitchFamily="18" charset="0"/>
                <a:cs typeface="Times New Roman" pitchFamily="18" charset="0"/>
              </a:defRPr>
            </a:pPr>
            <a:endParaRPr lang="en-US"/>
          </a:p>
        </c:txPr>
        <c:crossAx val="541982792"/>
        <c:crosses val="autoZero"/>
        <c:crossBetween val="midCat"/>
        <c:majorUnit val="60.0"/>
        <c:minorUnit val="30.0"/>
      </c:valAx>
      <c:valAx>
        <c:axId val="541982792"/>
        <c:scaling>
          <c:orientation val="minMax"/>
          <c:max val="250.0"/>
        </c:scaling>
        <c:delete val="0"/>
        <c:axPos val="l"/>
        <c:title>
          <c:tx>
            <c:rich>
              <a:bodyPr rot="-5400000" vert="horz"/>
              <a:lstStyle/>
              <a:p>
                <a:pPr>
                  <a:defRPr sz="1200" b="1">
                    <a:latin typeface="Times New Roman" pitchFamily="18" charset="0"/>
                    <a:cs typeface="Times New Roman" pitchFamily="18" charset="0"/>
                  </a:defRPr>
                </a:pPr>
                <a:r>
                  <a:rPr lang="en-US" sz="1200" b="1">
                    <a:latin typeface="Times New Roman" pitchFamily="18" charset="0"/>
                    <a:cs typeface="Times New Roman" pitchFamily="18" charset="0"/>
                  </a:rPr>
                  <a:t>Temperature (°C)</a:t>
                </a:r>
              </a:p>
            </c:rich>
          </c:tx>
          <c:layout/>
          <c:overlay val="0"/>
        </c:title>
        <c:numFmt formatCode="General" sourceLinked="1"/>
        <c:majorTickMark val="out"/>
        <c:minorTickMark val="in"/>
        <c:tickLblPos val="nextTo"/>
        <c:spPr>
          <a:ln>
            <a:solidFill>
              <a:schemeClr val="tx1"/>
            </a:solidFill>
          </a:ln>
        </c:spPr>
        <c:txPr>
          <a:bodyPr/>
          <a:lstStyle/>
          <a:p>
            <a:pPr>
              <a:defRPr sz="1200" b="0">
                <a:latin typeface="Times New Roman" pitchFamily="18" charset="0"/>
                <a:cs typeface="Times New Roman" pitchFamily="18" charset="0"/>
              </a:defRPr>
            </a:pPr>
            <a:endParaRPr lang="en-US"/>
          </a:p>
        </c:txPr>
        <c:crossAx val="541996424"/>
        <c:crosses val="autoZero"/>
        <c:crossBetween val="midCat"/>
      </c:valAx>
      <c:spPr>
        <a:ln w="19050">
          <a:solidFill>
            <a:sysClr val="windowText" lastClr="000000"/>
          </a:solidFill>
        </a:ln>
      </c:spPr>
    </c:plotArea>
    <c:plotVisOnly val="1"/>
    <c:dispBlanksAs val="gap"/>
    <c:showDLblsOverMax val="0"/>
  </c:chart>
  <c:spPr>
    <a:ln>
      <a:noFill/>
    </a:ln>
  </c:sp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2238407699038"/>
          <c:y val="0.0333333333333333"/>
          <c:w val="0.822435258092738"/>
          <c:h val="0.777413240011665"/>
        </c:manualLayout>
      </c:layout>
      <c:scatterChart>
        <c:scatterStyle val="lineMarker"/>
        <c:varyColors val="0"/>
        <c:ser>
          <c:idx val="0"/>
          <c:order val="0"/>
          <c:tx>
            <c:v>Quartz / BMI</c:v>
          </c:tx>
          <c:spPr>
            <a:ln w="28575">
              <a:noFill/>
            </a:ln>
          </c:spPr>
          <c:marker>
            <c:symbol val="square"/>
            <c:size val="10"/>
            <c:spPr>
              <a:solidFill>
                <a:srgbClr val="0070C0"/>
              </a:solidFill>
              <a:ln w="12700">
                <a:solidFill>
                  <a:schemeClr val="tx1"/>
                </a:solidFill>
              </a:ln>
            </c:spPr>
          </c:marker>
          <c:trendline>
            <c:spPr>
              <a:ln w="19050">
                <a:solidFill>
                  <a:srgbClr val="0070C0"/>
                </a:solidFill>
              </a:ln>
            </c:spPr>
            <c:trendlineType val="power"/>
            <c:dispRSqr val="0"/>
            <c:dispEq val="0"/>
          </c:trendline>
          <c:errBars>
            <c:errDir val="y"/>
            <c:errBarType val="both"/>
            <c:errValType val="cust"/>
            <c:noEndCap val="0"/>
            <c:plus>
              <c:numRef>
                <c:f>'Laminate Thickness'!$D$3:$D$6</c:f>
                <c:numCache>
                  <c:formatCode>General</c:formatCode>
                  <c:ptCount val="4"/>
                </c:numCache>
              </c:numRef>
            </c:plus>
            <c:minus>
              <c:numRef>
                <c:f>'Laminate Thickness'!$D$3:$D$6</c:f>
                <c:numCache>
                  <c:formatCode>General</c:formatCode>
                  <c:ptCount val="4"/>
                </c:numCache>
              </c:numRef>
            </c:minus>
            <c:spPr>
              <a:ln w="19050">
                <a:solidFill>
                  <a:srgbClr val="0070C0"/>
                </a:solidFill>
              </a:ln>
            </c:spPr>
          </c:errBars>
          <c:xVal>
            <c:numLit>
              <c:formatCode>General</c:formatCode>
              <c:ptCount val="4"/>
              <c:pt idx="0">
                <c:v>68.9</c:v>
              </c:pt>
              <c:pt idx="1">
                <c:v>206.8</c:v>
              </c:pt>
              <c:pt idx="2">
                <c:v>344.7</c:v>
              </c:pt>
              <c:pt idx="3">
                <c:v>482.6</c:v>
              </c:pt>
            </c:numLit>
          </c:xVal>
          <c:yVal>
            <c:numRef>
              <c:f>'Laminate Thickness'!$B$3:$B$6</c:f>
              <c:numCache>
                <c:formatCode>General</c:formatCode>
                <c:ptCount val="4"/>
                <c:pt idx="0">
                  <c:v>2.0828</c:v>
                </c:pt>
                <c:pt idx="1">
                  <c:v>1.8288</c:v>
                </c:pt>
                <c:pt idx="2">
                  <c:v>1.7526</c:v>
                </c:pt>
                <c:pt idx="3">
                  <c:v>1.7018</c:v>
                </c:pt>
              </c:numCache>
            </c:numRef>
          </c:yVal>
          <c:smooth val="0"/>
        </c:ser>
        <c:ser>
          <c:idx val="1"/>
          <c:order val="1"/>
          <c:tx>
            <c:v>Quartz / Epoxy</c:v>
          </c:tx>
          <c:spPr>
            <a:ln w="28575">
              <a:noFill/>
            </a:ln>
          </c:spPr>
          <c:marker>
            <c:symbol val="circle"/>
            <c:size val="10"/>
            <c:spPr>
              <a:solidFill>
                <a:srgbClr val="C00000"/>
              </a:solidFill>
              <a:ln w="12700">
                <a:solidFill>
                  <a:sysClr val="windowText" lastClr="000000"/>
                </a:solidFill>
              </a:ln>
            </c:spPr>
          </c:marker>
          <c:trendline>
            <c:spPr>
              <a:ln w="19050">
                <a:solidFill>
                  <a:srgbClr val="FF0000"/>
                </a:solidFill>
              </a:ln>
            </c:spPr>
            <c:trendlineType val="power"/>
            <c:dispRSqr val="0"/>
            <c:dispEq val="0"/>
          </c:trendline>
          <c:errBars>
            <c:errDir val="y"/>
            <c:errBarType val="both"/>
            <c:errValType val="cust"/>
            <c:noEndCap val="0"/>
            <c:plus>
              <c:numRef>
                <c:f>'Laminate Thickness'!$G$3:$G$6</c:f>
                <c:numCache>
                  <c:formatCode>General</c:formatCode>
                  <c:ptCount val="4"/>
                </c:numCache>
              </c:numRef>
            </c:plus>
            <c:minus>
              <c:numRef>
                <c:f>'Laminate Thickness'!$G$3:$G$6</c:f>
                <c:numCache>
                  <c:formatCode>General</c:formatCode>
                  <c:ptCount val="4"/>
                </c:numCache>
              </c:numRef>
            </c:minus>
            <c:spPr>
              <a:ln w="19050">
                <a:solidFill>
                  <a:srgbClr val="FF0000"/>
                </a:solidFill>
              </a:ln>
            </c:spPr>
          </c:errBars>
          <c:xVal>
            <c:numLit>
              <c:formatCode>General</c:formatCode>
              <c:ptCount val="4"/>
              <c:pt idx="0">
                <c:v>68.9</c:v>
              </c:pt>
              <c:pt idx="1">
                <c:v>206.8</c:v>
              </c:pt>
              <c:pt idx="2">
                <c:v>344.7</c:v>
              </c:pt>
              <c:pt idx="3">
                <c:v>482.6</c:v>
              </c:pt>
            </c:numLit>
          </c:xVal>
          <c:yVal>
            <c:numRef>
              <c:f>'Laminate Thickness'!$E$3:$E$6</c:f>
              <c:numCache>
                <c:formatCode>General</c:formatCode>
                <c:ptCount val="4"/>
                <c:pt idx="0">
                  <c:v>2.2098</c:v>
                </c:pt>
                <c:pt idx="1">
                  <c:v>1.9812</c:v>
                </c:pt>
                <c:pt idx="2">
                  <c:v>1.8542</c:v>
                </c:pt>
                <c:pt idx="3">
                  <c:v>1.7526</c:v>
                </c:pt>
              </c:numCache>
            </c:numRef>
          </c:yVal>
          <c:smooth val="0"/>
        </c:ser>
        <c:ser>
          <c:idx val="2"/>
          <c:order val="2"/>
          <c:tx>
            <c:v>Carbon / Epoxy</c:v>
          </c:tx>
          <c:spPr>
            <a:ln w="28575">
              <a:noFill/>
            </a:ln>
          </c:spPr>
          <c:marker>
            <c:symbol val="triangle"/>
            <c:size val="10"/>
            <c:spPr>
              <a:solidFill>
                <a:srgbClr val="00B050"/>
              </a:solidFill>
              <a:ln w="12700">
                <a:solidFill>
                  <a:sysClr val="windowText" lastClr="000000"/>
                </a:solidFill>
              </a:ln>
            </c:spPr>
          </c:marker>
          <c:trendline>
            <c:spPr>
              <a:ln w="19050">
                <a:solidFill>
                  <a:srgbClr val="00B050"/>
                </a:solidFill>
              </a:ln>
            </c:spPr>
            <c:trendlineType val="power"/>
            <c:dispRSqr val="0"/>
            <c:dispEq val="0"/>
          </c:trendline>
          <c:errBars>
            <c:errDir val="y"/>
            <c:errBarType val="both"/>
            <c:errValType val="cust"/>
            <c:noEndCap val="0"/>
            <c:plus>
              <c:numRef>
                <c:f>'Laminate Thickness'!$J$3:$J$6</c:f>
                <c:numCache>
                  <c:formatCode>General</c:formatCode>
                  <c:ptCount val="4"/>
                </c:numCache>
              </c:numRef>
            </c:plus>
            <c:minus>
              <c:numRef>
                <c:f>'Laminate Thickness'!$J$3:$J$6</c:f>
                <c:numCache>
                  <c:formatCode>General</c:formatCode>
                  <c:ptCount val="4"/>
                </c:numCache>
              </c:numRef>
            </c:minus>
            <c:spPr>
              <a:ln w="19050">
                <a:solidFill>
                  <a:srgbClr val="00B050"/>
                </a:solidFill>
              </a:ln>
            </c:spPr>
          </c:errBars>
          <c:xVal>
            <c:numLit>
              <c:formatCode>General</c:formatCode>
              <c:ptCount val="4"/>
              <c:pt idx="0">
                <c:v>68.9</c:v>
              </c:pt>
              <c:pt idx="1">
                <c:v>206.8</c:v>
              </c:pt>
              <c:pt idx="2">
                <c:v>344.7</c:v>
              </c:pt>
              <c:pt idx="3">
                <c:v>482.6</c:v>
              </c:pt>
            </c:numLit>
          </c:xVal>
          <c:yVal>
            <c:numRef>
              <c:f>'Laminate Thickness'!$H$3:$H$6</c:f>
              <c:numCache>
                <c:formatCode>General</c:formatCode>
                <c:ptCount val="4"/>
                <c:pt idx="0">
                  <c:v>1.8542</c:v>
                </c:pt>
                <c:pt idx="1">
                  <c:v>1.651</c:v>
                </c:pt>
                <c:pt idx="2">
                  <c:v>1.6256</c:v>
                </c:pt>
                <c:pt idx="3">
                  <c:v>1.5748</c:v>
                </c:pt>
              </c:numCache>
            </c:numRef>
          </c:yVal>
          <c:smooth val="0"/>
        </c:ser>
        <c:dLbls>
          <c:showLegendKey val="0"/>
          <c:showVal val="0"/>
          <c:showCatName val="0"/>
          <c:showSerName val="0"/>
          <c:showPercent val="0"/>
          <c:showBubbleSize val="0"/>
        </c:dLbls>
        <c:axId val="420276648"/>
        <c:axId val="420282120"/>
      </c:scatterChart>
      <c:valAx>
        <c:axId val="420276648"/>
        <c:scaling>
          <c:orientation val="minMax"/>
          <c:max val="525.0"/>
          <c:min val="0.0"/>
        </c:scaling>
        <c:delete val="0"/>
        <c:axPos val="b"/>
        <c:title>
          <c:tx>
            <c:rich>
              <a:bodyPr/>
              <a:lstStyle/>
              <a:p>
                <a:pPr>
                  <a:defRPr/>
                </a:pPr>
                <a:r>
                  <a:rPr lang="en-US"/>
                  <a:t>Fabrication Pressure (kPa)</a:t>
                </a:r>
              </a:p>
            </c:rich>
          </c:tx>
          <c:layout/>
          <c:overlay val="0"/>
        </c:title>
        <c:numFmt formatCode="#,##0" sourceLinked="0"/>
        <c:majorTickMark val="out"/>
        <c:minorTickMark val="in"/>
        <c:tickLblPos val="nextTo"/>
        <c:spPr>
          <a:ln w="19050">
            <a:solidFill>
              <a:sysClr val="windowText" lastClr="000000"/>
            </a:solidFill>
          </a:ln>
        </c:spPr>
        <c:crossAx val="420282120"/>
        <c:crosses val="autoZero"/>
        <c:crossBetween val="midCat"/>
        <c:majorUnit val="100.0"/>
        <c:minorUnit val="25.0"/>
      </c:valAx>
      <c:valAx>
        <c:axId val="420282120"/>
        <c:scaling>
          <c:orientation val="minMax"/>
          <c:max val="2.3"/>
          <c:min val="1.5"/>
        </c:scaling>
        <c:delete val="0"/>
        <c:axPos val="l"/>
        <c:title>
          <c:tx>
            <c:rich>
              <a:bodyPr rot="-5400000" vert="horz"/>
              <a:lstStyle/>
              <a:p>
                <a:pPr>
                  <a:defRPr/>
                </a:pPr>
                <a:r>
                  <a:rPr lang="en-US"/>
                  <a:t>Laminate Thickness (mm)</a:t>
                </a:r>
              </a:p>
            </c:rich>
          </c:tx>
          <c:layout/>
          <c:overlay val="0"/>
        </c:title>
        <c:numFmt formatCode="General" sourceLinked="1"/>
        <c:majorTickMark val="out"/>
        <c:minorTickMark val="in"/>
        <c:tickLblPos val="nextTo"/>
        <c:spPr>
          <a:ln w="19050">
            <a:solidFill>
              <a:sysClr val="windowText" lastClr="000000"/>
            </a:solidFill>
          </a:ln>
        </c:spPr>
        <c:crossAx val="420276648"/>
        <c:crosses val="autoZero"/>
        <c:crossBetween val="midCat"/>
        <c:majorUnit val="0.2"/>
        <c:minorUnit val="0.05"/>
      </c:valAx>
      <c:spPr>
        <a:ln w="19050">
          <a:solidFill>
            <a:sysClr val="windowText" lastClr="000000"/>
          </a:solidFill>
        </a:ln>
      </c:spPr>
    </c:plotArea>
    <c:legend>
      <c:legendPos val="t"/>
      <c:legendEntry>
        <c:idx val="3"/>
        <c:delete val="1"/>
      </c:legendEntry>
      <c:legendEntry>
        <c:idx val="4"/>
        <c:delete val="1"/>
      </c:legendEntry>
      <c:legendEntry>
        <c:idx val="5"/>
        <c:delete val="1"/>
      </c:legendEntry>
      <c:layout>
        <c:manualLayout>
          <c:xMode val="edge"/>
          <c:yMode val="edge"/>
          <c:x val="0.678019028871391"/>
          <c:y val="0.0462962962962963"/>
          <c:w val="0.263406167979003"/>
          <c:h val="0.199778361038204"/>
        </c:manualLayout>
      </c:layou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070621468927"/>
          <c:y val="0.0406923566372385"/>
          <c:w val="0.874034839924673"/>
          <c:h val="0.690469657201941"/>
        </c:manualLayout>
      </c:layout>
      <c:barChart>
        <c:barDir val="col"/>
        <c:grouping val="clustered"/>
        <c:varyColors val="0"/>
        <c:ser>
          <c:idx val="0"/>
          <c:order val="0"/>
          <c:tx>
            <c:v>68.9 kPa</c:v>
          </c:tx>
          <c:spPr>
            <a:solidFill>
              <a:srgbClr val="0070C0"/>
            </a:solidFill>
            <a:ln>
              <a:solidFill>
                <a:sysClr val="windowText" lastClr="000000"/>
              </a:solidFill>
            </a:ln>
          </c:spPr>
          <c:invertIfNegative val="0"/>
          <c:errBars>
            <c:errBarType val="both"/>
            <c:errValType val="cust"/>
            <c:noEndCap val="0"/>
            <c:plus>
              <c:numRef>
                <c:f>('Fiber and Void'!$D$4,'Fiber and Void'!$D$10,'Fiber and Void'!$D$16,'Fiber and Void'!$D$22)</c:f>
                <c:numCache>
                  <c:formatCode>General</c:formatCode>
                  <c:ptCount val="4"/>
                  <c:pt idx="0">
                    <c:v>2.882</c:v>
                  </c:pt>
                  <c:pt idx="1">
                    <c:v>2.931</c:v>
                  </c:pt>
                  <c:pt idx="2">
                    <c:v>4.514999999999989</c:v>
                  </c:pt>
                  <c:pt idx="3">
                    <c:v>4.364999999999973</c:v>
                  </c:pt>
                </c:numCache>
              </c:numRef>
            </c:plus>
            <c:minus>
              <c:numRef>
                <c:f>('Fiber and Void'!$D$4,'Fiber and Void'!$D$10,'Fiber and Void'!$D$16,'Fiber and Void'!$D$22)</c:f>
                <c:numCache>
                  <c:formatCode>General</c:formatCode>
                  <c:ptCount val="4"/>
                  <c:pt idx="0">
                    <c:v>2.882</c:v>
                  </c:pt>
                  <c:pt idx="1">
                    <c:v>2.931</c:v>
                  </c:pt>
                  <c:pt idx="2">
                    <c:v>4.514999999999989</c:v>
                  </c:pt>
                  <c:pt idx="3">
                    <c:v>4.364999999999973</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Void'!$B$4,'Fiber and Void'!$B$10,'Fiber and Void'!$B$16,'Fiber and Void'!$B$22)</c:f>
              <c:numCache>
                <c:formatCode>0.00</c:formatCode>
                <c:ptCount val="4"/>
                <c:pt idx="0">
                  <c:v>50.722</c:v>
                </c:pt>
                <c:pt idx="1">
                  <c:v>51.453</c:v>
                </c:pt>
                <c:pt idx="2">
                  <c:v>55.425</c:v>
                </c:pt>
                <c:pt idx="3">
                  <c:v>52.634</c:v>
                </c:pt>
              </c:numCache>
            </c:numRef>
          </c:val>
        </c:ser>
        <c:ser>
          <c:idx val="1"/>
          <c:order val="1"/>
          <c:tx>
            <c:v>206.8 kPa</c:v>
          </c:tx>
          <c:spPr>
            <a:solidFill>
              <a:srgbClr val="C00000"/>
            </a:solidFill>
            <a:ln>
              <a:solidFill>
                <a:sysClr val="windowText" lastClr="000000"/>
              </a:solidFill>
            </a:ln>
          </c:spPr>
          <c:invertIfNegative val="0"/>
          <c:errBars>
            <c:errBarType val="both"/>
            <c:errValType val="cust"/>
            <c:noEndCap val="0"/>
            <c:plus>
              <c:numRef>
                <c:f>('Fiber and Void'!$D$5,'Fiber and Void'!$D$11,'Fiber and Void'!$D$17,'Fiber and Void'!$D$23)</c:f>
                <c:numCache>
                  <c:formatCode>General</c:formatCode>
                  <c:ptCount val="4"/>
                  <c:pt idx="0">
                    <c:v>5.119999999999997</c:v>
                  </c:pt>
                  <c:pt idx="1">
                    <c:v>2.274</c:v>
                  </c:pt>
                  <c:pt idx="2">
                    <c:v>3.065</c:v>
                  </c:pt>
                  <c:pt idx="3">
                    <c:v>2.563</c:v>
                  </c:pt>
                </c:numCache>
              </c:numRef>
            </c:plus>
            <c:minus>
              <c:numRef>
                <c:f>('Fiber and Void'!$D$5,'Fiber and Void'!$D$11,'Fiber and Void'!$D$17,'Fiber and Void'!$D$23)</c:f>
                <c:numCache>
                  <c:formatCode>General</c:formatCode>
                  <c:ptCount val="4"/>
                  <c:pt idx="0">
                    <c:v>5.119999999999997</c:v>
                  </c:pt>
                  <c:pt idx="1">
                    <c:v>2.274</c:v>
                  </c:pt>
                  <c:pt idx="2">
                    <c:v>3.065</c:v>
                  </c:pt>
                  <c:pt idx="3">
                    <c:v>2.563</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Void'!$B$5,'Fiber and Void'!$B$11,'Fiber and Void'!$B$17,'Fiber and Void'!$B$23)</c:f>
              <c:numCache>
                <c:formatCode>0.00</c:formatCode>
                <c:ptCount val="4"/>
                <c:pt idx="0">
                  <c:v>60.67400000000001</c:v>
                </c:pt>
                <c:pt idx="1">
                  <c:v>58.97300000000001</c:v>
                </c:pt>
                <c:pt idx="2">
                  <c:v>61.995</c:v>
                </c:pt>
                <c:pt idx="3">
                  <c:v>64.939</c:v>
                </c:pt>
              </c:numCache>
            </c:numRef>
          </c:val>
        </c:ser>
        <c:ser>
          <c:idx val="2"/>
          <c:order val="2"/>
          <c:tx>
            <c:v>344.7 kPa</c:v>
          </c:tx>
          <c:spPr>
            <a:solidFill>
              <a:srgbClr val="00B050"/>
            </a:solidFill>
            <a:ln>
              <a:solidFill>
                <a:sysClr val="windowText" lastClr="000000"/>
              </a:solidFill>
            </a:ln>
          </c:spPr>
          <c:invertIfNegative val="0"/>
          <c:errBars>
            <c:errBarType val="both"/>
            <c:errValType val="cust"/>
            <c:noEndCap val="0"/>
            <c:plus>
              <c:numRef>
                <c:f>('Fiber and Void'!$D$6,'Fiber and Void'!$D$12,'Fiber and Void'!$D$18,'Fiber and Void'!$D$24)</c:f>
                <c:numCache>
                  <c:formatCode>General</c:formatCode>
                  <c:ptCount val="4"/>
                  <c:pt idx="0">
                    <c:v>2.486</c:v>
                  </c:pt>
                  <c:pt idx="1">
                    <c:v>2.158</c:v>
                  </c:pt>
                  <c:pt idx="2">
                    <c:v>1.334</c:v>
                  </c:pt>
                  <c:pt idx="3">
                    <c:v>2.561</c:v>
                  </c:pt>
                </c:numCache>
              </c:numRef>
            </c:plus>
            <c:minus>
              <c:numRef>
                <c:f>('Fiber and Void'!$D$6,'Fiber and Void'!$D$12,'Fiber and Void'!$D$18,'Fiber and Void'!$D$24)</c:f>
                <c:numCache>
                  <c:formatCode>General</c:formatCode>
                  <c:ptCount val="4"/>
                  <c:pt idx="0">
                    <c:v>2.486</c:v>
                  </c:pt>
                  <c:pt idx="1">
                    <c:v>2.158</c:v>
                  </c:pt>
                  <c:pt idx="2">
                    <c:v>1.334</c:v>
                  </c:pt>
                  <c:pt idx="3">
                    <c:v>2.561</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Void'!$B$6,'Fiber and Void'!$B$12,'Fiber and Void'!$B$18,'Fiber and Void'!$B$24)</c:f>
              <c:numCache>
                <c:formatCode>0.00</c:formatCode>
                <c:ptCount val="4"/>
                <c:pt idx="0">
                  <c:v>61.82400000000001</c:v>
                </c:pt>
                <c:pt idx="1">
                  <c:v>63.713</c:v>
                </c:pt>
                <c:pt idx="2">
                  <c:v>64.929</c:v>
                </c:pt>
                <c:pt idx="3">
                  <c:v>65.56500000000001</c:v>
                </c:pt>
              </c:numCache>
            </c:numRef>
          </c:val>
        </c:ser>
        <c:ser>
          <c:idx val="3"/>
          <c:order val="3"/>
          <c:tx>
            <c:v>482.6 kPa</c:v>
          </c:tx>
          <c:spPr>
            <a:solidFill>
              <a:srgbClr val="7030A0"/>
            </a:solidFill>
            <a:ln>
              <a:solidFill>
                <a:sysClr val="windowText" lastClr="000000"/>
              </a:solidFill>
            </a:ln>
          </c:spPr>
          <c:invertIfNegative val="0"/>
          <c:errBars>
            <c:errBarType val="both"/>
            <c:errValType val="cust"/>
            <c:noEndCap val="0"/>
            <c:plus>
              <c:numRef>
                <c:f>('Fiber and Void'!$D$7,'Fiber and Void'!$D$13,'Fiber and Void'!$D$19,'Fiber and Void'!$D$25)</c:f>
                <c:numCache>
                  <c:formatCode>General</c:formatCode>
                  <c:ptCount val="4"/>
                  <c:pt idx="0">
                    <c:v>1.327</c:v>
                  </c:pt>
                  <c:pt idx="1">
                    <c:v>3.65</c:v>
                  </c:pt>
                  <c:pt idx="2">
                    <c:v>2.788</c:v>
                  </c:pt>
                  <c:pt idx="3">
                    <c:v>0.984</c:v>
                  </c:pt>
                </c:numCache>
              </c:numRef>
            </c:plus>
            <c:minus>
              <c:numRef>
                <c:f>('Fiber and Void'!$D$7,'Fiber and Void'!$D$13,'Fiber and Void'!$D$19,'Fiber and Void'!$D$25)</c:f>
                <c:numCache>
                  <c:formatCode>General</c:formatCode>
                  <c:ptCount val="4"/>
                  <c:pt idx="0">
                    <c:v>1.327</c:v>
                  </c:pt>
                  <c:pt idx="1">
                    <c:v>3.65</c:v>
                  </c:pt>
                  <c:pt idx="2">
                    <c:v>2.788</c:v>
                  </c:pt>
                  <c:pt idx="3">
                    <c:v>0.984</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Void'!$B$7,'Fiber and Void'!$B$13,'Fiber and Void'!$B$19,'Fiber and Void'!$B$25)</c:f>
              <c:numCache>
                <c:formatCode>0.00</c:formatCode>
                <c:ptCount val="4"/>
                <c:pt idx="0">
                  <c:v>66.778</c:v>
                </c:pt>
                <c:pt idx="1">
                  <c:v>64.763</c:v>
                </c:pt>
                <c:pt idx="2">
                  <c:v>66.62099999999998</c:v>
                </c:pt>
                <c:pt idx="3">
                  <c:v>64.118</c:v>
                </c:pt>
              </c:numCache>
            </c:numRef>
          </c:val>
        </c:ser>
        <c:dLbls>
          <c:showLegendKey val="0"/>
          <c:showVal val="0"/>
          <c:showCatName val="0"/>
          <c:showSerName val="0"/>
          <c:showPercent val="0"/>
          <c:showBubbleSize val="0"/>
        </c:dLbls>
        <c:gapWidth val="150"/>
        <c:axId val="420350248"/>
        <c:axId val="420356264"/>
      </c:barChart>
      <c:catAx>
        <c:axId val="420350248"/>
        <c:scaling>
          <c:orientation val="minMax"/>
        </c:scaling>
        <c:delete val="0"/>
        <c:axPos val="b"/>
        <c:title>
          <c:tx>
            <c:rich>
              <a:bodyPr/>
              <a:lstStyle/>
              <a:p>
                <a:pPr>
                  <a:defRPr/>
                </a:pPr>
                <a:r>
                  <a:rPr lang="en-US"/>
                  <a:t>Relative</a:t>
                </a:r>
                <a:r>
                  <a:rPr lang="en-US" baseline="0"/>
                  <a:t> Humidity Conditioning Level</a:t>
                </a:r>
                <a:endParaRPr lang="en-US"/>
              </a:p>
            </c:rich>
          </c:tx>
          <c:layout>
            <c:manualLayout>
              <c:xMode val="edge"/>
              <c:yMode val="edge"/>
              <c:x val="0.298151978883995"/>
              <c:y val="0.900488348047403"/>
            </c:manualLayout>
          </c:layout>
          <c:overlay val="0"/>
        </c:title>
        <c:numFmt formatCode="General" sourceLinked="0"/>
        <c:majorTickMark val="cross"/>
        <c:minorTickMark val="none"/>
        <c:tickLblPos val="nextTo"/>
        <c:spPr>
          <a:ln>
            <a:solidFill>
              <a:sysClr val="windowText" lastClr="000000"/>
            </a:solidFill>
          </a:ln>
        </c:spPr>
        <c:crossAx val="420356264"/>
        <c:crosses val="autoZero"/>
        <c:auto val="1"/>
        <c:lblAlgn val="ctr"/>
        <c:lblOffset val="100"/>
        <c:noMultiLvlLbl val="0"/>
      </c:catAx>
      <c:valAx>
        <c:axId val="420356264"/>
        <c:scaling>
          <c:orientation val="minMax"/>
          <c:max val="75.0"/>
          <c:min val="40.0"/>
        </c:scaling>
        <c:delete val="0"/>
        <c:axPos val="l"/>
        <c:title>
          <c:tx>
            <c:rich>
              <a:bodyPr rot="-5400000" vert="horz"/>
              <a:lstStyle/>
              <a:p>
                <a:pPr>
                  <a:defRPr/>
                </a:pPr>
                <a:r>
                  <a:rPr lang="en-US"/>
                  <a:t>Fiber Volume Fraction (%)</a:t>
                </a:r>
              </a:p>
            </c:rich>
          </c:tx>
          <c:overlay val="0"/>
        </c:title>
        <c:numFmt formatCode="0" sourceLinked="0"/>
        <c:majorTickMark val="out"/>
        <c:minorTickMark val="in"/>
        <c:tickLblPos val="nextTo"/>
        <c:spPr>
          <a:ln>
            <a:solidFill>
              <a:sysClr val="windowText" lastClr="000000"/>
            </a:solidFill>
          </a:ln>
        </c:spPr>
        <c:crossAx val="420350248"/>
        <c:crosses val="autoZero"/>
        <c:crossBetween val="between"/>
        <c:majorUnit val="10.0"/>
        <c:minorUnit val="2.5"/>
      </c:valAx>
      <c:spPr>
        <a:ln w="12700">
          <a:solidFill>
            <a:sysClr val="windowText" lastClr="000000"/>
          </a:solidFill>
        </a:ln>
      </c:spPr>
    </c:plotArea>
    <c:legend>
      <c:legendPos val="t"/>
      <c:layout>
        <c:manualLayout>
          <c:xMode val="edge"/>
          <c:yMode val="edge"/>
          <c:x val="0.393371776621143"/>
          <c:y val="0.0505050505050505"/>
          <c:w val="0.575779987247357"/>
          <c:h val="0.106828919112384"/>
        </c:manualLayout>
      </c:layou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070621468927"/>
          <c:y val="0.0406923566372385"/>
          <c:w val="0.874034839924673"/>
          <c:h val="0.690469657201941"/>
        </c:manualLayout>
      </c:layout>
      <c:barChart>
        <c:barDir val="col"/>
        <c:grouping val="clustered"/>
        <c:varyColors val="0"/>
        <c:ser>
          <c:idx val="0"/>
          <c:order val="0"/>
          <c:tx>
            <c:v>68.9 kPa</c:v>
          </c:tx>
          <c:spPr>
            <a:solidFill>
              <a:srgbClr val="0070C0"/>
            </a:solidFill>
            <a:ln>
              <a:solidFill>
                <a:sysClr val="windowText" lastClr="000000"/>
              </a:solidFill>
            </a:ln>
          </c:spPr>
          <c:invertIfNegative val="0"/>
          <c:errBars>
            <c:errBarType val="both"/>
            <c:errValType val="cust"/>
            <c:noEndCap val="0"/>
            <c:plus>
              <c:numRef>
                <c:f>('Fiber and Void'!$N$4,'Fiber and Void'!$N$10,'Fiber and Void'!$N$16,'Fiber and Void'!$N$22)</c:f>
                <c:numCache>
                  <c:formatCode>General</c:formatCode>
                  <c:ptCount val="4"/>
                  <c:pt idx="0">
                    <c:v>4.231</c:v>
                  </c:pt>
                  <c:pt idx="1">
                    <c:v>3.571</c:v>
                  </c:pt>
                  <c:pt idx="2">
                    <c:v>2.844</c:v>
                  </c:pt>
                  <c:pt idx="3">
                    <c:v>4.061999999999998</c:v>
                  </c:pt>
                </c:numCache>
              </c:numRef>
            </c:plus>
            <c:minus>
              <c:numRef>
                <c:f>('Fiber and Void'!$N$4,'Fiber and Void'!$N$10,'Fiber and Void'!$N$16,'Fiber and Void'!$N$22)</c:f>
                <c:numCache>
                  <c:formatCode>General</c:formatCode>
                  <c:ptCount val="4"/>
                  <c:pt idx="0">
                    <c:v>4.231</c:v>
                  </c:pt>
                  <c:pt idx="1">
                    <c:v>3.571</c:v>
                  </c:pt>
                  <c:pt idx="2">
                    <c:v>2.844</c:v>
                  </c:pt>
                  <c:pt idx="3">
                    <c:v>4.061999999999998</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Void'!$L$4,'Fiber and Void'!$L$10,'Fiber and Void'!$L$16,'Fiber and Void'!$L$22)</c:f>
              <c:numCache>
                <c:formatCode>0.00</c:formatCode>
                <c:ptCount val="4"/>
                <c:pt idx="0">
                  <c:v>49.041</c:v>
                </c:pt>
                <c:pt idx="1">
                  <c:v>48.436</c:v>
                </c:pt>
                <c:pt idx="2">
                  <c:v>48.205</c:v>
                </c:pt>
                <c:pt idx="3">
                  <c:v>49.207</c:v>
                </c:pt>
              </c:numCache>
            </c:numRef>
          </c:val>
        </c:ser>
        <c:ser>
          <c:idx val="1"/>
          <c:order val="1"/>
          <c:tx>
            <c:v>206.8 kPa</c:v>
          </c:tx>
          <c:spPr>
            <a:solidFill>
              <a:srgbClr val="C00000"/>
            </a:solidFill>
            <a:ln>
              <a:solidFill>
                <a:sysClr val="windowText" lastClr="000000"/>
              </a:solidFill>
            </a:ln>
          </c:spPr>
          <c:invertIfNegative val="0"/>
          <c:errBars>
            <c:errBarType val="both"/>
            <c:errValType val="cust"/>
            <c:noEndCap val="0"/>
            <c:plus>
              <c:numRef>
                <c:f>('Fiber and Void'!$N$5,'Fiber and Void'!$N$11,'Fiber and Void'!$N$17,'Fiber and Void'!$N$23)</c:f>
                <c:numCache>
                  <c:formatCode>General</c:formatCode>
                  <c:ptCount val="4"/>
                  <c:pt idx="0">
                    <c:v>2.299</c:v>
                  </c:pt>
                  <c:pt idx="1">
                    <c:v>3.235</c:v>
                  </c:pt>
                  <c:pt idx="2">
                    <c:v>2.171</c:v>
                  </c:pt>
                  <c:pt idx="3">
                    <c:v>2.802999999999999</c:v>
                  </c:pt>
                </c:numCache>
              </c:numRef>
            </c:plus>
            <c:minus>
              <c:numRef>
                <c:f>('Fiber and Void'!$N$5,'Fiber and Void'!$N$11,'Fiber and Void'!$N$17,'Fiber and Void'!$N$23)</c:f>
                <c:numCache>
                  <c:formatCode>General</c:formatCode>
                  <c:ptCount val="4"/>
                  <c:pt idx="0">
                    <c:v>2.299</c:v>
                  </c:pt>
                  <c:pt idx="1">
                    <c:v>3.235</c:v>
                  </c:pt>
                  <c:pt idx="2">
                    <c:v>2.171</c:v>
                  </c:pt>
                  <c:pt idx="3">
                    <c:v>2.802999999999999</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Void'!$L$5,'Fiber and Void'!$L$11,'Fiber and Void'!$L$17,'Fiber and Void'!$L$23)</c:f>
              <c:numCache>
                <c:formatCode>0.00</c:formatCode>
                <c:ptCount val="4"/>
                <c:pt idx="0">
                  <c:v>53.207</c:v>
                </c:pt>
                <c:pt idx="1">
                  <c:v>54.552</c:v>
                </c:pt>
                <c:pt idx="2">
                  <c:v>53.74</c:v>
                </c:pt>
                <c:pt idx="3">
                  <c:v>53.911</c:v>
                </c:pt>
              </c:numCache>
            </c:numRef>
          </c:val>
        </c:ser>
        <c:ser>
          <c:idx val="2"/>
          <c:order val="2"/>
          <c:tx>
            <c:v>344.7 kPa</c:v>
          </c:tx>
          <c:spPr>
            <a:solidFill>
              <a:srgbClr val="00B050"/>
            </a:solidFill>
            <a:ln>
              <a:solidFill>
                <a:sysClr val="windowText" lastClr="000000"/>
              </a:solidFill>
            </a:ln>
          </c:spPr>
          <c:invertIfNegative val="0"/>
          <c:errBars>
            <c:errBarType val="both"/>
            <c:errValType val="cust"/>
            <c:noEndCap val="0"/>
            <c:plus>
              <c:numRef>
                <c:f>('Fiber and Void'!$N$6,'Fiber and Void'!$N$12,'Fiber and Void'!$N$18,'Fiber and Void'!$N$24)</c:f>
                <c:numCache>
                  <c:formatCode>General</c:formatCode>
                  <c:ptCount val="4"/>
                  <c:pt idx="0">
                    <c:v>3.247</c:v>
                  </c:pt>
                  <c:pt idx="1">
                    <c:v>2.016999999999999</c:v>
                  </c:pt>
                  <c:pt idx="2">
                    <c:v>1.774</c:v>
                  </c:pt>
                  <c:pt idx="3">
                    <c:v>2.002</c:v>
                  </c:pt>
                </c:numCache>
              </c:numRef>
            </c:plus>
            <c:minus>
              <c:numRef>
                <c:f>('Fiber and Void'!$N$6,'Fiber and Void'!$N$12,'Fiber and Void'!$N$18,'Fiber and Void'!$N$24)</c:f>
                <c:numCache>
                  <c:formatCode>General</c:formatCode>
                  <c:ptCount val="4"/>
                  <c:pt idx="0">
                    <c:v>3.247</c:v>
                  </c:pt>
                  <c:pt idx="1">
                    <c:v>2.016999999999999</c:v>
                  </c:pt>
                  <c:pt idx="2">
                    <c:v>1.774</c:v>
                  </c:pt>
                  <c:pt idx="3">
                    <c:v>2.002</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Void'!$L$6,'Fiber and Void'!$L$12,'Fiber and Void'!$L$18,'Fiber and Void'!$L$24)</c:f>
              <c:numCache>
                <c:formatCode>0.00</c:formatCode>
                <c:ptCount val="4"/>
                <c:pt idx="0">
                  <c:v>58.17400000000001</c:v>
                </c:pt>
                <c:pt idx="1">
                  <c:v>58.332</c:v>
                </c:pt>
                <c:pt idx="2">
                  <c:v>58.285</c:v>
                </c:pt>
                <c:pt idx="3">
                  <c:v>58.167</c:v>
                </c:pt>
              </c:numCache>
            </c:numRef>
          </c:val>
        </c:ser>
        <c:ser>
          <c:idx val="3"/>
          <c:order val="3"/>
          <c:tx>
            <c:v>482.6 kPa</c:v>
          </c:tx>
          <c:spPr>
            <a:solidFill>
              <a:srgbClr val="7030A0"/>
            </a:solidFill>
            <a:ln>
              <a:solidFill>
                <a:sysClr val="windowText" lastClr="000000"/>
              </a:solidFill>
            </a:ln>
          </c:spPr>
          <c:invertIfNegative val="0"/>
          <c:errBars>
            <c:errBarType val="both"/>
            <c:errValType val="cust"/>
            <c:noEndCap val="0"/>
            <c:plus>
              <c:numRef>
                <c:f>('Fiber and Void'!$N$7,'Fiber and Void'!$N$13,'Fiber and Void'!$N$19,'Fiber and Void'!$N$25)</c:f>
                <c:numCache>
                  <c:formatCode>General</c:formatCode>
                  <c:ptCount val="4"/>
                  <c:pt idx="0">
                    <c:v>2.567</c:v>
                  </c:pt>
                  <c:pt idx="1">
                    <c:v>3.102</c:v>
                  </c:pt>
                  <c:pt idx="2">
                    <c:v>3.969</c:v>
                  </c:pt>
                  <c:pt idx="3">
                    <c:v>0.464</c:v>
                  </c:pt>
                </c:numCache>
              </c:numRef>
            </c:plus>
            <c:minus>
              <c:numRef>
                <c:f>('Fiber and Void'!$N$7,'Fiber and Void'!$N$13,'Fiber and Void'!$N$19,'Fiber and Void'!$N$25)</c:f>
                <c:numCache>
                  <c:formatCode>General</c:formatCode>
                  <c:ptCount val="4"/>
                  <c:pt idx="0">
                    <c:v>2.567</c:v>
                  </c:pt>
                  <c:pt idx="1">
                    <c:v>3.102</c:v>
                  </c:pt>
                  <c:pt idx="2">
                    <c:v>3.969</c:v>
                  </c:pt>
                  <c:pt idx="3">
                    <c:v>0.464</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Void'!$L$7,'Fiber and Void'!$L$13,'Fiber and Void'!$L$19,'Fiber and Void'!$L$25)</c:f>
              <c:numCache>
                <c:formatCode>0.00</c:formatCode>
                <c:ptCount val="4"/>
                <c:pt idx="0">
                  <c:v>60.525</c:v>
                </c:pt>
                <c:pt idx="1">
                  <c:v>61.745</c:v>
                </c:pt>
                <c:pt idx="2">
                  <c:v>62.579</c:v>
                </c:pt>
                <c:pt idx="3">
                  <c:v>59.28</c:v>
                </c:pt>
              </c:numCache>
            </c:numRef>
          </c:val>
        </c:ser>
        <c:dLbls>
          <c:showLegendKey val="0"/>
          <c:showVal val="0"/>
          <c:showCatName val="0"/>
          <c:showSerName val="0"/>
          <c:showPercent val="0"/>
          <c:showBubbleSize val="0"/>
        </c:dLbls>
        <c:gapWidth val="150"/>
        <c:axId val="420437176"/>
        <c:axId val="420443192"/>
      </c:barChart>
      <c:catAx>
        <c:axId val="420437176"/>
        <c:scaling>
          <c:orientation val="minMax"/>
        </c:scaling>
        <c:delete val="0"/>
        <c:axPos val="b"/>
        <c:title>
          <c:tx>
            <c:rich>
              <a:bodyPr/>
              <a:lstStyle/>
              <a:p>
                <a:pPr>
                  <a:defRPr/>
                </a:pPr>
                <a:r>
                  <a:rPr lang="en-US"/>
                  <a:t>Relative</a:t>
                </a:r>
                <a:r>
                  <a:rPr lang="en-US" baseline="0"/>
                  <a:t> Humidity Conditioning Level</a:t>
                </a:r>
                <a:endParaRPr lang="en-US"/>
              </a:p>
            </c:rich>
          </c:tx>
          <c:layout>
            <c:manualLayout>
              <c:xMode val="edge"/>
              <c:yMode val="edge"/>
              <c:x val="0.298151978883995"/>
              <c:y val="0.900488348047403"/>
            </c:manualLayout>
          </c:layout>
          <c:overlay val="0"/>
        </c:title>
        <c:numFmt formatCode="General" sourceLinked="0"/>
        <c:majorTickMark val="cross"/>
        <c:minorTickMark val="none"/>
        <c:tickLblPos val="nextTo"/>
        <c:spPr>
          <a:ln>
            <a:solidFill>
              <a:sysClr val="windowText" lastClr="000000"/>
            </a:solidFill>
          </a:ln>
        </c:spPr>
        <c:crossAx val="420443192"/>
        <c:crosses val="autoZero"/>
        <c:auto val="1"/>
        <c:lblAlgn val="ctr"/>
        <c:lblOffset val="100"/>
        <c:noMultiLvlLbl val="0"/>
      </c:catAx>
      <c:valAx>
        <c:axId val="420443192"/>
        <c:scaling>
          <c:orientation val="minMax"/>
          <c:max val="75.0"/>
          <c:min val="40.0"/>
        </c:scaling>
        <c:delete val="0"/>
        <c:axPos val="l"/>
        <c:title>
          <c:tx>
            <c:rich>
              <a:bodyPr rot="-5400000" vert="horz"/>
              <a:lstStyle/>
              <a:p>
                <a:pPr>
                  <a:defRPr/>
                </a:pPr>
                <a:r>
                  <a:rPr lang="en-US"/>
                  <a:t>Fiber Volume Fraction (%)</a:t>
                </a:r>
              </a:p>
            </c:rich>
          </c:tx>
          <c:overlay val="0"/>
        </c:title>
        <c:numFmt formatCode="0" sourceLinked="0"/>
        <c:majorTickMark val="out"/>
        <c:minorTickMark val="in"/>
        <c:tickLblPos val="nextTo"/>
        <c:spPr>
          <a:ln>
            <a:solidFill>
              <a:sysClr val="windowText" lastClr="000000"/>
            </a:solidFill>
          </a:ln>
        </c:spPr>
        <c:crossAx val="420437176"/>
        <c:crosses val="autoZero"/>
        <c:crossBetween val="between"/>
        <c:majorUnit val="10.0"/>
        <c:minorUnit val="2.5"/>
      </c:valAx>
      <c:spPr>
        <a:ln w="12700">
          <a:solidFill>
            <a:sysClr val="windowText" lastClr="000000"/>
          </a:solidFill>
        </a:ln>
      </c:spPr>
    </c:plotArea>
    <c:legend>
      <c:legendPos val="t"/>
      <c:layout>
        <c:manualLayout>
          <c:xMode val="edge"/>
          <c:yMode val="edge"/>
          <c:x val="0.393371776621143"/>
          <c:y val="0.0505050505050505"/>
          <c:w val="0.575779987247357"/>
          <c:h val="0.106828919112384"/>
        </c:manualLayout>
      </c:layou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070621468927"/>
          <c:y val="0.0406923566372385"/>
          <c:w val="0.874034839924673"/>
          <c:h val="0.690469657201941"/>
        </c:manualLayout>
      </c:layout>
      <c:barChart>
        <c:barDir val="col"/>
        <c:grouping val="clustered"/>
        <c:varyColors val="0"/>
        <c:ser>
          <c:idx val="0"/>
          <c:order val="0"/>
          <c:tx>
            <c:v>68.9 kPa</c:v>
          </c:tx>
          <c:spPr>
            <a:solidFill>
              <a:srgbClr val="0070C0"/>
            </a:solidFill>
            <a:ln>
              <a:solidFill>
                <a:sysClr val="windowText" lastClr="000000"/>
              </a:solidFill>
            </a:ln>
          </c:spPr>
          <c:invertIfNegative val="0"/>
          <c:errBars>
            <c:errBarType val="both"/>
            <c:errValType val="cust"/>
            <c:noEndCap val="0"/>
            <c:plus>
              <c:numRef>
                <c:f>('Fiber and Void'!$X$4,'Fiber and Void'!$X$10,'Fiber and Void'!$X$16,'Fiber and Void'!$X$22)</c:f>
                <c:numCache>
                  <c:formatCode>General</c:formatCode>
                  <c:ptCount val="4"/>
                  <c:pt idx="0">
                    <c:v>3.144</c:v>
                  </c:pt>
                  <c:pt idx="1">
                    <c:v>2.341</c:v>
                  </c:pt>
                  <c:pt idx="2">
                    <c:v>3.527</c:v>
                  </c:pt>
                  <c:pt idx="3">
                    <c:v>1.777</c:v>
                  </c:pt>
                </c:numCache>
              </c:numRef>
            </c:plus>
            <c:minus>
              <c:numRef>
                <c:f>('Fiber and Void'!$X$4,'Fiber and Void'!$X$10,'Fiber and Void'!$X$16,'Fiber and Void'!$X$22)</c:f>
                <c:numCache>
                  <c:formatCode>General</c:formatCode>
                  <c:ptCount val="4"/>
                  <c:pt idx="0">
                    <c:v>3.144</c:v>
                  </c:pt>
                  <c:pt idx="1">
                    <c:v>2.341</c:v>
                  </c:pt>
                  <c:pt idx="2">
                    <c:v>3.527</c:v>
                  </c:pt>
                  <c:pt idx="3">
                    <c:v>1.777</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Void'!$V$4,'Fiber and Void'!$V$10,'Fiber and Void'!$V$16,'Fiber and Void'!$V$22)</c:f>
              <c:numCache>
                <c:formatCode>0.00</c:formatCode>
                <c:ptCount val="4"/>
                <c:pt idx="0">
                  <c:v>55.235</c:v>
                </c:pt>
                <c:pt idx="1">
                  <c:v>51.71</c:v>
                </c:pt>
                <c:pt idx="2">
                  <c:v>53.611</c:v>
                </c:pt>
                <c:pt idx="3">
                  <c:v>52.665</c:v>
                </c:pt>
              </c:numCache>
            </c:numRef>
          </c:val>
        </c:ser>
        <c:ser>
          <c:idx val="1"/>
          <c:order val="1"/>
          <c:tx>
            <c:v>206.8 kPa</c:v>
          </c:tx>
          <c:spPr>
            <a:solidFill>
              <a:srgbClr val="C00000"/>
            </a:solidFill>
            <a:ln>
              <a:solidFill>
                <a:sysClr val="windowText" lastClr="000000"/>
              </a:solidFill>
            </a:ln>
          </c:spPr>
          <c:invertIfNegative val="0"/>
          <c:errBars>
            <c:errBarType val="both"/>
            <c:errValType val="cust"/>
            <c:noEndCap val="0"/>
            <c:plus>
              <c:numRef>
                <c:f>('Fiber and Void'!$X$5,'Fiber and Void'!$X$11,'Fiber and Void'!$X$17,'Fiber and Void'!$X$23)</c:f>
                <c:numCache>
                  <c:formatCode>General</c:formatCode>
                  <c:ptCount val="4"/>
                  <c:pt idx="0">
                    <c:v>1.672</c:v>
                  </c:pt>
                  <c:pt idx="1">
                    <c:v>2.366</c:v>
                  </c:pt>
                  <c:pt idx="2">
                    <c:v>5.993</c:v>
                  </c:pt>
                  <c:pt idx="3">
                    <c:v>1.646</c:v>
                  </c:pt>
                </c:numCache>
              </c:numRef>
            </c:plus>
            <c:minus>
              <c:numRef>
                <c:f>('Fiber and Void'!$X$5,'Fiber and Void'!$X$11,'Fiber and Void'!$X$17,'Fiber and Void'!$X$23)</c:f>
                <c:numCache>
                  <c:formatCode>General</c:formatCode>
                  <c:ptCount val="4"/>
                  <c:pt idx="0">
                    <c:v>1.672</c:v>
                  </c:pt>
                  <c:pt idx="1">
                    <c:v>2.366</c:v>
                  </c:pt>
                  <c:pt idx="2">
                    <c:v>5.993</c:v>
                  </c:pt>
                  <c:pt idx="3">
                    <c:v>1.646</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Void'!$V$5,'Fiber and Void'!$V$11,'Fiber and Void'!$V$17,'Fiber and Void'!$V$23)</c:f>
              <c:numCache>
                <c:formatCode>0.00</c:formatCode>
                <c:ptCount val="4"/>
                <c:pt idx="0">
                  <c:v>61.73300000000001</c:v>
                </c:pt>
                <c:pt idx="1">
                  <c:v>56.908</c:v>
                </c:pt>
                <c:pt idx="2">
                  <c:v>61.611</c:v>
                </c:pt>
                <c:pt idx="3">
                  <c:v>60.46100000000001</c:v>
                </c:pt>
              </c:numCache>
            </c:numRef>
          </c:val>
        </c:ser>
        <c:ser>
          <c:idx val="2"/>
          <c:order val="2"/>
          <c:tx>
            <c:v>344.7 kPa</c:v>
          </c:tx>
          <c:spPr>
            <a:solidFill>
              <a:srgbClr val="00B050"/>
            </a:solidFill>
            <a:ln>
              <a:solidFill>
                <a:sysClr val="windowText" lastClr="000000"/>
              </a:solidFill>
            </a:ln>
          </c:spPr>
          <c:invertIfNegative val="0"/>
          <c:errBars>
            <c:errBarType val="both"/>
            <c:errValType val="cust"/>
            <c:noEndCap val="0"/>
            <c:plus>
              <c:numRef>
                <c:f>('Fiber and Void'!$X$6,'Fiber and Void'!$X$12,'Fiber and Void'!$X$18,'Fiber and Void'!$X$24)</c:f>
                <c:numCache>
                  <c:formatCode>General</c:formatCode>
                  <c:ptCount val="4"/>
                  <c:pt idx="0">
                    <c:v>3.02</c:v>
                  </c:pt>
                  <c:pt idx="1">
                    <c:v>1.279</c:v>
                  </c:pt>
                  <c:pt idx="2">
                    <c:v>5.024999999999975</c:v>
                  </c:pt>
                  <c:pt idx="3">
                    <c:v>2.294</c:v>
                  </c:pt>
                </c:numCache>
              </c:numRef>
            </c:plus>
            <c:minus>
              <c:numRef>
                <c:f>('Fiber and Void'!$X$6,'Fiber and Void'!$X$12,'Fiber and Void'!$X$18,'Fiber and Void'!$X$24)</c:f>
                <c:numCache>
                  <c:formatCode>General</c:formatCode>
                  <c:ptCount val="4"/>
                  <c:pt idx="0">
                    <c:v>3.02</c:v>
                  </c:pt>
                  <c:pt idx="1">
                    <c:v>1.279</c:v>
                  </c:pt>
                  <c:pt idx="2">
                    <c:v>5.024999999999975</c:v>
                  </c:pt>
                  <c:pt idx="3">
                    <c:v>2.294</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Void'!$V$6,'Fiber and Void'!$V$12,'Fiber and Void'!$V$18,'Fiber and Void'!$V$24)</c:f>
              <c:numCache>
                <c:formatCode>0.00</c:formatCode>
                <c:ptCount val="4"/>
                <c:pt idx="0">
                  <c:v>62.004</c:v>
                </c:pt>
                <c:pt idx="1">
                  <c:v>59.48</c:v>
                </c:pt>
                <c:pt idx="2">
                  <c:v>62.668</c:v>
                </c:pt>
                <c:pt idx="3">
                  <c:v>59.137</c:v>
                </c:pt>
              </c:numCache>
            </c:numRef>
          </c:val>
        </c:ser>
        <c:ser>
          <c:idx val="3"/>
          <c:order val="3"/>
          <c:tx>
            <c:v>482.6 kPa</c:v>
          </c:tx>
          <c:spPr>
            <a:solidFill>
              <a:srgbClr val="7030A0"/>
            </a:solidFill>
            <a:ln>
              <a:solidFill>
                <a:sysClr val="windowText" lastClr="000000"/>
              </a:solidFill>
            </a:ln>
          </c:spPr>
          <c:invertIfNegative val="0"/>
          <c:errBars>
            <c:errBarType val="both"/>
            <c:errValType val="cust"/>
            <c:noEndCap val="0"/>
            <c:plus>
              <c:numRef>
                <c:f>('Fiber and Void'!$X$7,'Fiber and Void'!$X$13,'Fiber and Void'!$X$19,'Fiber and Void'!$X$25)</c:f>
                <c:numCache>
                  <c:formatCode>General</c:formatCode>
                  <c:ptCount val="4"/>
                  <c:pt idx="0">
                    <c:v>1.547</c:v>
                  </c:pt>
                  <c:pt idx="1">
                    <c:v>3.075</c:v>
                  </c:pt>
                  <c:pt idx="2">
                    <c:v>0.378</c:v>
                  </c:pt>
                  <c:pt idx="3">
                    <c:v>1.949</c:v>
                  </c:pt>
                </c:numCache>
              </c:numRef>
            </c:plus>
            <c:minus>
              <c:numRef>
                <c:f>('Fiber and Void'!$X$7,'Fiber and Void'!$X$13,'Fiber and Void'!$X$19,'Fiber and Void'!$X$25)</c:f>
                <c:numCache>
                  <c:formatCode>General</c:formatCode>
                  <c:ptCount val="4"/>
                  <c:pt idx="0">
                    <c:v>1.547</c:v>
                  </c:pt>
                  <c:pt idx="1">
                    <c:v>3.075</c:v>
                  </c:pt>
                  <c:pt idx="2">
                    <c:v>0.378</c:v>
                  </c:pt>
                  <c:pt idx="3">
                    <c:v>1.949</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Void'!$V$7,'Fiber and Void'!$V$13,'Fiber and Void'!$V$19,'Fiber and Void'!$V$25)</c:f>
              <c:numCache>
                <c:formatCode>0.00</c:formatCode>
                <c:ptCount val="4"/>
                <c:pt idx="0">
                  <c:v>66.061</c:v>
                </c:pt>
                <c:pt idx="1">
                  <c:v>61.954</c:v>
                </c:pt>
                <c:pt idx="2">
                  <c:v>61.895</c:v>
                </c:pt>
                <c:pt idx="3">
                  <c:v>61.157</c:v>
                </c:pt>
              </c:numCache>
            </c:numRef>
          </c:val>
        </c:ser>
        <c:dLbls>
          <c:showLegendKey val="0"/>
          <c:showVal val="0"/>
          <c:showCatName val="0"/>
          <c:showSerName val="0"/>
          <c:showPercent val="0"/>
          <c:showBubbleSize val="0"/>
        </c:dLbls>
        <c:gapWidth val="150"/>
        <c:axId val="424732392"/>
        <c:axId val="424738408"/>
      </c:barChart>
      <c:catAx>
        <c:axId val="424732392"/>
        <c:scaling>
          <c:orientation val="minMax"/>
        </c:scaling>
        <c:delete val="0"/>
        <c:axPos val="b"/>
        <c:title>
          <c:tx>
            <c:rich>
              <a:bodyPr/>
              <a:lstStyle/>
              <a:p>
                <a:pPr>
                  <a:defRPr/>
                </a:pPr>
                <a:r>
                  <a:rPr lang="en-US"/>
                  <a:t>Relative</a:t>
                </a:r>
                <a:r>
                  <a:rPr lang="en-US" baseline="0"/>
                  <a:t> Humidity Conditioning Level</a:t>
                </a:r>
                <a:endParaRPr lang="en-US"/>
              </a:p>
            </c:rich>
          </c:tx>
          <c:layout>
            <c:manualLayout>
              <c:xMode val="edge"/>
              <c:yMode val="edge"/>
              <c:x val="0.298151978883995"/>
              <c:y val="0.900488348047403"/>
            </c:manualLayout>
          </c:layout>
          <c:overlay val="0"/>
        </c:title>
        <c:numFmt formatCode="General" sourceLinked="0"/>
        <c:majorTickMark val="cross"/>
        <c:minorTickMark val="none"/>
        <c:tickLblPos val="nextTo"/>
        <c:spPr>
          <a:ln>
            <a:solidFill>
              <a:sysClr val="windowText" lastClr="000000"/>
            </a:solidFill>
          </a:ln>
        </c:spPr>
        <c:crossAx val="424738408"/>
        <c:crosses val="autoZero"/>
        <c:auto val="1"/>
        <c:lblAlgn val="ctr"/>
        <c:lblOffset val="100"/>
        <c:noMultiLvlLbl val="0"/>
      </c:catAx>
      <c:valAx>
        <c:axId val="424738408"/>
        <c:scaling>
          <c:orientation val="minMax"/>
          <c:max val="75.0"/>
          <c:min val="40.0"/>
        </c:scaling>
        <c:delete val="0"/>
        <c:axPos val="l"/>
        <c:title>
          <c:tx>
            <c:rich>
              <a:bodyPr rot="-5400000" vert="horz"/>
              <a:lstStyle/>
              <a:p>
                <a:pPr>
                  <a:defRPr/>
                </a:pPr>
                <a:r>
                  <a:rPr lang="en-US"/>
                  <a:t>Fiber Volume Fraction (%)</a:t>
                </a:r>
              </a:p>
            </c:rich>
          </c:tx>
          <c:overlay val="0"/>
        </c:title>
        <c:numFmt formatCode="0" sourceLinked="0"/>
        <c:majorTickMark val="out"/>
        <c:minorTickMark val="in"/>
        <c:tickLblPos val="nextTo"/>
        <c:spPr>
          <a:ln>
            <a:solidFill>
              <a:sysClr val="windowText" lastClr="000000"/>
            </a:solidFill>
          </a:ln>
        </c:spPr>
        <c:crossAx val="424732392"/>
        <c:crosses val="autoZero"/>
        <c:crossBetween val="between"/>
        <c:majorUnit val="10.0"/>
        <c:minorUnit val="2.5"/>
      </c:valAx>
      <c:spPr>
        <a:ln w="12700">
          <a:solidFill>
            <a:sysClr val="windowText" lastClr="000000"/>
          </a:solidFill>
        </a:ln>
      </c:spPr>
    </c:plotArea>
    <c:legend>
      <c:legendPos val="t"/>
      <c:layout>
        <c:manualLayout>
          <c:xMode val="edge"/>
          <c:yMode val="edge"/>
          <c:x val="0.393371776621143"/>
          <c:y val="0.0505050505050505"/>
          <c:w val="0.575779987247357"/>
          <c:h val="0.106828919112384"/>
        </c:manualLayout>
      </c:layou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070621468927"/>
          <c:y val="0.0406923566372385"/>
          <c:w val="0.874034839924673"/>
          <c:h val="0.690469657201941"/>
        </c:manualLayout>
      </c:layout>
      <c:barChart>
        <c:barDir val="col"/>
        <c:grouping val="clustered"/>
        <c:varyColors val="0"/>
        <c:ser>
          <c:idx val="0"/>
          <c:order val="0"/>
          <c:tx>
            <c:v>68.9 kPa</c:v>
          </c:tx>
          <c:spPr>
            <a:solidFill>
              <a:srgbClr val="0070C0"/>
            </a:solidFill>
            <a:ln>
              <a:solidFill>
                <a:sysClr val="windowText" lastClr="000000"/>
              </a:solidFill>
            </a:ln>
          </c:spPr>
          <c:invertIfNegative val="0"/>
          <c:errBars>
            <c:errBarType val="both"/>
            <c:errValType val="cust"/>
            <c:noEndCap val="0"/>
            <c:plus>
              <c:numRef>
                <c:f>('Fiber and Void'!$H$4,'Fiber and Void'!$H$10,'Fiber and Void'!$H$16,'Fiber and Void'!$H$22)</c:f>
                <c:numCache>
                  <c:formatCode>General</c:formatCode>
                  <c:ptCount val="4"/>
                  <c:pt idx="0">
                    <c:v>1.288</c:v>
                  </c:pt>
                  <c:pt idx="1">
                    <c:v>1.212</c:v>
                  </c:pt>
                  <c:pt idx="2">
                    <c:v>3.503</c:v>
                  </c:pt>
                  <c:pt idx="3">
                    <c:v>2.364</c:v>
                  </c:pt>
                </c:numCache>
              </c:numRef>
            </c:plus>
            <c:minus>
              <c:numRef>
                <c:f>('Fiber and Void'!$H$4,'Fiber and Void'!$H$10,'Fiber and Void'!$H$16,'Fiber and Void'!$H$22)</c:f>
                <c:numCache>
                  <c:formatCode>General</c:formatCode>
                  <c:ptCount val="4"/>
                  <c:pt idx="0">
                    <c:v>1.288</c:v>
                  </c:pt>
                  <c:pt idx="1">
                    <c:v>1.212</c:v>
                  </c:pt>
                  <c:pt idx="2">
                    <c:v>3.503</c:v>
                  </c:pt>
                  <c:pt idx="3">
                    <c:v>2.364</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Void'!$F$4,'Fiber and Void'!$F$10,'Fiber and Void'!$F$16,'Fiber and Void'!$F$22)</c:f>
              <c:numCache>
                <c:formatCode>0.00</c:formatCode>
                <c:ptCount val="4"/>
                <c:pt idx="0">
                  <c:v>12.409</c:v>
                </c:pt>
                <c:pt idx="1">
                  <c:v>12.827</c:v>
                </c:pt>
                <c:pt idx="2">
                  <c:v>13.352</c:v>
                </c:pt>
                <c:pt idx="3">
                  <c:v>13.883</c:v>
                </c:pt>
              </c:numCache>
            </c:numRef>
          </c:val>
        </c:ser>
        <c:ser>
          <c:idx val="1"/>
          <c:order val="1"/>
          <c:tx>
            <c:v>206.8 kPa</c:v>
          </c:tx>
          <c:spPr>
            <a:solidFill>
              <a:srgbClr val="C00000"/>
            </a:solidFill>
            <a:ln>
              <a:solidFill>
                <a:sysClr val="windowText" lastClr="000000"/>
              </a:solidFill>
            </a:ln>
          </c:spPr>
          <c:invertIfNegative val="0"/>
          <c:errBars>
            <c:errBarType val="both"/>
            <c:errValType val="cust"/>
            <c:noEndCap val="0"/>
            <c:plus>
              <c:numRef>
                <c:f>('Fiber and Void'!$H$5,'Fiber and Void'!$H$11,'Fiber and Void'!$H$17,'Fiber and Void'!$H$23)</c:f>
                <c:numCache>
                  <c:formatCode>General</c:formatCode>
                  <c:ptCount val="4"/>
                  <c:pt idx="0">
                    <c:v>1.875</c:v>
                  </c:pt>
                  <c:pt idx="1">
                    <c:v>0.516</c:v>
                  </c:pt>
                  <c:pt idx="2">
                    <c:v>2.046</c:v>
                  </c:pt>
                  <c:pt idx="3">
                    <c:v>0.976</c:v>
                  </c:pt>
                </c:numCache>
              </c:numRef>
            </c:plus>
            <c:minus>
              <c:numRef>
                <c:f>('Fiber and Void'!$H$5,'Fiber and Void'!$H$11,'Fiber and Void'!$H$17,'Fiber and Void'!$H$23)</c:f>
                <c:numCache>
                  <c:formatCode>General</c:formatCode>
                  <c:ptCount val="4"/>
                  <c:pt idx="0">
                    <c:v>1.875</c:v>
                  </c:pt>
                  <c:pt idx="1">
                    <c:v>0.516</c:v>
                  </c:pt>
                  <c:pt idx="2">
                    <c:v>2.046</c:v>
                  </c:pt>
                  <c:pt idx="3">
                    <c:v>0.976</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Void'!$F$5,'Fiber and Void'!$F$11,'Fiber and Void'!$F$17,'Fiber and Void'!$F$23)</c:f>
              <c:numCache>
                <c:formatCode>0.00</c:formatCode>
                <c:ptCount val="4"/>
                <c:pt idx="0">
                  <c:v>9.232</c:v>
                </c:pt>
                <c:pt idx="1">
                  <c:v>9.395</c:v>
                </c:pt>
                <c:pt idx="2">
                  <c:v>10.382</c:v>
                </c:pt>
                <c:pt idx="3">
                  <c:v>11.693</c:v>
                </c:pt>
              </c:numCache>
            </c:numRef>
          </c:val>
        </c:ser>
        <c:ser>
          <c:idx val="2"/>
          <c:order val="2"/>
          <c:tx>
            <c:v>344.7 kPa</c:v>
          </c:tx>
          <c:spPr>
            <a:solidFill>
              <a:srgbClr val="00B050"/>
            </a:solidFill>
            <a:ln>
              <a:solidFill>
                <a:sysClr val="windowText" lastClr="000000"/>
              </a:solidFill>
            </a:ln>
          </c:spPr>
          <c:invertIfNegative val="0"/>
          <c:errBars>
            <c:errBarType val="both"/>
            <c:errValType val="cust"/>
            <c:noEndCap val="0"/>
            <c:plus>
              <c:numRef>
                <c:f>('Fiber and Void'!$H$6,'Fiber and Void'!$H$12,'Fiber and Void'!$H$18,'Fiber and Void'!$H$24)</c:f>
                <c:numCache>
                  <c:formatCode>General</c:formatCode>
                  <c:ptCount val="4"/>
                  <c:pt idx="0">
                    <c:v>1.154</c:v>
                  </c:pt>
                  <c:pt idx="1">
                    <c:v>1.054</c:v>
                  </c:pt>
                  <c:pt idx="2">
                    <c:v>0.194</c:v>
                  </c:pt>
                  <c:pt idx="3">
                    <c:v>0.899</c:v>
                  </c:pt>
                </c:numCache>
              </c:numRef>
            </c:plus>
            <c:minus>
              <c:numRef>
                <c:f>('Fiber and Void'!$H$6,'Fiber and Void'!$H$12,'Fiber and Void'!$H$18,'Fiber and Void'!$H$24)</c:f>
                <c:numCache>
                  <c:formatCode>General</c:formatCode>
                  <c:ptCount val="4"/>
                  <c:pt idx="0">
                    <c:v>1.154</c:v>
                  </c:pt>
                  <c:pt idx="1">
                    <c:v>1.054</c:v>
                  </c:pt>
                  <c:pt idx="2">
                    <c:v>0.194</c:v>
                  </c:pt>
                  <c:pt idx="3">
                    <c:v>0.899</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Void'!$F$6,'Fiber and Void'!$F$12,'Fiber and Void'!$F$18,'Fiber and Void'!$F$24)</c:f>
              <c:numCache>
                <c:formatCode>0.00</c:formatCode>
                <c:ptCount val="4"/>
                <c:pt idx="0">
                  <c:v>8.229</c:v>
                </c:pt>
                <c:pt idx="1">
                  <c:v>8.985</c:v>
                </c:pt>
                <c:pt idx="2">
                  <c:v>9.516</c:v>
                </c:pt>
                <c:pt idx="3">
                  <c:v>10.047</c:v>
                </c:pt>
              </c:numCache>
            </c:numRef>
          </c:val>
        </c:ser>
        <c:ser>
          <c:idx val="3"/>
          <c:order val="3"/>
          <c:tx>
            <c:v>482.6 kPa</c:v>
          </c:tx>
          <c:spPr>
            <a:solidFill>
              <a:srgbClr val="7030A0"/>
            </a:solidFill>
            <a:ln>
              <a:solidFill>
                <a:sysClr val="windowText" lastClr="000000"/>
              </a:solidFill>
            </a:ln>
          </c:spPr>
          <c:invertIfNegative val="0"/>
          <c:errBars>
            <c:errBarType val="both"/>
            <c:errValType val="cust"/>
            <c:noEndCap val="0"/>
            <c:plus>
              <c:numRef>
                <c:f>('Fiber and Void'!$H$7,'Fiber and Void'!$H$13,'Fiber and Void'!$H$19,'Fiber and Void'!$H$25)</c:f>
                <c:numCache>
                  <c:formatCode>General</c:formatCode>
                  <c:ptCount val="4"/>
                  <c:pt idx="0">
                    <c:v>1.478</c:v>
                  </c:pt>
                  <c:pt idx="1">
                    <c:v>1.296</c:v>
                  </c:pt>
                  <c:pt idx="2">
                    <c:v>0.792</c:v>
                  </c:pt>
                  <c:pt idx="3">
                    <c:v>0.789</c:v>
                  </c:pt>
                </c:numCache>
              </c:numRef>
            </c:plus>
            <c:minus>
              <c:numRef>
                <c:f>('Fiber and Void'!$H$7,'Fiber and Void'!$H$13,'Fiber and Void'!$H$19,'Fiber and Void'!$H$25)</c:f>
                <c:numCache>
                  <c:formatCode>General</c:formatCode>
                  <c:ptCount val="4"/>
                  <c:pt idx="0">
                    <c:v>1.478</c:v>
                  </c:pt>
                  <c:pt idx="1">
                    <c:v>1.296</c:v>
                  </c:pt>
                  <c:pt idx="2">
                    <c:v>0.792</c:v>
                  </c:pt>
                  <c:pt idx="3">
                    <c:v>0.789</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Void'!$F$7,'Fiber and Void'!$F$13,'Fiber and Void'!$F$19,'Fiber and Void'!$F$25)</c:f>
              <c:numCache>
                <c:formatCode>0.00</c:formatCode>
                <c:ptCount val="4"/>
                <c:pt idx="0">
                  <c:v>8.219999999999998</c:v>
                </c:pt>
                <c:pt idx="1">
                  <c:v>8.210000000000001</c:v>
                </c:pt>
                <c:pt idx="2">
                  <c:v>8.088000000000001</c:v>
                </c:pt>
                <c:pt idx="3">
                  <c:v>7.927</c:v>
                </c:pt>
              </c:numCache>
            </c:numRef>
          </c:val>
        </c:ser>
        <c:dLbls>
          <c:showLegendKey val="0"/>
          <c:showVal val="0"/>
          <c:showCatName val="0"/>
          <c:showSerName val="0"/>
          <c:showPercent val="0"/>
          <c:showBubbleSize val="0"/>
        </c:dLbls>
        <c:gapWidth val="150"/>
        <c:axId val="424819848"/>
        <c:axId val="424825864"/>
      </c:barChart>
      <c:catAx>
        <c:axId val="424819848"/>
        <c:scaling>
          <c:orientation val="minMax"/>
        </c:scaling>
        <c:delete val="0"/>
        <c:axPos val="b"/>
        <c:title>
          <c:tx>
            <c:rich>
              <a:bodyPr/>
              <a:lstStyle/>
              <a:p>
                <a:pPr>
                  <a:defRPr/>
                </a:pPr>
                <a:r>
                  <a:rPr lang="en-US"/>
                  <a:t>Relative</a:t>
                </a:r>
                <a:r>
                  <a:rPr lang="en-US" baseline="0"/>
                  <a:t> Humidity Conditioning Level</a:t>
                </a:r>
                <a:endParaRPr lang="en-US"/>
              </a:p>
            </c:rich>
          </c:tx>
          <c:layout>
            <c:manualLayout>
              <c:xMode val="edge"/>
              <c:yMode val="edge"/>
              <c:x val="0.298151978883995"/>
              <c:y val="0.900488348047403"/>
            </c:manualLayout>
          </c:layout>
          <c:overlay val="0"/>
        </c:title>
        <c:numFmt formatCode="General" sourceLinked="0"/>
        <c:majorTickMark val="cross"/>
        <c:minorTickMark val="none"/>
        <c:tickLblPos val="nextTo"/>
        <c:spPr>
          <a:ln>
            <a:solidFill>
              <a:sysClr val="windowText" lastClr="000000"/>
            </a:solidFill>
          </a:ln>
        </c:spPr>
        <c:crossAx val="424825864"/>
        <c:crosses val="autoZero"/>
        <c:auto val="1"/>
        <c:lblAlgn val="ctr"/>
        <c:lblOffset val="100"/>
        <c:noMultiLvlLbl val="0"/>
      </c:catAx>
      <c:valAx>
        <c:axId val="424825864"/>
        <c:scaling>
          <c:orientation val="minMax"/>
          <c:min val="0.0"/>
        </c:scaling>
        <c:delete val="0"/>
        <c:axPos val="l"/>
        <c:title>
          <c:tx>
            <c:rich>
              <a:bodyPr rot="-5400000" vert="horz"/>
              <a:lstStyle/>
              <a:p>
                <a:pPr>
                  <a:defRPr/>
                </a:pPr>
                <a:r>
                  <a:rPr lang="en-US"/>
                  <a:t>Void Volume Fraction (%)</a:t>
                </a:r>
              </a:p>
            </c:rich>
          </c:tx>
          <c:overlay val="0"/>
        </c:title>
        <c:numFmt formatCode="0" sourceLinked="0"/>
        <c:majorTickMark val="out"/>
        <c:minorTickMark val="in"/>
        <c:tickLblPos val="nextTo"/>
        <c:spPr>
          <a:ln>
            <a:solidFill>
              <a:sysClr val="windowText" lastClr="000000"/>
            </a:solidFill>
          </a:ln>
        </c:spPr>
        <c:crossAx val="424819848"/>
        <c:crosses val="autoZero"/>
        <c:crossBetween val="between"/>
        <c:majorUnit val="5.0"/>
        <c:minorUnit val="1.0"/>
      </c:valAx>
      <c:spPr>
        <a:ln w="12700">
          <a:solidFill>
            <a:sysClr val="windowText" lastClr="000000"/>
          </a:solidFill>
        </a:ln>
      </c:spPr>
    </c:plotArea>
    <c:legend>
      <c:legendPos val="t"/>
      <c:layout>
        <c:manualLayout>
          <c:xMode val="edge"/>
          <c:yMode val="edge"/>
          <c:x val="0.393371776621143"/>
          <c:y val="0.0505050505050505"/>
          <c:w val="0.575779987247357"/>
          <c:h val="0.106828919112384"/>
        </c:manualLayout>
      </c:layou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070621468927"/>
          <c:y val="0.0406923566372385"/>
          <c:w val="0.874034839924673"/>
          <c:h val="0.690469657201941"/>
        </c:manualLayout>
      </c:layout>
      <c:barChart>
        <c:barDir val="col"/>
        <c:grouping val="clustered"/>
        <c:varyColors val="0"/>
        <c:ser>
          <c:idx val="0"/>
          <c:order val="0"/>
          <c:tx>
            <c:v>68.9 kPa</c:v>
          </c:tx>
          <c:spPr>
            <a:solidFill>
              <a:srgbClr val="0070C0"/>
            </a:solidFill>
            <a:ln>
              <a:solidFill>
                <a:sysClr val="windowText" lastClr="000000"/>
              </a:solidFill>
            </a:ln>
          </c:spPr>
          <c:invertIfNegative val="0"/>
          <c:errBars>
            <c:errBarType val="both"/>
            <c:errValType val="cust"/>
            <c:noEndCap val="0"/>
            <c:plus>
              <c:numRef>
                <c:f>('Fiber and Void'!$R$4,'Fiber and Void'!$R$10,'Fiber and Void'!$R$16,'Fiber and Void'!$R$22)</c:f>
                <c:numCache>
                  <c:formatCode>General</c:formatCode>
                  <c:ptCount val="4"/>
                  <c:pt idx="0">
                    <c:v>1.011</c:v>
                  </c:pt>
                  <c:pt idx="1">
                    <c:v>1.999</c:v>
                  </c:pt>
                  <c:pt idx="2">
                    <c:v>1.569</c:v>
                  </c:pt>
                  <c:pt idx="3">
                    <c:v>0.815</c:v>
                  </c:pt>
                </c:numCache>
              </c:numRef>
            </c:plus>
            <c:minus>
              <c:numRef>
                <c:f>('Fiber and Void'!$R$4,'Fiber and Void'!$R$10,'Fiber and Void'!$R$16,'Fiber and Void'!$R$22)</c:f>
                <c:numCache>
                  <c:formatCode>General</c:formatCode>
                  <c:ptCount val="4"/>
                  <c:pt idx="0">
                    <c:v>1.011</c:v>
                  </c:pt>
                  <c:pt idx="1">
                    <c:v>1.999</c:v>
                  </c:pt>
                  <c:pt idx="2">
                    <c:v>1.569</c:v>
                  </c:pt>
                  <c:pt idx="3">
                    <c:v>0.815</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Void'!$P$4,'Fiber and Void'!$P$10,'Fiber and Void'!$P$16,'Fiber and Void'!$P$22)</c:f>
              <c:numCache>
                <c:formatCode>0.00</c:formatCode>
                <c:ptCount val="4"/>
                <c:pt idx="0">
                  <c:v>3.521</c:v>
                </c:pt>
                <c:pt idx="1">
                  <c:v>7.0</c:v>
                </c:pt>
                <c:pt idx="2">
                  <c:v>10.225</c:v>
                </c:pt>
                <c:pt idx="3">
                  <c:v>14.123</c:v>
                </c:pt>
              </c:numCache>
            </c:numRef>
          </c:val>
        </c:ser>
        <c:ser>
          <c:idx val="1"/>
          <c:order val="1"/>
          <c:tx>
            <c:v>206.8 kPa</c:v>
          </c:tx>
          <c:spPr>
            <a:solidFill>
              <a:srgbClr val="C00000"/>
            </a:solidFill>
            <a:ln>
              <a:solidFill>
                <a:sysClr val="windowText" lastClr="000000"/>
              </a:solidFill>
            </a:ln>
          </c:spPr>
          <c:invertIfNegative val="0"/>
          <c:errBars>
            <c:errBarType val="both"/>
            <c:errValType val="cust"/>
            <c:noEndCap val="0"/>
            <c:plus>
              <c:numRef>
                <c:f>('Fiber and Void'!$R$5,'Fiber and Void'!$R$11,'Fiber and Void'!$R$17,'Fiber and Void'!$R$23)</c:f>
                <c:numCache>
                  <c:formatCode>General</c:formatCode>
                  <c:ptCount val="4"/>
                  <c:pt idx="0">
                    <c:v>0.527</c:v>
                  </c:pt>
                  <c:pt idx="1">
                    <c:v>0.578</c:v>
                  </c:pt>
                  <c:pt idx="2">
                    <c:v>1.158</c:v>
                  </c:pt>
                  <c:pt idx="3">
                    <c:v>1.294</c:v>
                  </c:pt>
                </c:numCache>
              </c:numRef>
            </c:plus>
            <c:minus>
              <c:numRef>
                <c:f>('Fiber and Void'!$R$5,'Fiber and Void'!$R$11,'Fiber and Void'!$R$17,'Fiber and Void'!$R$23)</c:f>
                <c:numCache>
                  <c:formatCode>General</c:formatCode>
                  <c:ptCount val="4"/>
                  <c:pt idx="0">
                    <c:v>0.527</c:v>
                  </c:pt>
                  <c:pt idx="1">
                    <c:v>0.578</c:v>
                  </c:pt>
                  <c:pt idx="2">
                    <c:v>1.158</c:v>
                  </c:pt>
                  <c:pt idx="3">
                    <c:v>1.294</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Void'!$P$5,'Fiber and Void'!$P$11,'Fiber and Void'!$P$17,'Fiber and Void'!$P$23)</c:f>
              <c:numCache>
                <c:formatCode>0.00</c:formatCode>
                <c:ptCount val="4"/>
                <c:pt idx="0">
                  <c:v>2.326</c:v>
                </c:pt>
                <c:pt idx="1">
                  <c:v>4.603999999999996</c:v>
                </c:pt>
                <c:pt idx="2">
                  <c:v>7.034</c:v>
                </c:pt>
                <c:pt idx="3">
                  <c:v>10.471</c:v>
                </c:pt>
              </c:numCache>
            </c:numRef>
          </c:val>
        </c:ser>
        <c:ser>
          <c:idx val="2"/>
          <c:order val="2"/>
          <c:tx>
            <c:v>344.7 kPa</c:v>
          </c:tx>
          <c:spPr>
            <a:solidFill>
              <a:srgbClr val="00B050"/>
            </a:solidFill>
            <a:ln>
              <a:solidFill>
                <a:sysClr val="windowText" lastClr="000000"/>
              </a:solidFill>
            </a:ln>
          </c:spPr>
          <c:invertIfNegative val="0"/>
          <c:errBars>
            <c:errBarType val="both"/>
            <c:errValType val="cust"/>
            <c:noEndCap val="0"/>
            <c:plus>
              <c:numRef>
                <c:f>('Fiber and Void'!$R$6,'Fiber and Void'!$R$12,'Fiber and Void'!$R$18,'Fiber and Void'!$R$24)</c:f>
                <c:numCache>
                  <c:formatCode>General</c:formatCode>
                  <c:ptCount val="4"/>
                  <c:pt idx="0">
                    <c:v>0.538</c:v>
                  </c:pt>
                  <c:pt idx="1">
                    <c:v>0.858</c:v>
                  </c:pt>
                  <c:pt idx="2">
                    <c:v>0.949</c:v>
                  </c:pt>
                  <c:pt idx="3">
                    <c:v>0.835</c:v>
                  </c:pt>
                </c:numCache>
              </c:numRef>
            </c:plus>
            <c:minus>
              <c:numRef>
                <c:f>('Fiber and Void'!$R$6,'Fiber and Void'!$R$12,'Fiber and Void'!$R$18,'Fiber and Void'!$R$24)</c:f>
                <c:numCache>
                  <c:formatCode>General</c:formatCode>
                  <c:ptCount val="4"/>
                  <c:pt idx="0">
                    <c:v>0.538</c:v>
                  </c:pt>
                  <c:pt idx="1">
                    <c:v>0.858</c:v>
                  </c:pt>
                  <c:pt idx="2">
                    <c:v>0.949</c:v>
                  </c:pt>
                  <c:pt idx="3">
                    <c:v>0.835</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Void'!$P$6,'Fiber and Void'!$P$12,'Fiber and Void'!$P$18,'Fiber and Void'!$P$24)</c:f>
              <c:numCache>
                <c:formatCode>0.00</c:formatCode>
                <c:ptCount val="4"/>
                <c:pt idx="0">
                  <c:v>2.154</c:v>
                </c:pt>
                <c:pt idx="1">
                  <c:v>3.871</c:v>
                </c:pt>
                <c:pt idx="2">
                  <c:v>5.948</c:v>
                </c:pt>
                <c:pt idx="3">
                  <c:v>8.295000000000001</c:v>
                </c:pt>
              </c:numCache>
            </c:numRef>
          </c:val>
        </c:ser>
        <c:ser>
          <c:idx val="3"/>
          <c:order val="3"/>
          <c:tx>
            <c:v>482.6 kPa</c:v>
          </c:tx>
          <c:spPr>
            <a:solidFill>
              <a:srgbClr val="7030A0"/>
            </a:solidFill>
            <a:ln>
              <a:solidFill>
                <a:sysClr val="windowText" lastClr="000000"/>
              </a:solidFill>
            </a:ln>
          </c:spPr>
          <c:invertIfNegative val="0"/>
          <c:errBars>
            <c:errBarType val="both"/>
            <c:errValType val="cust"/>
            <c:noEndCap val="0"/>
            <c:plus>
              <c:numRef>
                <c:f>('Fiber and Void'!$R$7,'Fiber and Void'!$R$13,'Fiber and Void'!$R$19,'Fiber and Void'!$R$25)</c:f>
                <c:numCache>
                  <c:formatCode>General</c:formatCode>
                  <c:ptCount val="4"/>
                  <c:pt idx="0">
                    <c:v>0.517</c:v>
                  </c:pt>
                  <c:pt idx="1">
                    <c:v>1.828</c:v>
                  </c:pt>
                  <c:pt idx="2">
                    <c:v>0.15</c:v>
                  </c:pt>
                  <c:pt idx="3">
                    <c:v>0.435</c:v>
                  </c:pt>
                </c:numCache>
              </c:numRef>
            </c:plus>
            <c:minus>
              <c:numRef>
                <c:f>('Fiber and Void'!$R$7,'Fiber and Void'!$R$13,'Fiber and Void'!$R$19,'Fiber and Void'!$R$25)</c:f>
                <c:numCache>
                  <c:formatCode>General</c:formatCode>
                  <c:ptCount val="4"/>
                  <c:pt idx="0">
                    <c:v>0.517</c:v>
                  </c:pt>
                  <c:pt idx="1">
                    <c:v>1.828</c:v>
                  </c:pt>
                  <c:pt idx="2">
                    <c:v>0.15</c:v>
                  </c:pt>
                  <c:pt idx="3">
                    <c:v>0.435</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Void'!$P$7,'Fiber and Void'!$P$13,'Fiber and Void'!$P$19,'Fiber and Void'!$P$25)</c:f>
              <c:numCache>
                <c:formatCode>0.00</c:formatCode>
                <c:ptCount val="4"/>
                <c:pt idx="0">
                  <c:v>1.726</c:v>
                </c:pt>
                <c:pt idx="1">
                  <c:v>3.647</c:v>
                </c:pt>
                <c:pt idx="2">
                  <c:v>5.437</c:v>
                </c:pt>
                <c:pt idx="3">
                  <c:v>7.861999999999996</c:v>
                </c:pt>
              </c:numCache>
            </c:numRef>
          </c:val>
        </c:ser>
        <c:dLbls>
          <c:showLegendKey val="0"/>
          <c:showVal val="0"/>
          <c:showCatName val="0"/>
          <c:showSerName val="0"/>
          <c:showPercent val="0"/>
          <c:showBubbleSize val="0"/>
        </c:dLbls>
        <c:gapWidth val="150"/>
        <c:axId val="424907128"/>
        <c:axId val="424913144"/>
      </c:barChart>
      <c:catAx>
        <c:axId val="424907128"/>
        <c:scaling>
          <c:orientation val="minMax"/>
        </c:scaling>
        <c:delete val="0"/>
        <c:axPos val="b"/>
        <c:title>
          <c:tx>
            <c:rich>
              <a:bodyPr/>
              <a:lstStyle/>
              <a:p>
                <a:pPr>
                  <a:defRPr/>
                </a:pPr>
                <a:r>
                  <a:rPr lang="en-US"/>
                  <a:t>Relative</a:t>
                </a:r>
                <a:r>
                  <a:rPr lang="en-US" baseline="0"/>
                  <a:t> Humidity Conditioning Level</a:t>
                </a:r>
                <a:endParaRPr lang="en-US"/>
              </a:p>
            </c:rich>
          </c:tx>
          <c:layout>
            <c:manualLayout>
              <c:xMode val="edge"/>
              <c:yMode val="edge"/>
              <c:x val="0.298151978883995"/>
              <c:y val="0.900488348047403"/>
            </c:manualLayout>
          </c:layout>
          <c:overlay val="0"/>
        </c:title>
        <c:numFmt formatCode="General" sourceLinked="0"/>
        <c:majorTickMark val="cross"/>
        <c:minorTickMark val="none"/>
        <c:tickLblPos val="nextTo"/>
        <c:spPr>
          <a:ln>
            <a:solidFill>
              <a:sysClr val="windowText" lastClr="000000"/>
            </a:solidFill>
          </a:ln>
        </c:spPr>
        <c:crossAx val="424913144"/>
        <c:crosses val="autoZero"/>
        <c:auto val="1"/>
        <c:lblAlgn val="ctr"/>
        <c:lblOffset val="100"/>
        <c:noMultiLvlLbl val="0"/>
      </c:catAx>
      <c:valAx>
        <c:axId val="424913144"/>
        <c:scaling>
          <c:orientation val="minMax"/>
          <c:max val="20.0"/>
          <c:min val="0.0"/>
        </c:scaling>
        <c:delete val="0"/>
        <c:axPos val="l"/>
        <c:title>
          <c:tx>
            <c:rich>
              <a:bodyPr rot="-5400000" vert="horz"/>
              <a:lstStyle/>
              <a:p>
                <a:pPr>
                  <a:defRPr/>
                </a:pPr>
                <a:r>
                  <a:rPr lang="en-US"/>
                  <a:t>Void Volume Fraction (%)</a:t>
                </a:r>
              </a:p>
            </c:rich>
          </c:tx>
          <c:overlay val="0"/>
        </c:title>
        <c:numFmt formatCode="0" sourceLinked="0"/>
        <c:majorTickMark val="out"/>
        <c:minorTickMark val="in"/>
        <c:tickLblPos val="nextTo"/>
        <c:spPr>
          <a:ln>
            <a:solidFill>
              <a:sysClr val="windowText" lastClr="000000"/>
            </a:solidFill>
          </a:ln>
        </c:spPr>
        <c:crossAx val="424907128"/>
        <c:crosses val="autoZero"/>
        <c:crossBetween val="between"/>
        <c:majorUnit val="5.0"/>
        <c:minorUnit val="1.0"/>
      </c:valAx>
      <c:spPr>
        <a:ln w="12700">
          <a:solidFill>
            <a:sysClr val="windowText" lastClr="000000"/>
          </a:solidFill>
        </a:ln>
      </c:spPr>
    </c:plotArea>
    <c:legend>
      <c:legendPos val="t"/>
      <c:layout>
        <c:manualLayout>
          <c:xMode val="edge"/>
          <c:yMode val="edge"/>
          <c:x val="0.393371776621143"/>
          <c:y val="0.0505050505050505"/>
          <c:w val="0.575779987247357"/>
          <c:h val="0.106828919112384"/>
        </c:manualLayout>
      </c:layou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070621468927"/>
          <c:y val="0.0406923566372385"/>
          <c:w val="0.874034839924673"/>
          <c:h val="0.690469657201941"/>
        </c:manualLayout>
      </c:layout>
      <c:barChart>
        <c:barDir val="col"/>
        <c:grouping val="clustered"/>
        <c:varyColors val="0"/>
        <c:ser>
          <c:idx val="0"/>
          <c:order val="0"/>
          <c:tx>
            <c:v>68.9 kPa</c:v>
          </c:tx>
          <c:spPr>
            <a:solidFill>
              <a:srgbClr val="0070C0"/>
            </a:solidFill>
            <a:ln>
              <a:solidFill>
                <a:sysClr val="windowText" lastClr="000000"/>
              </a:solidFill>
            </a:ln>
          </c:spPr>
          <c:invertIfNegative val="0"/>
          <c:errBars>
            <c:errBarType val="both"/>
            <c:errValType val="cust"/>
            <c:noEndCap val="0"/>
            <c:plus>
              <c:numRef>
                <c:f>('Fiber and Void'!$AB$4,'Fiber and Void'!$AB$10,'Fiber and Void'!$AB$16,'Fiber and Void'!$AB$22)</c:f>
                <c:numCache>
                  <c:formatCode>General</c:formatCode>
                  <c:ptCount val="4"/>
                  <c:pt idx="0">
                    <c:v>1.248</c:v>
                  </c:pt>
                  <c:pt idx="1">
                    <c:v>0.324</c:v>
                  </c:pt>
                  <c:pt idx="2">
                    <c:v>1.012</c:v>
                  </c:pt>
                  <c:pt idx="3">
                    <c:v>0.617</c:v>
                  </c:pt>
                </c:numCache>
              </c:numRef>
            </c:plus>
            <c:minus>
              <c:numRef>
                <c:f>('Fiber and Void'!$AB$4,'Fiber and Void'!$AB$10,'Fiber and Void'!$AB$16,'Fiber and Void'!$AB$22)</c:f>
                <c:numCache>
                  <c:formatCode>General</c:formatCode>
                  <c:ptCount val="4"/>
                  <c:pt idx="0">
                    <c:v>1.248</c:v>
                  </c:pt>
                  <c:pt idx="1">
                    <c:v>0.324</c:v>
                  </c:pt>
                  <c:pt idx="2">
                    <c:v>1.012</c:v>
                  </c:pt>
                  <c:pt idx="3">
                    <c:v>0.617</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Void'!$Z$4,'Fiber and Void'!$Z$10,'Fiber and Void'!$Z$16,'Fiber and Void'!$Z$22)</c:f>
              <c:numCache>
                <c:formatCode>0.00</c:formatCode>
                <c:ptCount val="4"/>
                <c:pt idx="0">
                  <c:v>3.209</c:v>
                </c:pt>
                <c:pt idx="1">
                  <c:v>3.961</c:v>
                </c:pt>
                <c:pt idx="2">
                  <c:v>3.909</c:v>
                </c:pt>
                <c:pt idx="3">
                  <c:v>4.75</c:v>
                </c:pt>
              </c:numCache>
            </c:numRef>
          </c:val>
        </c:ser>
        <c:ser>
          <c:idx val="1"/>
          <c:order val="1"/>
          <c:tx>
            <c:v>206.8 kPa</c:v>
          </c:tx>
          <c:spPr>
            <a:solidFill>
              <a:srgbClr val="C00000"/>
            </a:solidFill>
            <a:ln>
              <a:solidFill>
                <a:sysClr val="windowText" lastClr="000000"/>
              </a:solidFill>
            </a:ln>
          </c:spPr>
          <c:invertIfNegative val="0"/>
          <c:errBars>
            <c:errBarType val="both"/>
            <c:errValType val="cust"/>
            <c:noEndCap val="0"/>
            <c:plus>
              <c:numRef>
                <c:f>('Fiber and Void'!$AB$5,'Fiber and Void'!$AB$11,'Fiber and Void'!$AB$17,'Fiber and Void'!$AB$23)</c:f>
                <c:numCache>
                  <c:formatCode>General</c:formatCode>
                  <c:ptCount val="4"/>
                  <c:pt idx="0">
                    <c:v>0.232</c:v>
                  </c:pt>
                  <c:pt idx="1">
                    <c:v>0.595</c:v>
                  </c:pt>
                  <c:pt idx="2">
                    <c:v>0.559</c:v>
                  </c:pt>
                  <c:pt idx="3">
                    <c:v>0.771</c:v>
                  </c:pt>
                </c:numCache>
              </c:numRef>
            </c:plus>
            <c:minus>
              <c:numRef>
                <c:f>('Fiber and Void'!$AB$5,'Fiber and Void'!$AB$11,'Fiber and Void'!$AB$17,'Fiber and Void'!$AB$23)</c:f>
                <c:numCache>
                  <c:formatCode>General</c:formatCode>
                  <c:ptCount val="4"/>
                  <c:pt idx="0">
                    <c:v>0.232</c:v>
                  </c:pt>
                  <c:pt idx="1">
                    <c:v>0.595</c:v>
                  </c:pt>
                  <c:pt idx="2">
                    <c:v>0.559</c:v>
                  </c:pt>
                  <c:pt idx="3">
                    <c:v>0.771</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Void'!$Z$5,'Fiber and Void'!$Z$11,'Fiber and Void'!$Z$17,'Fiber and Void'!$Z$23)</c:f>
              <c:numCache>
                <c:formatCode>0.00</c:formatCode>
                <c:ptCount val="4"/>
                <c:pt idx="0">
                  <c:v>1.673</c:v>
                </c:pt>
                <c:pt idx="1">
                  <c:v>1.894</c:v>
                </c:pt>
                <c:pt idx="2">
                  <c:v>2.371</c:v>
                </c:pt>
                <c:pt idx="3">
                  <c:v>3.327</c:v>
                </c:pt>
              </c:numCache>
            </c:numRef>
          </c:val>
        </c:ser>
        <c:ser>
          <c:idx val="2"/>
          <c:order val="2"/>
          <c:tx>
            <c:v>344.7 kPa</c:v>
          </c:tx>
          <c:spPr>
            <a:solidFill>
              <a:srgbClr val="00B050"/>
            </a:solidFill>
            <a:ln>
              <a:solidFill>
                <a:sysClr val="windowText" lastClr="000000"/>
              </a:solidFill>
            </a:ln>
          </c:spPr>
          <c:invertIfNegative val="0"/>
          <c:errBars>
            <c:errBarType val="both"/>
            <c:errValType val="cust"/>
            <c:noEndCap val="0"/>
            <c:plus>
              <c:numRef>
                <c:f>('Fiber and Void'!$AB$6,'Fiber and Void'!$AB$12,'Fiber and Void'!$AB$18,'Fiber and Void'!$AB$24)</c:f>
                <c:numCache>
                  <c:formatCode>General</c:formatCode>
                  <c:ptCount val="4"/>
                  <c:pt idx="0">
                    <c:v>0.47</c:v>
                  </c:pt>
                  <c:pt idx="1">
                    <c:v>0.182</c:v>
                  </c:pt>
                  <c:pt idx="2">
                    <c:v>1.197</c:v>
                  </c:pt>
                  <c:pt idx="3">
                    <c:v>0.848</c:v>
                  </c:pt>
                </c:numCache>
              </c:numRef>
            </c:plus>
            <c:minus>
              <c:numRef>
                <c:f>('Fiber and Void'!$AB$6,'Fiber and Void'!$AB$12,'Fiber and Void'!$AB$18,'Fiber and Void'!$AB$24)</c:f>
                <c:numCache>
                  <c:formatCode>General</c:formatCode>
                  <c:ptCount val="4"/>
                  <c:pt idx="0">
                    <c:v>0.47</c:v>
                  </c:pt>
                  <c:pt idx="1">
                    <c:v>0.182</c:v>
                  </c:pt>
                  <c:pt idx="2">
                    <c:v>1.197</c:v>
                  </c:pt>
                  <c:pt idx="3">
                    <c:v>0.848</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Void'!$Z$6,'Fiber and Void'!$Z$12,'Fiber and Void'!$Z$18,'Fiber and Void'!$Z$24)</c:f>
              <c:numCache>
                <c:formatCode>0.00</c:formatCode>
                <c:ptCount val="4"/>
                <c:pt idx="0">
                  <c:v>1.277</c:v>
                </c:pt>
                <c:pt idx="1">
                  <c:v>2.039</c:v>
                </c:pt>
                <c:pt idx="2">
                  <c:v>2.184</c:v>
                </c:pt>
                <c:pt idx="3">
                  <c:v>3.632</c:v>
                </c:pt>
              </c:numCache>
            </c:numRef>
          </c:val>
        </c:ser>
        <c:ser>
          <c:idx val="3"/>
          <c:order val="3"/>
          <c:tx>
            <c:v>482.6 kPa</c:v>
          </c:tx>
          <c:spPr>
            <a:solidFill>
              <a:srgbClr val="7030A0"/>
            </a:solidFill>
            <a:ln>
              <a:solidFill>
                <a:sysClr val="windowText" lastClr="000000"/>
              </a:solidFill>
            </a:ln>
          </c:spPr>
          <c:invertIfNegative val="0"/>
          <c:errBars>
            <c:errBarType val="both"/>
            <c:errValType val="cust"/>
            <c:noEndCap val="0"/>
            <c:plus>
              <c:numRef>
                <c:f>('Fiber and Void'!$AB$7,'Fiber and Void'!$AB$13,'Fiber and Void'!$AB$19,'Fiber and Void'!$AB$25)</c:f>
                <c:numCache>
                  <c:formatCode>General</c:formatCode>
                  <c:ptCount val="4"/>
                  <c:pt idx="0">
                    <c:v>0.48</c:v>
                  </c:pt>
                  <c:pt idx="1">
                    <c:v>0.577</c:v>
                  </c:pt>
                  <c:pt idx="2">
                    <c:v>0.418</c:v>
                  </c:pt>
                  <c:pt idx="3">
                    <c:v>0.14</c:v>
                  </c:pt>
                </c:numCache>
              </c:numRef>
            </c:plus>
            <c:minus>
              <c:numRef>
                <c:f>('Fiber and Void'!$AB$7,'Fiber and Void'!$AB$13,'Fiber and Void'!$AB$19,'Fiber and Void'!$AB$25)</c:f>
                <c:numCache>
                  <c:formatCode>General</c:formatCode>
                  <c:ptCount val="4"/>
                  <c:pt idx="0">
                    <c:v>0.48</c:v>
                  </c:pt>
                  <c:pt idx="1">
                    <c:v>0.577</c:v>
                  </c:pt>
                  <c:pt idx="2">
                    <c:v>0.418</c:v>
                  </c:pt>
                  <c:pt idx="3">
                    <c:v>0.14</c:v>
                  </c:pt>
                </c:numCache>
              </c:numRef>
            </c:minus>
            <c:spPr>
              <a:ln w="15875">
                <a:solidFill>
                  <a:sysClr val="windowText" lastClr="000000"/>
                </a:solidFill>
              </a:ln>
            </c:spPr>
          </c:errBars>
          <c:cat>
            <c:strRef>
              <c:f>('Fiber and Void'!$A$3,'Fiber and Void'!$A$9,'Fiber and Void'!$A$15,'Fiber and Void'!$A$21)</c:f>
              <c:strCache>
                <c:ptCount val="4"/>
                <c:pt idx="0">
                  <c:v>2% RH</c:v>
                </c:pt>
                <c:pt idx="1">
                  <c:v>40% RH</c:v>
                </c:pt>
                <c:pt idx="2">
                  <c:v>70% RH</c:v>
                </c:pt>
                <c:pt idx="3">
                  <c:v>99% RH</c:v>
                </c:pt>
              </c:strCache>
            </c:strRef>
          </c:cat>
          <c:val>
            <c:numRef>
              <c:f>('Fiber and Void'!$Z$7,'Fiber and Void'!$Z$13,'Fiber and Void'!$Z$19,'Fiber and Void'!$Z$25)</c:f>
              <c:numCache>
                <c:formatCode>0.00</c:formatCode>
                <c:ptCount val="4"/>
                <c:pt idx="0">
                  <c:v>1.26</c:v>
                </c:pt>
                <c:pt idx="1">
                  <c:v>1.649</c:v>
                </c:pt>
                <c:pt idx="2">
                  <c:v>1.724</c:v>
                </c:pt>
                <c:pt idx="3">
                  <c:v>1.888</c:v>
                </c:pt>
              </c:numCache>
            </c:numRef>
          </c:val>
        </c:ser>
        <c:dLbls>
          <c:showLegendKey val="0"/>
          <c:showVal val="0"/>
          <c:showCatName val="0"/>
          <c:showSerName val="0"/>
          <c:showPercent val="0"/>
          <c:showBubbleSize val="0"/>
        </c:dLbls>
        <c:gapWidth val="150"/>
        <c:axId val="425121032"/>
        <c:axId val="425127048"/>
      </c:barChart>
      <c:catAx>
        <c:axId val="425121032"/>
        <c:scaling>
          <c:orientation val="minMax"/>
        </c:scaling>
        <c:delete val="0"/>
        <c:axPos val="b"/>
        <c:title>
          <c:tx>
            <c:rich>
              <a:bodyPr/>
              <a:lstStyle/>
              <a:p>
                <a:pPr>
                  <a:defRPr/>
                </a:pPr>
                <a:r>
                  <a:rPr lang="en-US"/>
                  <a:t>Relative</a:t>
                </a:r>
                <a:r>
                  <a:rPr lang="en-US" baseline="0"/>
                  <a:t> Humidity Conditioning Level</a:t>
                </a:r>
                <a:endParaRPr lang="en-US"/>
              </a:p>
            </c:rich>
          </c:tx>
          <c:layout>
            <c:manualLayout>
              <c:xMode val="edge"/>
              <c:yMode val="edge"/>
              <c:x val="0.298151978883995"/>
              <c:y val="0.900488348047403"/>
            </c:manualLayout>
          </c:layout>
          <c:overlay val="0"/>
        </c:title>
        <c:numFmt formatCode="General" sourceLinked="0"/>
        <c:majorTickMark val="cross"/>
        <c:minorTickMark val="none"/>
        <c:tickLblPos val="nextTo"/>
        <c:spPr>
          <a:ln>
            <a:solidFill>
              <a:sysClr val="windowText" lastClr="000000"/>
            </a:solidFill>
          </a:ln>
        </c:spPr>
        <c:crossAx val="425127048"/>
        <c:crosses val="autoZero"/>
        <c:auto val="1"/>
        <c:lblAlgn val="ctr"/>
        <c:lblOffset val="100"/>
        <c:noMultiLvlLbl val="0"/>
      </c:catAx>
      <c:valAx>
        <c:axId val="425127048"/>
        <c:scaling>
          <c:orientation val="minMax"/>
          <c:max val="7.0"/>
          <c:min val="0.0"/>
        </c:scaling>
        <c:delete val="0"/>
        <c:axPos val="l"/>
        <c:title>
          <c:tx>
            <c:rich>
              <a:bodyPr rot="-5400000" vert="horz"/>
              <a:lstStyle/>
              <a:p>
                <a:pPr>
                  <a:defRPr/>
                </a:pPr>
                <a:r>
                  <a:rPr lang="en-US"/>
                  <a:t>Void Volume Fraction (%)</a:t>
                </a:r>
              </a:p>
            </c:rich>
          </c:tx>
          <c:overlay val="0"/>
        </c:title>
        <c:numFmt formatCode="0" sourceLinked="0"/>
        <c:majorTickMark val="out"/>
        <c:minorTickMark val="in"/>
        <c:tickLblPos val="nextTo"/>
        <c:spPr>
          <a:ln>
            <a:solidFill>
              <a:sysClr val="windowText" lastClr="000000"/>
            </a:solidFill>
          </a:ln>
        </c:spPr>
        <c:crossAx val="425121032"/>
        <c:crosses val="autoZero"/>
        <c:crossBetween val="between"/>
        <c:majorUnit val="2.0"/>
        <c:minorUnit val="1.0"/>
      </c:valAx>
      <c:spPr>
        <a:ln w="12700">
          <a:solidFill>
            <a:sysClr val="windowText" lastClr="000000"/>
          </a:solidFill>
        </a:ln>
      </c:spPr>
    </c:plotArea>
    <c:legend>
      <c:legendPos val="t"/>
      <c:layout>
        <c:manualLayout>
          <c:xMode val="edge"/>
          <c:yMode val="edge"/>
          <c:x val="0.393371776621143"/>
          <c:y val="0.0505050505050505"/>
          <c:w val="0.575779987247357"/>
          <c:h val="0.106828919112384"/>
        </c:manualLayout>
      </c:layou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01878827646544"/>
          <c:y val="0.0333333333333333"/>
          <c:w val="0.721605059784194"/>
          <c:h val="0.759599008457276"/>
        </c:manualLayout>
      </c:layout>
      <c:scatterChart>
        <c:scatterStyle val="lineMarker"/>
        <c:varyColors val="0"/>
        <c:ser>
          <c:idx val="0"/>
          <c:order val="0"/>
          <c:tx>
            <c:v>69 kPa</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Void'!$B$4,'Fiber and Void'!$B$10,'Fiber and Void'!$B$16,'Fiber and Void'!$B$22)</c:f>
              <c:numCache>
                <c:formatCode>0.00</c:formatCode>
                <c:ptCount val="4"/>
                <c:pt idx="0">
                  <c:v>50.722</c:v>
                </c:pt>
                <c:pt idx="1">
                  <c:v>51.453</c:v>
                </c:pt>
                <c:pt idx="2">
                  <c:v>55.425</c:v>
                </c:pt>
                <c:pt idx="3">
                  <c:v>52.634</c:v>
                </c:pt>
              </c:numCache>
            </c:numRef>
          </c:yVal>
          <c:smooth val="0"/>
        </c:ser>
        <c:ser>
          <c:idx val="1"/>
          <c:order val="1"/>
          <c:tx>
            <c:v>207 kPa</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Void'!$B$5,'Fiber and Void'!$B$11,'Fiber and Void'!$B$17,'Fiber and Void'!$B$23)</c:f>
              <c:numCache>
                <c:formatCode>0.00</c:formatCode>
                <c:ptCount val="4"/>
                <c:pt idx="0">
                  <c:v>60.67400000000001</c:v>
                </c:pt>
                <c:pt idx="1">
                  <c:v>58.97300000000001</c:v>
                </c:pt>
                <c:pt idx="2">
                  <c:v>61.995</c:v>
                </c:pt>
                <c:pt idx="3">
                  <c:v>64.939</c:v>
                </c:pt>
              </c:numCache>
            </c:numRef>
          </c:yVal>
          <c:smooth val="0"/>
        </c:ser>
        <c:ser>
          <c:idx val="2"/>
          <c:order val="2"/>
          <c:tx>
            <c:v>345 kPa</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Void'!$B$6,'Fiber and Void'!$B$12,'Fiber and Void'!$B$18,'Fiber and Void'!$B$24)</c:f>
              <c:numCache>
                <c:formatCode>0.00</c:formatCode>
                <c:ptCount val="4"/>
                <c:pt idx="0">
                  <c:v>61.82400000000001</c:v>
                </c:pt>
                <c:pt idx="1">
                  <c:v>63.713</c:v>
                </c:pt>
                <c:pt idx="2">
                  <c:v>64.929</c:v>
                </c:pt>
                <c:pt idx="3">
                  <c:v>65.56500000000001</c:v>
                </c:pt>
              </c:numCache>
            </c:numRef>
          </c:yVal>
          <c:smooth val="0"/>
        </c:ser>
        <c:ser>
          <c:idx val="3"/>
          <c:order val="3"/>
          <c:tx>
            <c:v>483 kPa</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Void'!$B$7,'Fiber and Void'!$B$13,'Fiber and Void'!$B$19,'Fiber and Void'!$B$25)</c:f>
              <c:numCache>
                <c:formatCode>0.00</c:formatCode>
                <c:ptCount val="4"/>
                <c:pt idx="0">
                  <c:v>66.778</c:v>
                </c:pt>
                <c:pt idx="1">
                  <c:v>64.763</c:v>
                </c:pt>
                <c:pt idx="2">
                  <c:v>66.62099999999998</c:v>
                </c:pt>
                <c:pt idx="3">
                  <c:v>64.118</c:v>
                </c:pt>
              </c:numCache>
            </c:numRef>
          </c:yVal>
          <c:smooth val="0"/>
        </c:ser>
        <c:dLbls>
          <c:showLegendKey val="0"/>
          <c:showVal val="0"/>
          <c:showCatName val="0"/>
          <c:showSerName val="0"/>
          <c:showPercent val="0"/>
          <c:showBubbleSize val="0"/>
        </c:dLbls>
        <c:axId val="425214696"/>
        <c:axId val="425220568"/>
      </c:scatterChart>
      <c:valAx>
        <c:axId val="425214696"/>
        <c:scaling>
          <c:orientation val="minMax"/>
          <c:max val="100.0"/>
          <c:min val="0.0"/>
        </c:scaling>
        <c:delete val="0"/>
        <c:axPos val="b"/>
        <c:title>
          <c:tx>
            <c:rich>
              <a:bodyPr/>
              <a:lstStyle/>
              <a:p>
                <a:pPr>
                  <a:defRPr/>
                </a:pPr>
                <a:r>
                  <a:rPr lang="en-US"/>
                  <a:t>Relative</a:t>
                </a:r>
                <a:r>
                  <a:rPr lang="en-US" baseline="0"/>
                  <a:t> Humidity </a:t>
                </a:r>
                <a:r>
                  <a:rPr lang="en-US"/>
                  <a:t>(% RH)</a:t>
                </a:r>
              </a:p>
            </c:rich>
          </c:tx>
          <c:overlay val="0"/>
        </c:title>
        <c:numFmt formatCode="General" sourceLinked="1"/>
        <c:majorTickMark val="out"/>
        <c:minorTickMark val="in"/>
        <c:tickLblPos val="nextTo"/>
        <c:spPr>
          <a:ln w="12700" cmpd="sng">
            <a:solidFill>
              <a:srgbClr val="000000"/>
            </a:solidFill>
          </a:ln>
        </c:spPr>
        <c:crossAx val="425220568"/>
        <c:crosses val="autoZero"/>
        <c:crossBetween val="midCat"/>
        <c:majorUnit val="20.0"/>
        <c:minorUnit val="5.0"/>
      </c:valAx>
      <c:valAx>
        <c:axId val="425220568"/>
        <c:scaling>
          <c:orientation val="minMax"/>
          <c:max val="75.0"/>
          <c:min val="48.0"/>
        </c:scaling>
        <c:delete val="0"/>
        <c:axPos val="l"/>
        <c:title>
          <c:tx>
            <c:rich>
              <a:bodyPr rot="-5400000" vert="horz"/>
              <a:lstStyle/>
              <a:p>
                <a:pPr>
                  <a:defRPr/>
                </a:pPr>
                <a:r>
                  <a:rPr lang="en-US"/>
                  <a:t>Fiber Volume</a:t>
                </a:r>
                <a:r>
                  <a:rPr lang="en-US" baseline="0"/>
                  <a:t> Frac</a:t>
                </a:r>
                <a:r>
                  <a:rPr lang="en-US"/>
                  <a:t>tion (%)</a:t>
                </a:r>
              </a:p>
            </c:rich>
          </c:tx>
          <c:overlay val="0"/>
        </c:title>
        <c:numFmt formatCode="0" sourceLinked="0"/>
        <c:majorTickMark val="out"/>
        <c:minorTickMark val="in"/>
        <c:tickLblPos val="nextTo"/>
        <c:spPr>
          <a:ln w="12700" cmpd="sng">
            <a:solidFill>
              <a:schemeClr val="tx1"/>
            </a:solidFill>
          </a:ln>
        </c:spPr>
        <c:crossAx val="425214696"/>
        <c:crosses val="autoZero"/>
        <c:crossBetween val="midCat"/>
        <c:majorUnit val="4.0"/>
        <c:minorUnit val="1.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14586285331764"/>
          <c:y val="0.0994036979245718"/>
          <c:w val="0.455713936315695"/>
          <c:h val="0.111365165892725"/>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01878827646544"/>
          <c:y val="0.0333333333333333"/>
          <c:w val="0.721605059784194"/>
          <c:h val="0.759599008457276"/>
        </c:manualLayout>
      </c:layout>
      <c:scatterChart>
        <c:scatterStyle val="lineMarker"/>
        <c:varyColors val="0"/>
        <c:ser>
          <c:idx val="0"/>
          <c:order val="0"/>
          <c:tx>
            <c:v>69 kPa</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Void'!$L$4,'Fiber and Void'!$L$10,'Fiber and Void'!$L$16,'Fiber and Void'!$L$22)</c:f>
              <c:numCache>
                <c:formatCode>0.00</c:formatCode>
                <c:ptCount val="4"/>
                <c:pt idx="0">
                  <c:v>49.041</c:v>
                </c:pt>
                <c:pt idx="1">
                  <c:v>48.436</c:v>
                </c:pt>
                <c:pt idx="2">
                  <c:v>48.205</c:v>
                </c:pt>
                <c:pt idx="3">
                  <c:v>49.207</c:v>
                </c:pt>
              </c:numCache>
            </c:numRef>
          </c:yVal>
          <c:smooth val="0"/>
        </c:ser>
        <c:ser>
          <c:idx val="1"/>
          <c:order val="1"/>
          <c:tx>
            <c:v>207 kPa</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Void'!$L$5,'Fiber and Void'!$L$11,'Fiber and Void'!$L$17,'Fiber and Void'!$L$23)</c:f>
              <c:numCache>
                <c:formatCode>0.00</c:formatCode>
                <c:ptCount val="4"/>
                <c:pt idx="0">
                  <c:v>53.207</c:v>
                </c:pt>
                <c:pt idx="1">
                  <c:v>54.552</c:v>
                </c:pt>
                <c:pt idx="2">
                  <c:v>53.74</c:v>
                </c:pt>
                <c:pt idx="3">
                  <c:v>53.911</c:v>
                </c:pt>
              </c:numCache>
            </c:numRef>
          </c:yVal>
          <c:smooth val="0"/>
        </c:ser>
        <c:ser>
          <c:idx val="2"/>
          <c:order val="2"/>
          <c:tx>
            <c:v>345 kPa</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Void'!$L$6,'Fiber and Void'!$L$12,'Fiber and Void'!$L$18,'Fiber and Void'!$L$24)</c:f>
              <c:numCache>
                <c:formatCode>0.00</c:formatCode>
                <c:ptCount val="4"/>
                <c:pt idx="0">
                  <c:v>58.17400000000001</c:v>
                </c:pt>
                <c:pt idx="1">
                  <c:v>58.332</c:v>
                </c:pt>
                <c:pt idx="2">
                  <c:v>58.285</c:v>
                </c:pt>
                <c:pt idx="3">
                  <c:v>58.167</c:v>
                </c:pt>
              </c:numCache>
            </c:numRef>
          </c:yVal>
          <c:smooth val="0"/>
        </c:ser>
        <c:ser>
          <c:idx val="3"/>
          <c:order val="3"/>
          <c:tx>
            <c:v>483 kPa</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Void'!$L$7,'Fiber and Void'!$L$13,'Fiber and Void'!$L$19,'Fiber and Void'!$L$25)</c:f>
              <c:numCache>
                <c:formatCode>0.00</c:formatCode>
                <c:ptCount val="4"/>
                <c:pt idx="0">
                  <c:v>60.525</c:v>
                </c:pt>
                <c:pt idx="1">
                  <c:v>61.745</c:v>
                </c:pt>
                <c:pt idx="2">
                  <c:v>62.579</c:v>
                </c:pt>
                <c:pt idx="3">
                  <c:v>59.28</c:v>
                </c:pt>
              </c:numCache>
            </c:numRef>
          </c:yVal>
          <c:smooth val="0"/>
        </c:ser>
        <c:dLbls>
          <c:showLegendKey val="0"/>
          <c:showVal val="0"/>
          <c:showCatName val="0"/>
          <c:showSerName val="0"/>
          <c:showPercent val="0"/>
          <c:showBubbleSize val="0"/>
        </c:dLbls>
        <c:axId val="425277336"/>
        <c:axId val="425283208"/>
      </c:scatterChart>
      <c:valAx>
        <c:axId val="425277336"/>
        <c:scaling>
          <c:orientation val="minMax"/>
          <c:max val="100.0"/>
          <c:min val="0.0"/>
        </c:scaling>
        <c:delete val="0"/>
        <c:axPos val="b"/>
        <c:title>
          <c:tx>
            <c:rich>
              <a:bodyPr/>
              <a:lstStyle/>
              <a:p>
                <a:pPr>
                  <a:defRPr/>
                </a:pPr>
                <a:r>
                  <a:rPr lang="en-US"/>
                  <a:t>Relative</a:t>
                </a:r>
                <a:r>
                  <a:rPr lang="en-US" baseline="0"/>
                  <a:t> Humidity </a:t>
                </a:r>
                <a:r>
                  <a:rPr lang="en-US"/>
                  <a:t>(% RH)</a:t>
                </a:r>
              </a:p>
            </c:rich>
          </c:tx>
          <c:overlay val="0"/>
        </c:title>
        <c:numFmt formatCode="General" sourceLinked="1"/>
        <c:majorTickMark val="out"/>
        <c:minorTickMark val="in"/>
        <c:tickLblPos val="nextTo"/>
        <c:spPr>
          <a:ln w="12700" cmpd="sng">
            <a:solidFill>
              <a:srgbClr val="000000"/>
            </a:solidFill>
          </a:ln>
        </c:spPr>
        <c:crossAx val="425283208"/>
        <c:crosses val="autoZero"/>
        <c:crossBetween val="midCat"/>
        <c:majorUnit val="20.0"/>
        <c:minorUnit val="5.0"/>
      </c:valAx>
      <c:valAx>
        <c:axId val="425283208"/>
        <c:scaling>
          <c:orientation val="minMax"/>
          <c:max val="75.0"/>
          <c:min val="48.0"/>
        </c:scaling>
        <c:delete val="0"/>
        <c:axPos val="l"/>
        <c:title>
          <c:tx>
            <c:rich>
              <a:bodyPr rot="-5400000" vert="horz"/>
              <a:lstStyle/>
              <a:p>
                <a:pPr>
                  <a:defRPr/>
                </a:pPr>
                <a:r>
                  <a:rPr lang="en-US"/>
                  <a:t>Fiber Volume Fraction (%)</a:t>
                </a:r>
              </a:p>
            </c:rich>
          </c:tx>
          <c:overlay val="0"/>
        </c:title>
        <c:numFmt formatCode="0" sourceLinked="0"/>
        <c:majorTickMark val="out"/>
        <c:minorTickMark val="in"/>
        <c:tickLblPos val="nextTo"/>
        <c:spPr>
          <a:ln w="12700" cmpd="sng">
            <a:solidFill>
              <a:schemeClr val="tx1"/>
            </a:solidFill>
          </a:ln>
        </c:spPr>
        <c:crossAx val="425277336"/>
        <c:crosses val="autoZero"/>
        <c:crossBetween val="midCat"/>
        <c:majorUnit val="4.0"/>
        <c:minorUnit val="1.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14586285331764"/>
          <c:y val="0.0994036979245718"/>
          <c:w val="0.455713936315695"/>
          <c:h val="0.111365165892725"/>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01878827646544"/>
          <c:y val="0.0333333333333333"/>
          <c:w val="0.721605059784194"/>
          <c:h val="0.759599008457276"/>
        </c:manualLayout>
      </c:layout>
      <c:scatterChart>
        <c:scatterStyle val="lineMarker"/>
        <c:varyColors val="0"/>
        <c:ser>
          <c:idx val="0"/>
          <c:order val="0"/>
          <c:tx>
            <c:v>69 kPa</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Void'!$V$4,'Fiber and Void'!$V$10,'Fiber and Void'!$V$16,'Fiber and Void'!$V$22)</c:f>
              <c:numCache>
                <c:formatCode>0.00</c:formatCode>
                <c:ptCount val="4"/>
                <c:pt idx="0">
                  <c:v>55.235</c:v>
                </c:pt>
                <c:pt idx="1">
                  <c:v>51.71</c:v>
                </c:pt>
                <c:pt idx="2">
                  <c:v>53.611</c:v>
                </c:pt>
                <c:pt idx="3">
                  <c:v>52.665</c:v>
                </c:pt>
              </c:numCache>
            </c:numRef>
          </c:yVal>
          <c:smooth val="0"/>
        </c:ser>
        <c:ser>
          <c:idx val="1"/>
          <c:order val="1"/>
          <c:tx>
            <c:v>207 kPa</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Void'!$V$5,'Fiber and Void'!$V$11,'Fiber and Void'!$V$17,'Fiber and Void'!$V$23)</c:f>
              <c:numCache>
                <c:formatCode>0.00</c:formatCode>
                <c:ptCount val="4"/>
                <c:pt idx="0">
                  <c:v>61.73300000000001</c:v>
                </c:pt>
                <c:pt idx="1">
                  <c:v>56.908</c:v>
                </c:pt>
                <c:pt idx="2">
                  <c:v>61.611</c:v>
                </c:pt>
                <c:pt idx="3">
                  <c:v>60.46100000000001</c:v>
                </c:pt>
              </c:numCache>
            </c:numRef>
          </c:yVal>
          <c:smooth val="0"/>
        </c:ser>
        <c:ser>
          <c:idx val="2"/>
          <c:order val="2"/>
          <c:tx>
            <c:v>345 kPa</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Void'!$V$6,'Fiber and Void'!$V$12,'Fiber and Void'!$V$18,'Fiber and Void'!$V$24)</c:f>
              <c:numCache>
                <c:formatCode>0.00</c:formatCode>
                <c:ptCount val="4"/>
                <c:pt idx="0">
                  <c:v>62.004</c:v>
                </c:pt>
                <c:pt idx="1">
                  <c:v>59.48</c:v>
                </c:pt>
                <c:pt idx="2">
                  <c:v>62.668</c:v>
                </c:pt>
                <c:pt idx="3">
                  <c:v>59.137</c:v>
                </c:pt>
              </c:numCache>
            </c:numRef>
          </c:yVal>
          <c:smooth val="0"/>
        </c:ser>
        <c:ser>
          <c:idx val="3"/>
          <c:order val="3"/>
          <c:tx>
            <c:v>483 kPa</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Void'!$V$7,'Fiber and Void'!$V$13,'Fiber and Void'!$V$19,'Fiber and Void'!$V$25)</c:f>
              <c:numCache>
                <c:formatCode>0.00</c:formatCode>
                <c:ptCount val="4"/>
                <c:pt idx="0">
                  <c:v>66.061</c:v>
                </c:pt>
                <c:pt idx="1">
                  <c:v>61.954</c:v>
                </c:pt>
                <c:pt idx="2">
                  <c:v>61.895</c:v>
                </c:pt>
                <c:pt idx="3">
                  <c:v>61.157</c:v>
                </c:pt>
              </c:numCache>
            </c:numRef>
          </c:yVal>
          <c:smooth val="0"/>
        </c:ser>
        <c:dLbls>
          <c:showLegendKey val="0"/>
          <c:showVal val="0"/>
          <c:showCatName val="0"/>
          <c:showSerName val="0"/>
          <c:showPercent val="0"/>
          <c:showBubbleSize val="0"/>
        </c:dLbls>
        <c:axId val="425349128"/>
        <c:axId val="425355000"/>
      </c:scatterChart>
      <c:valAx>
        <c:axId val="425349128"/>
        <c:scaling>
          <c:orientation val="minMax"/>
          <c:max val="100.0"/>
          <c:min val="0.0"/>
        </c:scaling>
        <c:delete val="0"/>
        <c:axPos val="b"/>
        <c:title>
          <c:tx>
            <c:rich>
              <a:bodyPr/>
              <a:lstStyle/>
              <a:p>
                <a:pPr>
                  <a:defRPr/>
                </a:pPr>
                <a:r>
                  <a:rPr lang="en-US"/>
                  <a:t>Relative</a:t>
                </a:r>
                <a:r>
                  <a:rPr lang="en-US" baseline="0"/>
                  <a:t> Humidity </a:t>
                </a:r>
                <a:r>
                  <a:rPr lang="en-US"/>
                  <a:t>(% RH)</a:t>
                </a:r>
              </a:p>
            </c:rich>
          </c:tx>
          <c:overlay val="0"/>
        </c:title>
        <c:numFmt formatCode="General" sourceLinked="1"/>
        <c:majorTickMark val="out"/>
        <c:minorTickMark val="in"/>
        <c:tickLblPos val="nextTo"/>
        <c:spPr>
          <a:ln w="12700" cmpd="sng">
            <a:solidFill>
              <a:srgbClr val="000000"/>
            </a:solidFill>
          </a:ln>
        </c:spPr>
        <c:crossAx val="425355000"/>
        <c:crosses val="autoZero"/>
        <c:crossBetween val="midCat"/>
        <c:majorUnit val="20.0"/>
        <c:minorUnit val="5.0"/>
      </c:valAx>
      <c:valAx>
        <c:axId val="425355000"/>
        <c:scaling>
          <c:orientation val="minMax"/>
          <c:max val="75.0"/>
          <c:min val="48.0"/>
        </c:scaling>
        <c:delete val="0"/>
        <c:axPos val="l"/>
        <c:title>
          <c:tx>
            <c:rich>
              <a:bodyPr rot="-5400000" vert="horz"/>
              <a:lstStyle/>
              <a:p>
                <a:pPr>
                  <a:defRPr/>
                </a:pPr>
                <a:r>
                  <a:rPr lang="en-US"/>
                  <a:t>Fiber Volume Fraction (%)</a:t>
                </a:r>
              </a:p>
            </c:rich>
          </c:tx>
          <c:overlay val="0"/>
        </c:title>
        <c:numFmt formatCode="0" sourceLinked="0"/>
        <c:majorTickMark val="out"/>
        <c:minorTickMark val="in"/>
        <c:tickLblPos val="nextTo"/>
        <c:spPr>
          <a:ln w="12700" cmpd="sng">
            <a:solidFill>
              <a:schemeClr val="tx1"/>
            </a:solidFill>
          </a:ln>
        </c:spPr>
        <c:crossAx val="425349128"/>
        <c:crosses val="autoZero"/>
        <c:crossBetween val="midCat"/>
        <c:majorUnit val="4.0"/>
        <c:minorUnit val="1.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14586285331764"/>
          <c:y val="0.0994036979245718"/>
          <c:w val="0.455713936315695"/>
          <c:h val="0.111365165892725"/>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01878827646544"/>
          <c:y val="0.0333333333333333"/>
          <c:w val="0.721605059784194"/>
          <c:h val="0.759599008457276"/>
        </c:manualLayout>
      </c:layout>
      <c:scatterChart>
        <c:scatterStyle val="lineMarker"/>
        <c:varyColors val="0"/>
        <c:ser>
          <c:idx val="0"/>
          <c:order val="0"/>
          <c:tx>
            <c:v>2% RH</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power"/>
            <c:dispRSqr val="0"/>
            <c:dispEq val="0"/>
          </c:trendline>
          <c:xVal>
            <c:numRef>
              <c:f>'Fiber and Void'!$A$4:$A$7</c:f>
              <c:numCache>
                <c:formatCode>General</c:formatCode>
                <c:ptCount val="4"/>
                <c:pt idx="0">
                  <c:v>68.9</c:v>
                </c:pt>
                <c:pt idx="1">
                  <c:v>206.8</c:v>
                </c:pt>
                <c:pt idx="2">
                  <c:v>344.7</c:v>
                </c:pt>
                <c:pt idx="3">
                  <c:v>482.6</c:v>
                </c:pt>
              </c:numCache>
            </c:numRef>
          </c:xVal>
          <c:yVal>
            <c:numRef>
              <c:f>'Fiber and Void'!$B$4:$B$7</c:f>
              <c:numCache>
                <c:formatCode>0.00</c:formatCode>
                <c:ptCount val="4"/>
                <c:pt idx="0">
                  <c:v>50.722</c:v>
                </c:pt>
                <c:pt idx="1">
                  <c:v>60.67400000000001</c:v>
                </c:pt>
                <c:pt idx="2">
                  <c:v>61.82400000000001</c:v>
                </c:pt>
                <c:pt idx="3">
                  <c:v>66.778</c:v>
                </c:pt>
              </c:numCache>
            </c:numRef>
          </c:yVal>
          <c:smooth val="0"/>
        </c:ser>
        <c:ser>
          <c:idx val="1"/>
          <c:order val="1"/>
          <c:tx>
            <c:v>40% RH</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power"/>
            <c:dispRSqr val="0"/>
            <c:dispEq val="0"/>
          </c:trendline>
          <c:xVal>
            <c:numRef>
              <c:f>'Fiber and Void'!$A$10:$A$13</c:f>
              <c:numCache>
                <c:formatCode>General</c:formatCode>
                <c:ptCount val="4"/>
                <c:pt idx="0">
                  <c:v>68.9</c:v>
                </c:pt>
                <c:pt idx="1">
                  <c:v>206.8</c:v>
                </c:pt>
                <c:pt idx="2">
                  <c:v>344.7</c:v>
                </c:pt>
                <c:pt idx="3">
                  <c:v>482.6</c:v>
                </c:pt>
              </c:numCache>
            </c:numRef>
          </c:xVal>
          <c:yVal>
            <c:numRef>
              <c:f>'Fiber and Void'!$B$10:$B$13</c:f>
              <c:numCache>
                <c:formatCode>0.00</c:formatCode>
                <c:ptCount val="4"/>
                <c:pt idx="0">
                  <c:v>51.453</c:v>
                </c:pt>
                <c:pt idx="1">
                  <c:v>58.97300000000001</c:v>
                </c:pt>
                <c:pt idx="2">
                  <c:v>63.713</c:v>
                </c:pt>
                <c:pt idx="3">
                  <c:v>64.763</c:v>
                </c:pt>
              </c:numCache>
            </c:numRef>
          </c:yVal>
          <c:smooth val="0"/>
        </c:ser>
        <c:ser>
          <c:idx val="2"/>
          <c:order val="2"/>
          <c:tx>
            <c:v>70% RH</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power"/>
            <c:dispRSqr val="0"/>
            <c:dispEq val="0"/>
          </c:trendline>
          <c:xVal>
            <c:numRef>
              <c:f>'Fiber and Void'!$A$16:$A$19</c:f>
              <c:numCache>
                <c:formatCode>General</c:formatCode>
                <c:ptCount val="4"/>
                <c:pt idx="0">
                  <c:v>68.9</c:v>
                </c:pt>
                <c:pt idx="1">
                  <c:v>206.8</c:v>
                </c:pt>
                <c:pt idx="2">
                  <c:v>344.7</c:v>
                </c:pt>
                <c:pt idx="3">
                  <c:v>482.6</c:v>
                </c:pt>
              </c:numCache>
            </c:numRef>
          </c:xVal>
          <c:yVal>
            <c:numRef>
              <c:f>'Fiber and Void'!$B$16:$B$19</c:f>
              <c:numCache>
                <c:formatCode>0.00</c:formatCode>
                <c:ptCount val="4"/>
                <c:pt idx="0">
                  <c:v>55.425</c:v>
                </c:pt>
                <c:pt idx="1">
                  <c:v>61.995</c:v>
                </c:pt>
                <c:pt idx="2">
                  <c:v>64.929</c:v>
                </c:pt>
                <c:pt idx="3">
                  <c:v>66.62099999999998</c:v>
                </c:pt>
              </c:numCache>
            </c:numRef>
          </c:yVal>
          <c:smooth val="0"/>
        </c:ser>
        <c:ser>
          <c:idx val="3"/>
          <c:order val="3"/>
          <c:tx>
            <c:v>99% RH</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power"/>
            <c:dispRSqr val="0"/>
            <c:dispEq val="0"/>
          </c:trendline>
          <c:xVal>
            <c:numRef>
              <c:f>'Fiber and Void'!$A$22:$A$25</c:f>
              <c:numCache>
                <c:formatCode>General</c:formatCode>
                <c:ptCount val="4"/>
                <c:pt idx="0">
                  <c:v>68.9</c:v>
                </c:pt>
                <c:pt idx="1">
                  <c:v>206.8</c:v>
                </c:pt>
                <c:pt idx="2">
                  <c:v>344.7</c:v>
                </c:pt>
                <c:pt idx="3">
                  <c:v>482.6</c:v>
                </c:pt>
              </c:numCache>
            </c:numRef>
          </c:xVal>
          <c:yVal>
            <c:numRef>
              <c:f>'Fiber and Void'!$B$22:$B$25</c:f>
              <c:numCache>
                <c:formatCode>0.00</c:formatCode>
                <c:ptCount val="4"/>
                <c:pt idx="0">
                  <c:v>52.634</c:v>
                </c:pt>
                <c:pt idx="1">
                  <c:v>64.939</c:v>
                </c:pt>
                <c:pt idx="2">
                  <c:v>65.56500000000001</c:v>
                </c:pt>
                <c:pt idx="3">
                  <c:v>64.118</c:v>
                </c:pt>
              </c:numCache>
            </c:numRef>
          </c:yVal>
          <c:smooth val="0"/>
        </c:ser>
        <c:dLbls>
          <c:showLegendKey val="0"/>
          <c:showVal val="0"/>
          <c:showCatName val="0"/>
          <c:showSerName val="0"/>
          <c:showPercent val="0"/>
          <c:showBubbleSize val="0"/>
        </c:dLbls>
        <c:axId val="425429928"/>
        <c:axId val="425435560"/>
      </c:scatterChart>
      <c:valAx>
        <c:axId val="425429928"/>
        <c:scaling>
          <c:orientation val="minMax"/>
          <c:max val="525.0"/>
          <c:min val="0.0"/>
        </c:scaling>
        <c:delete val="0"/>
        <c:axPos val="b"/>
        <c:title>
          <c:tx>
            <c:rich>
              <a:bodyPr/>
              <a:lstStyle/>
              <a:p>
                <a:pPr>
                  <a:defRPr/>
                </a:pPr>
                <a:r>
                  <a:rPr lang="en-US"/>
                  <a:t>Fabrication Pressure (kPa)</a:t>
                </a:r>
              </a:p>
            </c:rich>
          </c:tx>
          <c:overlay val="0"/>
        </c:title>
        <c:numFmt formatCode="General" sourceLinked="1"/>
        <c:majorTickMark val="out"/>
        <c:minorTickMark val="in"/>
        <c:tickLblPos val="nextTo"/>
        <c:spPr>
          <a:ln w="12700" cmpd="sng">
            <a:solidFill>
              <a:srgbClr val="000000"/>
            </a:solidFill>
          </a:ln>
        </c:spPr>
        <c:crossAx val="425435560"/>
        <c:crosses val="autoZero"/>
        <c:crossBetween val="midCat"/>
        <c:majorUnit val="100.0"/>
        <c:minorUnit val="25.0"/>
      </c:valAx>
      <c:valAx>
        <c:axId val="425435560"/>
        <c:scaling>
          <c:orientation val="minMax"/>
          <c:max val="70.0"/>
          <c:min val="48.0"/>
        </c:scaling>
        <c:delete val="0"/>
        <c:axPos val="l"/>
        <c:title>
          <c:tx>
            <c:rich>
              <a:bodyPr rot="-5400000" vert="horz"/>
              <a:lstStyle/>
              <a:p>
                <a:pPr>
                  <a:defRPr/>
                </a:pPr>
                <a:r>
                  <a:rPr lang="en-US"/>
                  <a:t>Fiber Volume Fraction (%)</a:t>
                </a:r>
              </a:p>
            </c:rich>
          </c:tx>
          <c:overlay val="0"/>
        </c:title>
        <c:numFmt formatCode="0" sourceLinked="0"/>
        <c:majorTickMark val="out"/>
        <c:minorTickMark val="in"/>
        <c:tickLblPos val="nextTo"/>
        <c:spPr>
          <a:ln w="12700" cmpd="sng">
            <a:solidFill>
              <a:schemeClr val="tx1"/>
            </a:solidFill>
          </a:ln>
        </c:spPr>
        <c:crossAx val="425429928"/>
        <c:crosses val="autoZero"/>
        <c:crossBetween val="midCat"/>
        <c:majorUnit val="4.0"/>
        <c:minorUnit val="1.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09971034960264"/>
          <c:y val="0.0994035253237684"/>
          <c:w val="0.234360959117398"/>
          <c:h val="0.230524850259102"/>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01878827646544"/>
          <c:y val="0.0333333333333333"/>
          <c:w val="0.721605059784194"/>
          <c:h val="0.759599008457276"/>
        </c:manualLayout>
      </c:layout>
      <c:scatterChart>
        <c:scatterStyle val="lineMarker"/>
        <c:varyColors val="0"/>
        <c:ser>
          <c:idx val="0"/>
          <c:order val="0"/>
          <c:tx>
            <c:v>2% RH</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power"/>
            <c:dispRSqr val="0"/>
            <c:dispEq val="0"/>
          </c:trendline>
          <c:xVal>
            <c:numRef>
              <c:f>'Fiber and Void'!$A$4:$A$7</c:f>
              <c:numCache>
                <c:formatCode>General</c:formatCode>
                <c:ptCount val="4"/>
                <c:pt idx="0">
                  <c:v>68.9</c:v>
                </c:pt>
                <c:pt idx="1">
                  <c:v>206.8</c:v>
                </c:pt>
                <c:pt idx="2">
                  <c:v>344.7</c:v>
                </c:pt>
                <c:pt idx="3">
                  <c:v>482.6</c:v>
                </c:pt>
              </c:numCache>
            </c:numRef>
          </c:xVal>
          <c:yVal>
            <c:numRef>
              <c:f>'Fiber and Void'!$L$4:$L$7</c:f>
              <c:numCache>
                <c:formatCode>0.00</c:formatCode>
                <c:ptCount val="4"/>
                <c:pt idx="0">
                  <c:v>49.041</c:v>
                </c:pt>
                <c:pt idx="1">
                  <c:v>53.207</c:v>
                </c:pt>
                <c:pt idx="2">
                  <c:v>58.17400000000001</c:v>
                </c:pt>
                <c:pt idx="3">
                  <c:v>60.525</c:v>
                </c:pt>
              </c:numCache>
            </c:numRef>
          </c:yVal>
          <c:smooth val="0"/>
        </c:ser>
        <c:ser>
          <c:idx val="1"/>
          <c:order val="1"/>
          <c:tx>
            <c:v>40% RH</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power"/>
            <c:dispRSqr val="0"/>
            <c:dispEq val="0"/>
          </c:trendline>
          <c:xVal>
            <c:numRef>
              <c:f>'Fiber and Void'!$A$10:$A$13</c:f>
              <c:numCache>
                <c:formatCode>General</c:formatCode>
                <c:ptCount val="4"/>
                <c:pt idx="0">
                  <c:v>68.9</c:v>
                </c:pt>
                <c:pt idx="1">
                  <c:v>206.8</c:v>
                </c:pt>
                <c:pt idx="2">
                  <c:v>344.7</c:v>
                </c:pt>
                <c:pt idx="3">
                  <c:v>482.6</c:v>
                </c:pt>
              </c:numCache>
            </c:numRef>
          </c:xVal>
          <c:yVal>
            <c:numRef>
              <c:f>'Fiber and Void'!$L$10:$L$13</c:f>
              <c:numCache>
                <c:formatCode>0.00</c:formatCode>
                <c:ptCount val="4"/>
                <c:pt idx="0">
                  <c:v>48.436</c:v>
                </c:pt>
                <c:pt idx="1">
                  <c:v>54.552</c:v>
                </c:pt>
                <c:pt idx="2">
                  <c:v>58.332</c:v>
                </c:pt>
                <c:pt idx="3">
                  <c:v>61.745</c:v>
                </c:pt>
              </c:numCache>
            </c:numRef>
          </c:yVal>
          <c:smooth val="0"/>
        </c:ser>
        <c:ser>
          <c:idx val="2"/>
          <c:order val="2"/>
          <c:tx>
            <c:v>70% RH</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power"/>
            <c:dispRSqr val="0"/>
            <c:dispEq val="0"/>
          </c:trendline>
          <c:xVal>
            <c:numRef>
              <c:f>'Fiber and Void'!$A$16:$A$19</c:f>
              <c:numCache>
                <c:formatCode>General</c:formatCode>
                <c:ptCount val="4"/>
                <c:pt idx="0">
                  <c:v>68.9</c:v>
                </c:pt>
                <c:pt idx="1">
                  <c:v>206.8</c:v>
                </c:pt>
                <c:pt idx="2">
                  <c:v>344.7</c:v>
                </c:pt>
                <c:pt idx="3">
                  <c:v>482.6</c:v>
                </c:pt>
              </c:numCache>
            </c:numRef>
          </c:xVal>
          <c:yVal>
            <c:numRef>
              <c:f>'Fiber and Void'!$L$16:$L$19</c:f>
              <c:numCache>
                <c:formatCode>0.00</c:formatCode>
                <c:ptCount val="4"/>
                <c:pt idx="0">
                  <c:v>48.205</c:v>
                </c:pt>
                <c:pt idx="1">
                  <c:v>53.74</c:v>
                </c:pt>
                <c:pt idx="2">
                  <c:v>58.285</c:v>
                </c:pt>
                <c:pt idx="3">
                  <c:v>62.579</c:v>
                </c:pt>
              </c:numCache>
            </c:numRef>
          </c:yVal>
          <c:smooth val="0"/>
        </c:ser>
        <c:ser>
          <c:idx val="3"/>
          <c:order val="3"/>
          <c:tx>
            <c:v>99% RH</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power"/>
            <c:dispRSqr val="0"/>
            <c:dispEq val="0"/>
          </c:trendline>
          <c:xVal>
            <c:numRef>
              <c:f>'Fiber and Void'!$A$22:$A$25</c:f>
              <c:numCache>
                <c:formatCode>General</c:formatCode>
                <c:ptCount val="4"/>
                <c:pt idx="0">
                  <c:v>68.9</c:v>
                </c:pt>
                <c:pt idx="1">
                  <c:v>206.8</c:v>
                </c:pt>
                <c:pt idx="2">
                  <c:v>344.7</c:v>
                </c:pt>
                <c:pt idx="3">
                  <c:v>482.6</c:v>
                </c:pt>
              </c:numCache>
            </c:numRef>
          </c:xVal>
          <c:yVal>
            <c:numRef>
              <c:f>'Fiber and Void'!$L$22:$L$25</c:f>
              <c:numCache>
                <c:formatCode>0.00</c:formatCode>
                <c:ptCount val="4"/>
                <c:pt idx="0">
                  <c:v>49.207</c:v>
                </c:pt>
                <c:pt idx="1">
                  <c:v>53.911</c:v>
                </c:pt>
                <c:pt idx="2">
                  <c:v>58.167</c:v>
                </c:pt>
                <c:pt idx="3">
                  <c:v>59.28</c:v>
                </c:pt>
              </c:numCache>
            </c:numRef>
          </c:yVal>
          <c:smooth val="0"/>
        </c:ser>
        <c:dLbls>
          <c:showLegendKey val="0"/>
          <c:showVal val="0"/>
          <c:showCatName val="0"/>
          <c:showSerName val="0"/>
          <c:showPercent val="0"/>
          <c:showBubbleSize val="0"/>
        </c:dLbls>
        <c:axId val="425499272"/>
        <c:axId val="425504904"/>
      </c:scatterChart>
      <c:valAx>
        <c:axId val="425499272"/>
        <c:scaling>
          <c:orientation val="minMax"/>
          <c:max val="525.0"/>
          <c:min val="0.0"/>
        </c:scaling>
        <c:delete val="0"/>
        <c:axPos val="b"/>
        <c:title>
          <c:tx>
            <c:rich>
              <a:bodyPr/>
              <a:lstStyle/>
              <a:p>
                <a:pPr>
                  <a:defRPr/>
                </a:pPr>
                <a:r>
                  <a:rPr lang="en-US"/>
                  <a:t>Fabrication Pressure (kPa)</a:t>
                </a:r>
              </a:p>
            </c:rich>
          </c:tx>
          <c:overlay val="0"/>
        </c:title>
        <c:numFmt formatCode="General" sourceLinked="1"/>
        <c:majorTickMark val="out"/>
        <c:minorTickMark val="in"/>
        <c:tickLblPos val="nextTo"/>
        <c:spPr>
          <a:ln w="12700" cmpd="sng">
            <a:solidFill>
              <a:srgbClr val="000000"/>
            </a:solidFill>
          </a:ln>
        </c:spPr>
        <c:crossAx val="425504904"/>
        <c:crosses val="autoZero"/>
        <c:crossBetween val="midCat"/>
        <c:majorUnit val="100.0"/>
        <c:minorUnit val="25.0"/>
      </c:valAx>
      <c:valAx>
        <c:axId val="425504904"/>
        <c:scaling>
          <c:orientation val="minMax"/>
          <c:max val="70.0"/>
          <c:min val="48.0"/>
        </c:scaling>
        <c:delete val="0"/>
        <c:axPos val="l"/>
        <c:title>
          <c:tx>
            <c:rich>
              <a:bodyPr rot="-5400000" vert="horz"/>
              <a:lstStyle/>
              <a:p>
                <a:pPr>
                  <a:defRPr/>
                </a:pPr>
                <a:r>
                  <a:rPr lang="en-US"/>
                  <a:t>Fiber Volume Fraction (%)</a:t>
                </a:r>
              </a:p>
            </c:rich>
          </c:tx>
          <c:overlay val="0"/>
        </c:title>
        <c:numFmt formatCode="0" sourceLinked="0"/>
        <c:majorTickMark val="out"/>
        <c:minorTickMark val="in"/>
        <c:tickLblPos val="nextTo"/>
        <c:spPr>
          <a:ln w="12700" cmpd="sng">
            <a:solidFill>
              <a:schemeClr val="tx1"/>
            </a:solidFill>
          </a:ln>
        </c:spPr>
        <c:crossAx val="425499272"/>
        <c:crosses val="autoZero"/>
        <c:crossBetween val="midCat"/>
        <c:majorUnit val="4.0"/>
        <c:minorUnit val="1.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09971034960264"/>
          <c:y val="0.0994035253237684"/>
          <c:w val="0.234360959117398"/>
          <c:h val="0.230524850259102"/>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01878827646544"/>
          <c:y val="0.0333333333333333"/>
          <c:w val="0.721605059784194"/>
          <c:h val="0.759599008457276"/>
        </c:manualLayout>
      </c:layout>
      <c:scatterChart>
        <c:scatterStyle val="lineMarker"/>
        <c:varyColors val="0"/>
        <c:ser>
          <c:idx val="0"/>
          <c:order val="0"/>
          <c:tx>
            <c:v>2% RH</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power"/>
            <c:dispRSqr val="0"/>
            <c:dispEq val="0"/>
          </c:trendline>
          <c:xVal>
            <c:numRef>
              <c:f>'Fiber and Void'!$A$4:$A$7</c:f>
              <c:numCache>
                <c:formatCode>General</c:formatCode>
                <c:ptCount val="4"/>
                <c:pt idx="0">
                  <c:v>68.9</c:v>
                </c:pt>
                <c:pt idx="1">
                  <c:v>206.8</c:v>
                </c:pt>
                <c:pt idx="2">
                  <c:v>344.7</c:v>
                </c:pt>
                <c:pt idx="3">
                  <c:v>482.6</c:v>
                </c:pt>
              </c:numCache>
            </c:numRef>
          </c:xVal>
          <c:yVal>
            <c:numRef>
              <c:f>'Fiber and Void'!$V$4:$V$7</c:f>
              <c:numCache>
                <c:formatCode>0.00</c:formatCode>
                <c:ptCount val="4"/>
                <c:pt idx="0">
                  <c:v>55.235</c:v>
                </c:pt>
                <c:pt idx="1">
                  <c:v>61.73300000000001</c:v>
                </c:pt>
                <c:pt idx="2">
                  <c:v>62.004</c:v>
                </c:pt>
                <c:pt idx="3">
                  <c:v>66.061</c:v>
                </c:pt>
              </c:numCache>
            </c:numRef>
          </c:yVal>
          <c:smooth val="0"/>
        </c:ser>
        <c:ser>
          <c:idx val="1"/>
          <c:order val="1"/>
          <c:tx>
            <c:v>40% RH</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power"/>
            <c:dispRSqr val="0"/>
            <c:dispEq val="0"/>
          </c:trendline>
          <c:xVal>
            <c:numRef>
              <c:f>'Fiber and Void'!$A$10:$A$13</c:f>
              <c:numCache>
                <c:formatCode>General</c:formatCode>
                <c:ptCount val="4"/>
                <c:pt idx="0">
                  <c:v>68.9</c:v>
                </c:pt>
                <c:pt idx="1">
                  <c:v>206.8</c:v>
                </c:pt>
                <c:pt idx="2">
                  <c:v>344.7</c:v>
                </c:pt>
                <c:pt idx="3">
                  <c:v>482.6</c:v>
                </c:pt>
              </c:numCache>
            </c:numRef>
          </c:xVal>
          <c:yVal>
            <c:numRef>
              <c:f>'Fiber and Void'!$V$10:$V$13</c:f>
              <c:numCache>
                <c:formatCode>0.00</c:formatCode>
                <c:ptCount val="4"/>
                <c:pt idx="0">
                  <c:v>51.71</c:v>
                </c:pt>
                <c:pt idx="1">
                  <c:v>56.908</c:v>
                </c:pt>
                <c:pt idx="2">
                  <c:v>59.48</c:v>
                </c:pt>
                <c:pt idx="3">
                  <c:v>61.954</c:v>
                </c:pt>
              </c:numCache>
            </c:numRef>
          </c:yVal>
          <c:smooth val="0"/>
        </c:ser>
        <c:ser>
          <c:idx val="2"/>
          <c:order val="2"/>
          <c:tx>
            <c:v>70% RH</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power"/>
            <c:dispRSqr val="0"/>
            <c:dispEq val="0"/>
          </c:trendline>
          <c:xVal>
            <c:numRef>
              <c:f>'Fiber and Void'!$A$16:$A$19</c:f>
              <c:numCache>
                <c:formatCode>General</c:formatCode>
                <c:ptCount val="4"/>
                <c:pt idx="0">
                  <c:v>68.9</c:v>
                </c:pt>
                <c:pt idx="1">
                  <c:v>206.8</c:v>
                </c:pt>
                <c:pt idx="2">
                  <c:v>344.7</c:v>
                </c:pt>
                <c:pt idx="3">
                  <c:v>482.6</c:v>
                </c:pt>
              </c:numCache>
            </c:numRef>
          </c:xVal>
          <c:yVal>
            <c:numRef>
              <c:f>'Fiber and Void'!$V$16:$V$19</c:f>
              <c:numCache>
                <c:formatCode>0.00</c:formatCode>
                <c:ptCount val="4"/>
                <c:pt idx="0">
                  <c:v>53.611</c:v>
                </c:pt>
                <c:pt idx="1">
                  <c:v>61.611</c:v>
                </c:pt>
                <c:pt idx="2">
                  <c:v>62.668</c:v>
                </c:pt>
                <c:pt idx="3">
                  <c:v>61.895</c:v>
                </c:pt>
              </c:numCache>
            </c:numRef>
          </c:yVal>
          <c:smooth val="0"/>
        </c:ser>
        <c:ser>
          <c:idx val="3"/>
          <c:order val="3"/>
          <c:tx>
            <c:v>99% RH</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power"/>
            <c:dispRSqr val="0"/>
            <c:dispEq val="0"/>
          </c:trendline>
          <c:xVal>
            <c:numRef>
              <c:f>'Fiber and Void'!$A$22:$A$25</c:f>
              <c:numCache>
                <c:formatCode>General</c:formatCode>
                <c:ptCount val="4"/>
                <c:pt idx="0">
                  <c:v>68.9</c:v>
                </c:pt>
                <c:pt idx="1">
                  <c:v>206.8</c:v>
                </c:pt>
                <c:pt idx="2">
                  <c:v>344.7</c:v>
                </c:pt>
                <c:pt idx="3">
                  <c:v>482.6</c:v>
                </c:pt>
              </c:numCache>
            </c:numRef>
          </c:xVal>
          <c:yVal>
            <c:numRef>
              <c:f>'Fiber and Void'!$V$22:$V$25</c:f>
              <c:numCache>
                <c:formatCode>0.00</c:formatCode>
                <c:ptCount val="4"/>
                <c:pt idx="0">
                  <c:v>52.665</c:v>
                </c:pt>
                <c:pt idx="1">
                  <c:v>60.46100000000001</c:v>
                </c:pt>
                <c:pt idx="2">
                  <c:v>59.137</c:v>
                </c:pt>
                <c:pt idx="3">
                  <c:v>61.157</c:v>
                </c:pt>
              </c:numCache>
            </c:numRef>
          </c:yVal>
          <c:smooth val="0"/>
        </c:ser>
        <c:dLbls>
          <c:showLegendKey val="0"/>
          <c:showVal val="0"/>
          <c:showCatName val="0"/>
          <c:showSerName val="0"/>
          <c:showPercent val="0"/>
          <c:showBubbleSize val="0"/>
        </c:dLbls>
        <c:axId val="425568616"/>
        <c:axId val="425574248"/>
      </c:scatterChart>
      <c:valAx>
        <c:axId val="425568616"/>
        <c:scaling>
          <c:orientation val="minMax"/>
          <c:max val="525.0"/>
          <c:min val="0.0"/>
        </c:scaling>
        <c:delete val="0"/>
        <c:axPos val="b"/>
        <c:title>
          <c:tx>
            <c:rich>
              <a:bodyPr/>
              <a:lstStyle/>
              <a:p>
                <a:pPr>
                  <a:defRPr/>
                </a:pPr>
                <a:r>
                  <a:rPr lang="en-US"/>
                  <a:t>Fabrication Pressure (kPa)</a:t>
                </a:r>
              </a:p>
            </c:rich>
          </c:tx>
          <c:overlay val="0"/>
        </c:title>
        <c:numFmt formatCode="General" sourceLinked="1"/>
        <c:majorTickMark val="out"/>
        <c:minorTickMark val="in"/>
        <c:tickLblPos val="nextTo"/>
        <c:spPr>
          <a:ln w="12700" cmpd="sng">
            <a:solidFill>
              <a:srgbClr val="000000"/>
            </a:solidFill>
          </a:ln>
        </c:spPr>
        <c:crossAx val="425574248"/>
        <c:crosses val="autoZero"/>
        <c:crossBetween val="midCat"/>
        <c:majorUnit val="100.0"/>
        <c:minorUnit val="25.0"/>
      </c:valAx>
      <c:valAx>
        <c:axId val="425574248"/>
        <c:scaling>
          <c:orientation val="minMax"/>
          <c:max val="70.0"/>
          <c:min val="48.0"/>
        </c:scaling>
        <c:delete val="0"/>
        <c:axPos val="l"/>
        <c:title>
          <c:tx>
            <c:rich>
              <a:bodyPr rot="-5400000" vert="horz"/>
              <a:lstStyle/>
              <a:p>
                <a:pPr>
                  <a:defRPr/>
                </a:pPr>
                <a:r>
                  <a:rPr lang="en-US"/>
                  <a:t>Fiber Volume Fraction (%)</a:t>
                </a:r>
              </a:p>
            </c:rich>
          </c:tx>
          <c:overlay val="0"/>
        </c:title>
        <c:numFmt formatCode="0" sourceLinked="0"/>
        <c:majorTickMark val="out"/>
        <c:minorTickMark val="in"/>
        <c:tickLblPos val="nextTo"/>
        <c:spPr>
          <a:ln w="12700" cmpd="sng">
            <a:solidFill>
              <a:schemeClr val="tx1"/>
            </a:solidFill>
          </a:ln>
        </c:spPr>
        <c:crossAx val="425568616"/>
        <c:crosses val="autoZero"/>
        <c:crossBetween val="midCat"/>
        <c:majorUnit val="4.0"/>
        <c:minorUnit val="1.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09971034960264"/>
          <c:y val="0.0994035253237684"/>
          <c:w val="0.239069057045835"/>
          <c:h val="0.230524850259102"/>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01878827646544"/>
          <c:y val="0.0333333333333333"/>
          <c:w val="0.721605059784194"/>
          <c:h val="0.759599008457276"/>
        </c:manualLayout>
      </c:layout>
      <c:scatterChart>
        <c:scatterStyle val="lineMarker"/>
        <c:varyColors val="0"/>
        <c:ser>
          <c:idx val="0"/>
          <c:order val="0"/>
          <c:tx>
            <c:v>69 kPa</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Void'!$F$4,'Fiber and Void'!$F$10,'Fiber and Void'!$F$16,'Fiber and Void'!$F$22)</c:f>
              <c:numCache>
                <c:formatCode>0.00</c:formatCode>
                <c:ptCount val="4"/>
                <c:pt idx="0">
                  <c:v>12.409</c:v>
                </c:pt>
                <c:pt idx="1">
                  <c:v>12.827</c:v>
                </c:pt>
                <c:pt idx="2">
                  <c:v>13.352</c:v>
                </c:pt>
                <c:pt idx="3">
                  <c:v>13.883</c:v>
                </c:pt>
              </c:numCache>
            </c:numRef>
          </c:yVal>
          <c:smooth val="0"/>
        </c:ser>
        <c:ser>
          <c:idx val="1"/>
          <c:order val="1"/>
          <c:tx>
            <c:v>207 kPa</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Void'!$F$5,'Fiber and Void'!$F$11,'Fiber and Void'!$F$17,'Fiber and Void'!$F$23)</c:f>
              <c:numCache>
                <c:formatCode>0.00</c:formatCode>
                <c:ptCount val="4"/>
                <c:pt idx="0">
                  <c:v>9.232</c:v>
                </c:pt>
                <c:pt idx="1">
                  <c:v>9.395</c:v>
                </c:pt>
                <c:pt idx="2">
                  <c:v>10.382</c:v>
                </c:pt>
                <c:pt idx="3">
                  <c:v>11.693</c:v>
                </c:pt>
              </c:numCache>
            </c:numRef>
          </c:yVal>
          <c:smooth val="0"/>
        </c:ser>
        <c:ser>
          <c:idx val="2"/>
          <c:order val="2"/>
          <c:tx>
            <c:v>345 kPa</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Void'!$F$6,'Fiber and Void'!$F$12,'Fiber and Void'!$F$18,'Fiber and Void'!$F$24)</c:f>
              <c:numCache>
                <c:formatCode>0.00</c:formatCode>
                <c:ptCount val="4"/>
                <c:pt idx="0">
                  <c:v>8.229</c:v>
                </c:pt>
                <c:pt idx="1">
                  <c:v>8.985</c:v>
                </c:pt>
                <c:pt idx="2">
                  <c:v>9.516</c:v>
                </c:pt>
                <c:pt idx="3">
                  <c:v>10.047</c:v>
                </c:pt>
              </c:numCache>
            </c:numRef>
          </c:yVal>
          <c:smooth val="0"/>
        </c:ser>
        <c:ser>
          <c:idx val="3"/>
          <c:order val="3"/>
          <c:tx>
            <c:v>483 kPa</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Void'!$F$7,'Fiber and Void'!$F$13,'Fiber and Void'!$F$19,'Fiber and Void'!$F$25)</c:f>
              <c:numCache>
                <c:formatCode>0.00</c:formatCode>
                <c:ptCount val="4"/>
                <c:pt idx="0">
                  <c:v>8.219999999999998</c:v>
                </c:pt>
                <c:pt idx="1">
                  <c:v>8.210000000000001</c:v>
                </c:pt>
                <c:pt idx="2">
                  <c:v>8.088000000000001</c:v>
                </c:pt>
                <c:pt idx="3">
                  <c:v>7.927</c:v>
                </c:pt>
              </c:numCache>
            </c:numRef>
          </c:yVal>
          <c:smooth val="0"/>
        </c:ser>
        <c:dLbls>
          <c:showLegendKey val="0"/>
          <c:showVal val="0"/>
          <c:showCatName val="0"/>
          <c:showSerName val="0"/>
          <c:showPercent val="0"/>
          <c:showBubbleSize val="0"/>
        </c:dLbls>
        <c:axId val="425654280"/>
        <c:axId val="425660152"/>
      </c:scatterChart>
      <c:valAx>
        <c:axId val="425654280"/>
        <c:scaling>
          <c:orientation val="minMax"/>
          <c:max val="100.0"/>
          <c:min val="0.0"/>
        </c:scaling>
        <c:delete val="0"/>
        <c:axPos val="b"/>
        <c:title>
          <c:tx>
            <c:rich>
              <a:bodyPr/>
              <a:lstStyle/>
              <a:p>
                <a:pPr>
                  <a:defRPr/>
                </a:pPr>
                <a:r>
                  <a:rPr lang="en-US"/>
                  <a:t>Relative</a:t>
                </a:r>
                <a:r>
                  <a:rPr lang="en-US" baseline="0"/>
                  <a:t> Humidity </a:t>
                </a:r>
                <a:r>
                  <a:rPr lang="en-US"/>
                  <a:t>(% RH)</a:t>
                </a:r>
              </a:p>
            </c:rich>
          </c:tx>
          <c:overlay val="0"/>
        </c:title>
        <c:numFmt formatCode="General" sourceLinked="1"/>
        <c:majorTickMark val="out"/>
        <c:minorTickMark val="in"/>
        <c:tickLblPos val="nextTo"/>
        <c:spPr>
          <a:ln w="12700" cmpd="sng">
            <a:solidFill>
              <a:srgbClr val="000000"/>
            </a:solidFill>
          </a:ln>
        </c:spPr>
        <c:crossAx val="425660152"/>
        <c:crosses val="autoZero"/>
        <c:crossBetween val="midCat"/>
        <c:majorUnit val="20.0"/>
        <c:minorUnit val="5.0"/>
      </c:valAx>
      <c:valAx>
        <c:axId val="425660152"/>
        <c:scaling>
          <c:orientation val="minMax"/>
          <c:max val="18.0"/>
          <c:min val="0.0"/>
        </c:scaling>
        <c:delete val="0"/>
        <c:axPos val="l"/>
        <c:title>
          <c:tx>
            <c:rich>
              <a:bodyPr rot="-5400000" vert="horz"/>
              <a:lstStyle/>
              <a:p>
                <a:pPr>
                  <a:defRPr/>
                </a:pPr>
                <a:r>
                  <a:rPr lang="en-US"/>
                  <a:t>Void Volume Fraction (%)</a:t>
                </a:r>
              </a:p>
            </c:rich>
          </c:tx>
          <c:overlay val="0"/>
        </c:title>
        <c:numFmt formatCode="0" sourceLinked="0"/>
        <c:majorTickMark val="out"/>
        <c:minorTickMark val="in"/>
        <c:tickLblPos val="nextTo"/>
        <c:spPr>
          <a:ln w="12700" cmpd="sng">
            <a:solidFill>
              <a:schemeClr val="tx1"/>
            </a:solidFill>
          </a:ln>
        </c:spPr>
        <c:crossAx val="425654280"/>
        <c:crosses val="autoZero"/>
        <c:crossBetween val="midCat"/>
        <c:majorUnit val="4.0"/>
        <c:minorUnit val="1.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14586447195053"/>
          <c:y val="0.0994036574208459"/>
          <c:w val="0.455713936315695"/>
          <c:h val="0.122689851268591"/>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01878827646544"/>
          <c:y val="0.0333333333333333"/>
          <c:w val="0.721605059784194"/>
          <c:h val="0.759599008457276"/>
        </c:manualLayout>
      </c:layout>
      <c:scatterChart>
        <c:scatterStyle val="lineMarker"/>
        <c:varyColors val="0"/>
        <c:ser>
          <c:idx val="0"/>
          <c:order val="0"/>
          <c:tx>
            <c:v>69 kPa</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Void'!$P$4,'Fiber and Void'!$P$10,'Fiber and Void'!$P$16,'Fiber and Void'!$P$22)</c:f>
              <c:numCache>
                <c:formatCode>0.00</c:formatCode>
                <c:ptCount val="4"/>
                <c:pt idx="0">
                  <c:v>3.521</c:v>
                </c:pt>
                <c:pt idx="1">
                  <c:v>7.0</c:v>
                </c:pt>
                <c:pt idx="2">
                  <c:v>10.225</c:v>
                </c:pt>
                <c:pt idx="3">
                  <c:v>14.123</c:v>
                </c:pt>
              </c:numCache>
            </c:numRef>
          </c:yVal>
          <c:smooth val="0"/>
        </c:ser>
        <c:ser>
          <c:idx val="1"/>
          <c:order val="1"/>
          <c:tx>
            <c:v>207 kPa</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Void'!$P$5,'Fiber and Void'!$P$11,'Fiber and Void'!$P$17,'Fiber and Void'!$P$23)</c:f>
              <c:numCache>
                <c:formatCode>0.00</c:formatCode>
                <c:ptCount val="4"/>
                <c:pt idx="0">
                  <c:v>2.326</c:v>
                </c:pt>
                <c:pt idx="1">
                  <c:v>4.603999999999996</c:v>
                </c:pt>
                <c:pt idx="2">
                  <c:v>7.034</c:v>
                </c:pt>
                <c:pt idx="3">
                  <c:v>10.471</c:v>
                </c:pt>
              </c:numCache>
            </c:numRef>
          </c:yVal>
          <c:smooth val="0"/>
        </c:ser>
        <c:ser>
          <c:idx val="2"/>
          <c:order val="2"/>
          <c:tx>
            <c:v>345 kPa</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Void'!$P$6,'Fiber and Void'!$P$12,'Fiber and Void'!$P$18,'Fiber and Void'!$P$24)</c:f>
              <c:numCache>
                <c:formatCode>0.00</c:formatCode>
                <c:ptCount val="4"/>
                <c:pt idx="0">
                  <c:v>2.154</c:v>
                </c:pt>
                <c:pt idx="1">
                  <c:v>3.871</c:v>
                </c:pt>
                <c:pt idx="2">
                  <c:v>5.948</c:v>
                </c:pt>
                <c:pt idx="3">
                  <c:v>8.295000000000001</c:v>
                </c:pt>
              </c:numCache>
            </c:numRef>
          </c:yVal>
          <c:smooth val="0"/>
        </c:ser>
        <c:ser>
          <c:idx val="3"/>
          <c:order val="3"/>
          <c:tx>
            <c:v>483 kPa</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Void'!$P$7,'Fiber and Void'!$P$13,'Fiber and Void'!$P$19,'Fiber and Void'!$P$25)</c:f>
              <c:numCache>
                <c:formatCode>0.00</c:formatCode>
                <c:ptCount val="4"/>
                <c:pt idx="0">
                  <c:v>1.726</c:v>
                </c:pt>
                <c:pt idx="1">
                  <c:v>3.647</c:v>
                </c:pt>
                <c:pt idx="2">
                  <c:v>5.437</c:v>
                </c:pt>
                <c:pt idx="3">
                  <c:v>7.861999999999996</c:v>
                </c:pt>
              </c:numCache>
            </c:numRef>
          </c:yVal>
          <c:smooth val="0"/>
        </c:ser>
        <c:dLbls>
          <c:showLegendKey val="0"/>
          <c:showVal val="0"/>
          <c:showCatName val="0"/>
          <c:showSerName val="0"/>
          <c:showPercent val="0"/>
          <c:showBubbleSize val="0"/>
        </c:dLbls>
        <c:axId val="420147272"/>
        <c:axId val="420153144"/>
      </c:scatterChart>
      <c:valAx>
        <c:axId val="420147272"/>
        <c:scaling>
          <c:orientation val="minMax"/>
          <c:max val="100.0"/>
          <c:min val="0.0"/>
        </c:scaling>
        <c:delete val="0"/>
        <c:axPos val="b"/>
        <c:title>
          <c:tx>
            <c:rich>
              <a:bodyPr/>
              <a:lstStyle/>
              <a:p>
                <a:pPr>
                  <a:defRPr/>
                </a:pPr>
                <a:r>
                  <a:rPr lang="en-US"/>
                  <a:t>Relative</a:t>
                </a:r>
                <a:r>
                  <a:rPr lang="en-US" baseline="0"/>
                  <a:t> Humidity </a:t>
                </a:r>
                <a:r>
                  <a:rPr lang="en-US"/>
                  <a:t>(% RH)</a:t>
                </a:r>
              </a:p>
            </c:rich>
          </c:tx>
          <c:overlay val="0"/>
        </c:title>
        <c:numFmt formatCode="General" sourceLinked="1"/>
        <c:majorTickMark val="out"/>
        <c:minorTickMark val="in"/>
        <c:tickLblPos val="nextTo"/>
        <c:spPr>
          <a:ln w="12700" cmpd="sng">
            <a:solidFill>
              <a:srgbClr val="000000"/>
            </a:solidFill>
          </a:ln>
        </c:spPr>
        <c:crossAx val="420153144"/>
        <c:crosses val="autoZero"/>
        <c:crossBetween val="midCat"/>
        <c:majorUnit val="20.0"/>
        <c:minorUnit val="5.0"/>
      </c:valAx>
      <c:valAx>
        <c:axId val="420153144"/>
        <c:scaling>
          <c:orientation val="minMax"/>
          <c:max val="18.0"/>
          <c:min val="0.0"/>
        </c:scaling>
        <c:delete val="0"/>
        <c:axPos val="l"/>
        <c:title>
          <c:tx>
            <c:rich>
              <a:bodyPr rot="-5400000" vert="horz"/>
              <a:lstStyle/>
              <a:p>
                <a:pPr>
                  <a:defRPr/>
                </a:pPr>
                <a:r>
                  <a:rPr lang="en-US"/>
                  <a:t>Void Volume Fraction (%)</a:t>
                </a:r>
              </a:p>
            </c:rich>
          </c:tx>
          <c:overlay val="0"/>
        </c:title>
        <c:numFmt formatCode="0" sourceLinked="0"/>
        <c:majorTickMark val="out"/>
        <c:minorTickMark val="in"/>
        <c:tickLblPos val="nextTo"/>
        <c:spPr>
          <a:ln w="12700" cmpd="sng">
            <a:solidFill>
              <a:schemeClr val="tx1"/>
            </a:solidFill>
          </a:ln>
        </c:spPr>
        <c:crossAx val="420147272"/>
        <c:crosses val="autoZero"/>
        <c:crossBetween val="midCat"/>
        <c:majorUnit val="4.0"/>
        <c:minorUnit val="1.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14586285331764"/>
          <c:y val="0.0994036979245718"/>
          <c:w val="0.455713851446535"/>
          <c:h val="0.122689851268591"/>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01878827646544"/>
          <c:y val="0.0333333333333333"/>
          <c:w val="0.721605059784194"/>
          <c:h val="0.759599008457276"/>
        </c:manualLayout>
      </c:layout>
      <c:scatterChart>
        <c:scatterStyle val="lineMarker"/>
        <c:varyColors val="0"/>
        <c:ser>
          <c:idx val="0"/>
          <c:order val="0"/>
          <c:tx>
            <c:v>69 kPa</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Void'!$Z$4,'Fiber and Void'!$Z$10,'Fiber and Void'!$Z$16,'Fiber and Void'!$Z$22)</c:f>
              <c:numCache>
                <c:formatCode>0.00</c:formatCode>
                <c:ptCount val="4"/>
                <c:pt idx="0">
                  <c:v>3.209</c:v>
                </c:pt>
                <c:pt idx="1">
                  <c:v>3.961</c:v>
                </c:pt>
                <c:pt idx="2">
                  <c:v>3.909</c:v>
                </c:pt>
                <c:pt idx="3">
                  <c:v>4.75</c:v>
                </c:pt>
              </c:numCache>
            </c:numRef>
          </c:yVal>
          <c:smooth val="0"/>
        </c:ser>
        <c:ser>
          <c:idx val="1"/>
          <c:order val="1"/>
          <c:tx>
            <c:v>207 kPa</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Void'!$Z$5,'Fiber and Void'!$Z$11,'Fiber and Void'!$Z$17,'Fiber and Void'!$Z$23)</c:f>
              <c:numCache>
                <c:formatCode>0.00</c:formatCode>
                <c:ptCount val="4"/>
                <c:pt idx="0">
                  <c:v>1.673</c:v>
                </c:pt>
                <c:pt idx="1">
                  <c:v>1.894</c:v>
                </c:pt>
                <c:pt idx="2">
                  <c:v>2.371</c:v>
                </c:pt>
                <c:pt idx="3">
                  <c:v>3.327</c:v>
                </c:pt>
              </c:numCache>
            </c:numRef>
          </c:yVal>
          <c:smooth val="0"/>
        </c:ser>
        <c:ser>
          <c:idx val="2"/>
          <c:order val="2"/>
          <c:tx>
            <c:v>345 kPa</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Void'!$Z$6,'Fiber and Void'!$Z$12,'Fiber and Void'!$Z$18,'Fiber and Void'!$Z$24)</c:f>
              <c:numCache>
                <c:formatCode>0.00</c:formatCode>
                <c:ptCount val="4"/>
                <c:pt idx="0">
                  <c:v>1.277</c:v>
                </c:pt>
                <c:pt idx="1">
                  <c:v>2.039</c:v>
                </c:pt>
                <c:pt idx="2">
                  <c:v>2.184</c:v>
                </c:pt>
                <c:pt idx="3">
                  <c:v>3.632</c:v>
                </c:pt>
              </c:numCache>
            </c:numRef>
          </c:yVal>
          <c:smooth val="0"/>
        </c:ser>
        <c:ser>
          <c:idx val="3"/>
          <c:order val="3"/>
          <c:tx>
            <c:v>483 kPa</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linear"/>
            <c:dispRSqr val="0"/>
            <c:dispEq val="0"/>
          </c:trendline>
          <c:xVal>
            <c:numRef>
              <c:f>('Fiber and Void'!$A$8,'Fiber and Void'!$A$14,'Fiber and Void'!$A$20,'Fiber and Void'!$A$26)</c:f>
              <c:numCache>
                <c:formatCode>General</c:formatCode>
                <c:ptCount val="4"/>
                <c:pt idx="0">
                  <c:v>2.0</c:v>
                </c:pt>
                <c:pt idx="1">
                  <c:v>40.0</c:v>
                </c:pt>
                <c:pt idx="2">
                  <c:v>70.0</c:v>
                </c:pt>
                <c:pt idx="3">
                  <c:v>99.0</c:v>
                </c:pt>
              </c:numCache>
            </c:numRef>
          </c:xVal>
          <c:yVal>
            <c:numRef>
              <c:f>('Fiber and Void'!$Z$7,'Fiber and Void'!$Z$13,'Fiber and Void'!$Z$19,'Fiber and Void'!$Z$25)</c:f>
              <c:numCache>
                <c:formatCode>0.00</c:formatCode>
                <c:ptCount val="4"/>
                <c:pt idx="0">
                  <c:v>1.26</c:v>
                </c:pt>
                <c:pt idx="1">
                  <c:v>1.649</c:v>
                </c:pt>
                <c:pt idx="2">
                  <c:v>1.724</c:v>
                </c:pt>
                <c:pt idx="3">
                  <c:v>1.888</c:v>
                </c:pt>
              </c:numCache>
            </c:numRef>
          </c:yVal>
          <c:smooth val="0"/>
        </c:ser>
        <c:dLbls>
          <c:showLegendKey val="0"/>
          <c:showVal val="0"/>
          <c:showCatName val="0"/>
          <c:showSerName val="0"/>
          <c:showPercent val="0"/>
          <c:showBubbleSize val="0"/>
        </c:dLbls>
        <c:axId val="476945704"/>
        <c:axId val="476977112"/>
      </c:scatterChart>
      <c:valAx>
        <c:axId val="476945704"/>
        <c:scaling>
          <c:orientation val="minMax"/>
          <c:max val="100.0"/>
          <c:min val="0.0"/>
        </c:scaling>
        <c:delete val="0"/>
        <c:axPos val="b"/>
        <c:title>
          <c:tx>
            <c:rich>
              <a:bodyPr/>
              <a:lstStyle/>
              <a:p>
                <a:pPr>
                  <a:defRPr/>
                </a:pPr>
                <a:r>
                  <a:rPr lang="en-US"/>
                  <a:t>Relative</a:t>
                </a:r>
                <a:r>
                  <a:rPr lang="en-US" baseline="0"/>
                  <a:t> Humidity </a:t>
                </a:r>
                <a:r>
                  <a:rPr lang="en-US"/>
                  <a:t>(% RH)</a:t>
                </a:r>
              </a:p>
            </c:rich>
          </c:tx>
          <c:overlay val="0"/>
        </c:title>
        <c:numFmt formatCode="General" sourceLinked="1"/>
        <c:majorTickMark val="out"/>
        <c:minorTickMark val="in"/>
        <c:tickLblPos val="nextTo"/>
        <c:spPr>
          <a:ln w="12700" cmpd="sng">
            <a:solidFill>
              <a:srgbClr val="000000"/>
            </a:solidFill>
          </a:ln>
        </c:spPr>
        <c:crossAx val="476977112"/>
        <c:crosses val="autoZero"/>
        <c:crossBetween val="midCat"/>
        <c:majorUnit val="20.0"/>
        <c:minorUnit val="5.0"/>
      </c:valAx>
      <c:valAx>
        <c:axId val="476977112"/>
        <c:scaling>
          <c:orientation val="minMax"/>
          <c:max val="8.0"/>
          <c:min val="0.0"/>
        </c:scaling>
        <c:delete val="0"/>
        <c:axPos val="l"/>
        <c:title>
          <c:tx>
            <c:rich>
              <a:bodyPr rot="-5400000" vert="horz"/>
              <a:lstStyle/>
              <a:p>
                <a:pPr>
                  <a:defRPr/>
                </a:pPr>
                <a:r>
                  <a:rPr lang="en-US"/>
                  <a:t>Void Volume Fraction (%)</a:t>
                </a:r>
              </a:p>
            </c:rich>
          </c:tx>
          <c:overlay val="0"/>
        </c:title>
        <c:numFmt formatCode="0" sourceLinked="0"/>
        <c:majorTickMark val="out"/>
        <c:minorTickMark val="in"/>
        <c:tickLblPos val="nextTo"/>
        <c:spPr>
          <a:ln w="12700" cmpd="sng">
            <a:solidFill>
              <a:schemeClr val="tx1"/>
            </a:solidFill>
          </a:ln>
        </c:spPr>
        <c:crossAx val="476945704"/>
        <c:crosses val="autoZero"/>
        <c:crossBetween val="midCat"/>
        <c:majorUnit val="2.0"/>
        <c:minorUnit val="1.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14586285331764"/>
          <c:y val="0.0994036979245718"/>
          <c:w val="0.455713936315695"/>
          <c:h val="0.122689851268591"/>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01878827646544"/>
          <c:y val="0.0333333333333333"/>
          <c:w val="0.721605059784194"/>
          <c:h val="0.759599008457276"/>
        </c:manualLayout>
      </c:layout>
      <c:scatterChart>
        <c:scatterStyle val="lineMarker"/>
        <c:varyColors val="0"/>
        <c:ser>
          <c:idx val="0"/>
          <c:order val="0"/>
          <c:tx>
            <c:v>2% RH</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power"/>
            <c:dispRSqr val="0"/>
            <c:dispEq val="0"/>
          </c:trendline>
          <c:xVal>
            <c:numRef>
              <c:f>'Fiber and Void'!$A$4:$A$7</c:f>
              <c:numCache>
                <c:formatCode>General</c:formatCode>
                <c:ptCount val="4"/>
                <c:pt idx="0">
                  <c:v>68.9</c:v>
                </c:pt>
                <c:pt idx="1">
                  <c:v>206.8</c:v>
                </c:pt>
                <c:pt idx="2">
                  <c:v>344.7</c:v>
                </c:pt>
                <c:pt idx="3">
                  <c:v>482.6</c:v>
                </c:pt>
              </c:numCache>
            </c:numRef>
          </c:xVal>
          <c:yVal>
            <c:numRef>
              <c:f>'Fiber and Void'!$F$4:$F$7</c:f>
              <c:numCache>
                <c:formatCode>0.00</c:formatCode>
                <c:ptCount val="4"/>
                <c:pt idx="0">
                  <c:v>12.409</c:v>
                </c:pt>
                <c:pt idx="1">
                  <c:v>9.232</c:v>
                </c:pt>
                <c:pt idx="2">
                  <c:v>8.229</c:v>
                </c:pt>
                <c:pt idx="3">
                  <c:v>8.219999999999998</c:v>
                </c:pt>
              </c:numCache>
            </c:numRef>
          </c:yVal>
          <c:smooth val="0"/>
        </c:ser>
        <c:ser>
          <c:idx val="1"/>
          <c:order val="1"/>
          <c:tx>
            <c:v>40% RH</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power"/>
            <c:dispRSqr val="0"/>
            <c:dispEq val="0"/>
          </c:trendline>
          <c:xVal>
            <c:numRef>
              <c:f>'Fiber and Void'!$A$10:$A$13</c:f>
              <c:numCache>
                <c:formatCode>General</c:formatCode>
                <c:ptCount val="4"/>
                <c:pt idx="0">
                  <c:v>68.9</c:v>
                </c:pt>
                <c:pt idx="1">
                  <c:v>206.8</c:v>
                </c:pt>
                <c:pt idx="2">
                  <c:v>344.7</c:v>
                </c:pt>
                <c:pt idx="3">
                  <c:v>482.6</c:v>
                </c:pt>
              </c:numCache>
            </c:numRef>
          </c:xVal>
          <c:yVal>
            <c:numRef>
              <c:f>'Fiber and Void'!$F$10:$F$13</c:f>
              <c:numCache>
                <c:formatCode>0.00</c:formatCode>
                <c:ptCount val="4"/>
                <c:pt idx="0">
                  <c:v>12.827</c:v>
                </c:pt>
                <c:pt idx="1">
                  <c:v>9.395</c:v>
                </c:pt>
                <c:pt idx="2">
                  <c:v>8.985</c:v>
                </c:pt>
                <c:pt idx="3">
                  <c:v>8.210000000000001</c:v>
                </c:pt>
              </c:numCache>
            </c:numRef>
          </c:yVal>
          <c:smooth val="0"/>
        </c:ser>
        <c:ser>
          <c:idx val="2"/>
          <c:order val="2"/>
          <c:tx>
            <c:v>70% RH</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power"/>
            <c:dispRSqr val="0"/>
            <c:dispEq val="0"/>
          </c:trendline>
          <c:xVal>
            <c:numRef>
              <c:f>'Fiber and Void'!$A$16:$A$19</c:f>
              <c:numCache>
                <c:formatCode>General</c:formatCode>
                <c:ptCount val="4"/>
                <c:pt idx="0">
                  <c:v>68.9</c:v>
                </c:pt>
                <c:pt idx="1">
                  <c:v>206.8</c:v>
                </c:pt>
                <c:pt idx="2">
                  <c:v>344.7</c:v>
                </c:pt>
                <c:pt idx="3">
                  <c:v>482.6</c:v>
                </c:pt>
              </c:numCache>
            </c:numRef>
          </c:xVal>
          <c:yVal>
            <c:numRef>
              <c:f>'Fiber and Void'!$F$16:$F$19</c:f>
              <c:numCache>
                <c:formatCode>0.00</c:formatCode>
                <c:ptCount val="4"/>
                <c:pt idx="0">
                  <c:v>13.352</c:v>
                </c:pt>
                <c:pt idx="1">
                  <c:v>10.382</c:v>
                </c:pt>
                <c:pt idx="2">
                  <c:v>9.516</c:v>
                </c:pt>
                <c:pt idx="3">
                  <c:v>8.088000000000001</c:v>
                </c:pt>
              </c:numCache>
            </c:numRef>
          </c:yVal>
          <c:smooth val="0"/>
        </c:ser>
        <c:ser>
          <c:idx val="3"/>
          <c:order val="3"/>
          <c:tx>
            <c:v>99% RH</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power"/>
            <c:dispRSqr val="0"/>
            <c:dispEq val="0"/>
          </c:trendline>
          <c:xVal>
            <c:numRef>
              <c:f>'Fiber and Void'!$A$22:$A$25</c:f>
              <c:numCache>
                <c:formatCode>General</c:formatCode>
                <c:ptCount val="4"/>
                <c:pt idx="0">
                  <c:v>68.9</c:v>
                </c:pt>
                <c:pt idx="1">
                  <c:v>206.8</c:v>
                </c:pt>
                <c:pt idx="2">
                  <c:v>344.7</c:v>
                </c:pt>
                <c:pt idx="3">
                  <c:v>482.6</c:v>
                </c:pt>
              </c:numCache>
            </c:numRef>
          </c:xVal>
          <c:yVal>
            <c:numRef>
              <c:f>'Fiber and Void'!$F$22:$F$25</c:f>
              <c:numCache>
                <c:formatCode>0.00</c:formatCode>
                <c:ptCount val="4"/>
                <c:pt idx="0">
                  <c:v>13.883</c:v>
                </c:pt>
                <c:pt idx="1">
                  <c:v>11.693</c:v>
                </c:pt>
                <c:pt idx="2">
                  <c:v>10.047</c:v>
                </c:pt>
                <c:pt idx="3">
                  <c:v>7.927</c:v>
                </c:pt>
              </c:numCache>
            </c:numRef>
          </c:yVal>
          <c:smooth val="0"/>
        </c:ser>
        <c:dLbls>
          <c:showLegendKey val="0"/>
          <c:showVal val="0"/>
          <c:showCatName val="0"/>
          <c:showSerName val="0"/>
          <c:showPercent val="0"/>
          <c:showBubbleSize val="0"/>
        </c:dLbls>
        <c:axId val="425014824"/>
        <c:axId val="425020456"/>
      </c:scatterChart>
      <c:valAx>
        <c:axId val="425014824"/>
        <c:scaling>
          <c:orientation val="minMax"/>
          <c:max val="525.0"/>
          <c:min val="0.0"/>
        </c:scaling>
        <c:delete val="0"/>
        <c:axPos val="b"/>
        <c:title>
          <c:tx>
            <c:rich>
              <a:bodyPr/>
              <a:lstStyle/>
              <a:p>
                <a:pPr>
                  <a:defRPr/>
                </a:pPr>
                <a:r>
                  <a:rPr lang="en-US"/>
                  <a:t>Fabrication Pressure (kPa)</a:t>
                </a:r>
              </a:p>
            </c:rich>
          </c:tx>
          <c:overlay val="0"/>
        </c:title>
        <c:numFmt formatCode="General" sourceLinked="1"/>
        <c:majorTickMark val="out"/>
        <c:minorTickMark val="in"/>
        <c:tickLblPos val="nextTo"/>
        <c:spPr>
          <a:ln w="12700" cmpd="sng">
            <a:solidFill>
              <a:srgbClr val="000000"/>
            </a:solidFill>
          </a:ln>
        </c:spPr>
        <c:crossAx val="425020456"/>
        <c:crosses val="autoZero"/>
        <c:crossBetween val="midCat"/>
        <c:majorUnit val="100.0"/>
        <c:minorUnit val="25.0"/>
      </c:valAx>
      <c:valAx>
        <c:axId val="425020456"/>
        <c:scaling>
          <c:orientation val="minMax"/>
          <c:max val="17.0"/>
          <c:min val="0.0"/>
        </c:scaling>
        <c:delete val="0"/>
        <c:axPos val="l"/>
        <c:title>
          <c:tx>
            <c:rich>
              <a:bodyPr rot="-5400000" vert="horz"/>
              <a:lstStyle/>
              <a:p>
                <a:pPr>
                  <a:defRPr/>
                </a:pPr>
                <a:r>
                  <a:rPr lang="en-US"/>
                  <a:t>Void</a:t>
                </a:r>
                <a:r>
                  <a:rPr lang="en-US" baseline="0"/>
                  <a:t> </a:t>
                </a:r>
                <a:r>
                  <a:rPr lang="en-US"/>
                  <a:t>Volume Fraction (%)</a:t>
                </a:r>
              </a:p>
            </c:rich>
          </c:tx>
          <c:overlay val="0"/>
        </c:title>
        <c:numFmt formatCode="0" sourceLinked="0"/>
        <c:majorTickMark val="out"/>
        <c:minorTickMark val="in"/>
        <c:tickLblPos val="nextTo"/>
        <c:spPr>
          <a:ln w="12700" cmpd="sng">
            <a:solidFill>
              <a:schemeClr val="tx1"/>
            </a:solidFill>
          </a:ln>
        </c:spPr>
        <c:crossAx val="425014824"/>
        <c:crosses val="autoZero"/>
        <c:crossBetween val="midCat"/>
        <c:majorUnit val="4.0"/>
        <c:minorUnit val="1.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671320640004745"/>
          <c:y val="0.0484776902887139"/>
          <c:w val="0.234360959117398"/>
          <c:h val="0.242917760279965"/>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01878827646544"/>
          <c:y val="0.0333333333333333"/>
          <c:w val="0.721605059784194"/>
          <c:h val="0.759599008457276"/>
        </c:manualLayout>
      </c:layout>
      <c:scatterChart>
        <c:scatterStyle val="lineMarker"/>
        <c:varyColors val="0"/>
        <c:ser>
          <c:idx val="0"/>
          <c:order val="0"/>
          <c:tx>
            <c:v>2% RH</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power"/>
            <c:dispRSqr val="0"/>
            <c:dispEq val="0"/>
          </c:trendline>
          <c:xVal>
            <c:numRef>
              <c:f>'Fiber and Void'!$A$4:$A$7</c:f>
              <c:numCache>
                <c:formatCode>General</c:formatCode>
                <c:ptCount val="4"/>
                <c:pt idx="0">
                  <c:v>68.9</c:v>
                </c:pt>
                <c:pt idx="1">
                  <c:v>206.8</c:v>
                </c:pt>
                <c:pt idx="2">
                  <c:v>344.7</c:v>
                </c:pt>
                <c:pt idx="3">
                  <c:v>482.6</c:v>
                </c:pt>
              </c:numCache>
            </c:numRef>
          </c:xVal>
          <c:yVal>
            <c:numRef>
              <c:f>'Fiber and Void'!$P$4:$P$7</c:f>
              <c:numCache>
                <c:formatCode>0.00</c:formatCode>
                <c:ptCount val="4"/>
                <c:pt idx="0">
                  <c:v>3.521</c:v>
                </c:pt>
                <c:pt idx="1">
                  <c:v>2.326</c:v>
                </c:pt>
                <c:pt idx="2">
                  <c:v>2.154</c:v>
                </c:pt>
                <c:pt idx="3">
                  <c:v>1.726</c:v>
                </c:pt>
              </c:numCache>
            </c:numRef>
          </c:yVal>
          <c:smooth val="0"/>
        </c:ser>
        <c:ser>
          <c:idx val="1"/>
          <c:order val="1"/>
          <c:tx>
            <c:v>40% RH</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power"/>
            <c:dispRSqr val="0"/>
            <c:dispEq val="0"/>
          </c:trendline>
          <c:xVal>
            <c:numRef>
              <c:f>'Fiber and Void'!$A$10:$A$13</c:f>
              <c:numCache>
                <c:formatCode>General</c:formatCode>
                <c:ptCount val="4"/>
                <c:pt idx="0">
                  <c:v>68.9</c:v>
                </c:pt>
                <c:pt idx="1">
                  <c:v>206.8</c:v>
                </c:pt>
                <c:pt idx="2">
                  <c:v>344.7</c:v>
                </c:pt>
                <c:pt idx="3">
                  <c:v>482.6</c:v>
                </c:pt>
              </c:numCache>
            </c:numRef>
          </c:xVal>
          <c:yVal>
            <c:numRef>
              <c:f>'Fiber and Void'!$P$10:$P$13</c:f>
              <c:numCache>
                <c:formatCode>0.00</c:formatCode>
                <c:ptCount val="4"/>
                <c:pt idx="0">
                  <c:v>7.0</c:v>
                </c:pt>
                <c:pt idx="1">
                  <c:v>4.603999999999996</c:v>
                </c:pt>
                <c:pt idx="2">
                  <c:v>3.871</c:v>
                </c:pt>
                <c:pt idx="3">
                  <c:v>3.647</c:v>
                </c:pt>
              </c:numCache>
            </c:numRef>
          </c:yVal>
          <c:smooth val="0"/>
        </c:ser>
        <c:ser>
          <c:idx val="2"/>
          <c:order val="2"/>
          <c:tx>
            <c:v>70% RH</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power"/>
            <c:dispRSqr val="0"/>
            <c:dispEq val="0"/>
          </c:trendline>
          <c:xVal>
            <c:numRef>
              <c:f>'Fiber and Void'!$A$16:$A$19</c:f>
              <c:numCache>
                <c:formatCode>General</c:formatCode>
                <c:ptCount val="4"/>
                <c:pt idx="0">
                  <c:v>68.9</c:v>
                </c:pt>
                <c:pt idx="1">
                  <c:v>206.8</c:v>
                </c:pt>
                <c:pt idx="2">
                  <c:v>344.7</c:v>
                </c:pt>
                <c:pt idx="3">
                  <c:v>482.6</c:v>
                </c:pt>
              </c:numCache>
            </c:numRef>
          </c:xVal>
          <c:yVal>
            <c:numRef>
              <c:f>'Fiber and Void'!$P$16:$P$19</c:f>
              <c:numCache>
                <c:formatCode>0.00</c:formatCode>
                <c:ptCount val="4"/>
                <c:pt idx="0">
                  <c:v>10.225</c:v>
                </c:pt>
                <c:pt idx="1">
                  <c:v>7.034</c:v>
                </c:pt>
                <c:pt idx="2">
                  <c:v>5.948</c:v>
                </c:pt>
                <c:pt idx="3">
                  <c:v>5.437</c:v>
                </c:pt>
              </c:numCache>
            </c:numRef>
          </c:yVal>
          <c:smooth val="0"/>
        </c:ser>
        <c:ser>
          <c:idx val="3"/>
          <c:order val="3"/>
          <c:tx>
            <c:v>99% RH</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power"/>
            <c:dispRSqr val="0"/>
            <c:dispEq val="0"/>
          </c:trendline>
          <c:xVal>
            <c:numRef>
              <c:f>'Fiber and Void'!$A$22:$A$25</c:f>
              <c:numCache>
                <c:formatCode>General</c:formatCode>
                <c:ptCount val="4"/>
                <c:pt idx="0">
                  <c:v>68.9</c:v>
                </c:pt>
                <c:pt idx="1">
                  <c:v>206.8</c:v>
                </c:pt>
                <c:pt idx="2">
                  <c:v>344.7</c:v>
                </c:pt>
                <c:pt idx="3">
                  <c:v>482.6</c:v>
                </c:pt>
              </c:numCache>
            </c:numRef>
          </c:xVal>
          <c:yVal>
            <c:numRef>
              <c:f>'Fiber and Void'!$P$22:$P$25</c:f>
              <c:numCache>
                <c:formatCode>0.00</c:formatCode>
                <c:ptCount val="4"/>
                <c:pt idx="0">
                  <c:v>14.123</c:v>
                </c:pt>
                <c:pt idx="1">
                  <c:v>10.471</c:v>
                </c:pt>
                <c:pt idx="2">
                  <c:v>8.295000000000001</c:v>
                </c:pt>
                <c:pt idx="3">
                  <c:v>7.861999999999996</c:v>
                </c:pt>
              </c:numCache>
            </c:numRef>
          </c:yVal>
          <c:smooth val="0"/>
        </c:ser>
        <c:dLbls>
          <c:showLegendKey val="0"/>
          <c:showVal val="0"/>
          <c:showCatName val="0"/>
          <c:showSerName val="0"/>
          <c:showPercent val="0"/>
          <c:showBubbleSize val="0"/>
        </c:dLbls>
        <c:axId val="425084216"/>
        <c:axId val="425089848"/>
      </c:scatterChart>
      <c:valAx>
        <c:axId val="425084216"/>
        <c:scaling>
          <c:orientation val="minMax"/>
          <c:max val="525.0"/>
          <c:min val="0.0"/>
        </c:scaling>
        <c:delete val="0"/>
        <c:axPos val="b"/>
        <c:title>
          <c:tx>
            <c:rich>
              <a:bodyPr/>
              <a:lstStyle/>
              <a:p>
                <a:pPr>
                  <a:defRPr/>
                </a:pPr>
                <a:r>
                  <a:rPr lang="en-US"/>
                  <a:t>Fabrication Pressure (kPa)</a:t>
                </a:r>
              </a:p>
            </c:rich>
          </c:tx>
          <c:overlay val="0"/>
        </c:title>
        <c:numFmt formatCode="General" sourceLinked="1"/>
        <c:majorTickMark val="out"/>
        <c:minorTickMark val="in"/>
        <c:tickLblPos val="nextTo"/>
        <c:spPr>
          <a:ln w="12700" cmpd="sng">
            <a:solidFill>
              <a:srgbClr val="000000"/>
            </a:solidFill>
          </a:ln>
        </c:spPr>
        <c:crossAx val="425089848"/>
        <c:crosses val="autoZero"/>
        <c:crossBetween val="midCat"/>
        <c:majorUnit val="100.0"/>
        <c:minorUnit val="25.0"/>
      </c:valAx>
      <c:valAx>
        <c:axId val="425089848"/>
        <c:scaling>
          <c:orientation val="minMax"/>
          <c:max val="17.0"/>
          <c:min val="0.0"/>
        </c:scaling>
        <c:delete val="0"/>
        <c:axPos val="l"/>
        <c:title>
          <c:tx>
            <c:rich>
              <a:bodyPr rot="-5400000" vert="horz"/>
              <a:lstStyle/>
              <a:p>
                <a:pPr>
                  <a:defRPr/>
                </a:pPr>
                <a:r>
                  <a:rPr lang="en-US"/>
                  <a:t>Void Volume Fraction (%)</a:t>
                </a:r>
              </a:p>
            </c:rich>
          </c:tx>
          <c:overlay val="0"/>
        </c:title>
        <c:numFmt formatCode="0" sourceLinked="0"/>
        <c:majorTickMark val="out"/>
        <c:minorTickMark val="in"/>
        <c:tickLblPos val="nextTo"/>
        <c:spPr>
          <a:ln w="12700" cmpd="sng">
            <a:solidFill>
              <a:schemeClr val="tx1"/>
            </a:solidFill>
          </a:ln>
        </c:spPr>
        <c:crossAx val="425084216"/>
        <c:crosses val="autoZero"/>
        <c:crossBetween val="midCat"/>
        <c:majorUnit val="4.0"/>
        <c:minorUnit val="1.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671320640004745"/>
          <c:y val="0.0484776902887139"/>
          <c:w val="0.234360959117398"/>
          <c:h val="0.237362204724409"/>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01878827646544"/>
          <c:y val="0.0333333333333333"/>
          <c:w val="0.721605059784194"/>
          <c:h val="0.759599008457276"/>
        </c:manualLayout>
      </c:layout>
      <c:scatterChart>
        <c:scatterStyle val="lineMarker"/>
        <c:varyColors val="0"/>
        <c:ser>
          <c:idx val="0"/>
          <c:order val="0"/>
          <c:tx>
            <c:v>2% RH</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power"/>
            <c:dispRSqr val="0"/>
            <c:dispEq val="0"/>
          </c:trendline>
          <c:xVal>
            <c:numRef>
              <c:f>'Fiber and Void'!$A$4:$A$7</c:f>
              <c:numCache>
                <c:formatCode>General</c:formatCode>
                <c:ptCount val="4"/>
                <c:pt idx="0">
                  <c:v>68.9</c:v>
                </c:pt>
                <c:pt idx="1">
                  <c:v>206.8</c:v>
                </c:pt>
                <c:pt idx="2">
                  <c:v>344.7</c:v>
                </c:pt>
                <c:pt idx="3">
                  <c:v>482.6</c:v>
                </c:pt>
              </c:numCache>
            </c:numRef>
          </c:xVal>
          <c:yVal>
            <c:numRef>
              <c:f>'Fiber and Void'!$Z$4:$Z$7</c:f>
              <c:numCache>
                <c:formatCode>0.00</c:formatCode>
                <c:ptCount val="4"/>
                <c:pt idx="0">
                  <c:v>3.209</c:v>
                </c:pt>
                <c:pt idx="1">
                  <c:v>1.673</c:v>
                </c:pt>
                <c:pt idx="2">
                  <c:v>1.277</c:v>
                </c:pt>
                <c:pt idx="3">
                  <c:v>1.26</c:v>
                </c:pt>
              </c:numCache>
            </c:numRef>
          </c:yVal>
          <c:smooth val="0"/>
        </c:ser>
        <c:ser>
          <c:idx val="1"/>
          <c:order val="1"/>
          <c:tx>
            <c:v>40% RH</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power"/>
            <c:dispRSqr val="0"/>
            <c:dispEq val="0"/>
          </c:trendline>
          <c:xVal>
            <c:numRef>
              <c:f>'Fiber and Void'!$A$10:$A$13</c:f>
              <c:numCache>
                <c:formatCode>General</c:formatCode>
                <c:ptCount val="4"/>
                <c:pt idx="0">
                  <c:v>68.9</c:v>
                </c:pt>
                <c:pt idx="1">
                  <c:v>206.8</c:v>
                </c:pt>
                <c:pt idx="2">
                  <c:v>344.7</c:v>
                </c:pt>
                <c:pt idx="3">
                  <c:v>482.6</c:v>
                </c:pt>
              </c:numCache>
            </c:numRef>
          </c:xVal>
          <c:yVal>
            <c:numRef>
              <c:f>'Fiber and Void'!$Z$10:$Z$13</c:f>
              <c:numCache>
                <c:formatCode>0.00</c:formatCode>
                <c:ptCount val="4"/>
                <c:pt idx="0">
                  <c:v>3.961</c:v>
                </c:pt>
                <c:pt idx="1">
                  <c:v>1.894</c:v>
                </c:pt>
                <c:pt idx="2">
                  <c:v>2.039</c:v>
                </c:pt>
                <c:pt idx="3">
                  <c:v>1.649</c:v>
                </c:pt>
              </c:numCache>
            </c:numRef>
          </c:yVal>
          <c:smooth val="0"/>
        </c:ser>
        <c:ser>
          <c:idx val="2"/>
          <c:order val="2"/>
          <c:tx>
            <c:v>70% RH</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power"/>
            <c:dispRSqr val="0"/>
            <c:dispEq val="0"/>
          </c:trendline>
          <c:xVal>
            <c:numRef>
              <c:f>'Fiber and Void'!$A$16:$A$19</c:f>
              <c:numCache>
                <c:formatCode>General</c:formatCode>
                <c:ptCount val="4"/>
                <c:pt idx="0">
                  <c:v>68.9</c:v>
                </c:pt>
                <c:pt idx="1">
                  <c:v>206.8</c:v>
                </c:pt>
                <c:pt idx="2">
                  <c:v>344.7</c:v>
                </c:pt>
                <c:pt idx="3">
                  <c:v>482.6</c:v>
                </c:pt>
              </c:numCache>
            </c:numRef>
          </c:xVal>
          <c:yVal>
            <c:numRef>
              <c:f>'Fiber and Void'!$Z$16:$Z$19</c:f>
              <c:numCache>
                <c:formatCode>0.00</c:formatCode>
                <c:ptCount val="4"/>
                <c:pt idx="0">
                  <c:v>3.909</c:v>
                </c:pt>
                <c:pt idx="1">
                  <c:v>2.371</c:v>
                </c:pt>
                <c:pt idx="2">
                  <c:v>2.184</c:v>
                </c:pt>
                <c:pt idx="3">
                  <c:v>1.724</c:v>
                </c:pt>
              </c:numCache>
            </c:numRef>
          </c:yVal>
          <c:smooth val="0"/>
        </c:ser>
        <c:ser>
          <c:idx val="3"/>
          <c:order val="3"/>
          <c:tx>
            <c:v>99% RH</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power"/>
            <c:dispRSqr val="0"/>
            <c:dispEq val="0"/>
          </c:trendline>
          <c:xVal>
            <c:numRef>
              <c:f>'Fiber and Void'!$A$22:$A$25</c:f>
              <c:numCache>
                <c:formatCode>General</c:formatCode>
                <c:ptCount val="4"/>
                <c:pt idx="0">
                  <c:v>68.9</c:v>
                </c:pt>
                <c:pt idx="1">
                  <c:v>206.8</c:v>
                </c:pt>
                <c:pt idx="2">
                  <c:v>344.7</c:v>
                </c:pt>
                <c:pt idx="3">
                  <c:v>482.6</c:v>
                </c:pt>
              </c:numCache>
            </c:numRef>
          </c:xVal>
          <c:yVal>
            <c:numRef>
              <c:f>'Fiber and Void'!$Z$22:$Z$25</c:f>
              <c:numCache>
                <c:formatCode>0.00</c:formatCode>
                <c:ptCount val="4"/>
                <c:pt idx="0">
                  <c:v>4.75</c:v>
                </c:pt>
                <c:pt idx="1">
                  <c:v>3.327</c:v>
                </c:pt>
                <c:pt idx="2">
                  <c:v>3.632</c:v>
                </c:pt>
                <c:pt idx="3">
                  <c:v>1.888</c:v>
                </c:pt>
              </c:numCache>
            </c:numRef>
          </c:yVal>
          <c:smooth val="0"/>
        </c:ser>
        <c:dLbls>
          <c:showLegendKey val="0"/>
          <c:showVal val="0"/>
          <c:showCatName val="0"/>
          <c:showSerName val="0"/>
          <c:showPercent val="0"/>
          <c:showBubbleSize val="0"/>
        </c:dLbls>
        <c:axId val="419872824"/>
        <c:axId val="419948616"/>
      </c:scatterChart>
      <c:valAx>
        <c:axId val="419872824"/>
        <c:scaling>
          <c:orientation val="minMax"/>
          <c:max val="525.0"/>
          <c:min val="0.0"/>
        </c:scaling>
        <c:delete val="0"/>
        <c:axPos val="b"/>
        <c:title>
          <c:tx>
            <c:rich>
              <a:bodyPr/>
              <a:lstStyle/>
              <a:p>
                <a:pPr>
                  <a:defRPr/>
                </a:pPr>
                <a:r>
                  <a:rPr lang="en-US"/>
                  <a:t>Fabrication Pressure (kPa)</a:t>
                </a:r>
              </a:p>
            </c:rich>
          </c:tx>
          <c:overlay val="0"/>
        </c:title>
        <c:numFmt formatCode="General" sourceLinked="1"/>
        <c:majorTickMark val="out"/>
        <c:minorTickMark val="in"/>
        <c:tickLblPos val="nextTo"/>
        <c:spPr>
          <a:ln w="12700" cmpd="sng">
            <a:solidFill>
              <a:srgbClr val="000000"/>
            </a:solidFill>
          </a:ln>
        </c:spPr>
        <c:crossAx val="419948616"/>
        <c:crosses val="autoZero"/>
        <c:crossBetween val="midCat"/>
        <c:majorUnit val="100.0"/>
        <c:minorUnit val="25.0"/>
      </c:valAx>
      <c:valAx>
        <c:axId val="419948616"/>
        <c:scaling>
          <c:orientation val="minMax"/>
          <c:max val="8.0"/>
          <c:min val="0.0"/>
        </c:scaling>
        <c:delete val="0"/>
        <c:axPos val="l"/>
        <c:title>
          <c:tx>
            <c:rich>
              <a:bodyPr rot="-5400000" vert="horz"/>
              <a:lstStyle/>
              <a:p>
                <a:pPr>
                  <a:defRPr/>
                </a:pPr>
                <a:r>
                  <a:rPr lang="en-US"/>
                  <a:t>Void Volume Fraction (%)</a:t>
                </a:r>
              </a:p>
            </c:rich>
          </c:tx>
          <c:overlay val="0"/>
        </c:title>
        <c:numFmt formatCode="0" sourceLinked="0"/>
        <c:majorTickMark val="out"/>
        <c:minorTickMark val="in"/>
        <c:tickLblPos val="nextTo"/>
        <c:spPr>
          <a:ln w="12700" cmpd="sng">
            <a:solidFill>
              <a:schemeClr val="tx1"/>
            </a:solidFill>
          </a:ln>
        </c:spPr>
        <c:crossAx val="419872824"/>
        <c:crosses val="autoZero"/>
        <c:crossBetween val="midCat"/>
        <c:majorUnit val="2.0"/>
        <c:minorUnit val="1.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671320640004745"/>
          <c:y val="0.0484776902887139"/>
          <c:w val="0.234360959117398"/>
          <c:h val="0.237362204724409"/>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070621468927"/>
          <c:y val="0.0363636363636364"/>
          <c:w val="0.874034839924674"/>
          <c:h val="0.761176727909011"/>
        </c:manualLayout>
      </c:layout>
      <c:barChart>
        <c:barDir val="col"/>
        <c:grouping val="clustered"/>
        <c:varyColors val="0"/>
        <c:ser>
          <c:idx val="0"/>
          <c:order val="0"/>
          <c:tx>
            <c:v>68.9 kPa</c:v>
          </c:tx>
          <c:spPr>
            <a:solidFill>
              <a:srgbClr val="0070C0"/>
            </a:solidFill>
            <a:ln>
              <a:solidFill>
                <a:sysClr val="windowText" lastClr="000000"/>
              </a:solidFill>
            </a:ln>
          </c:spPr>
          <c:invertIfNegative val="0"/>
          <c:errBars>
            <c:errBarType val="both"/>
            <c:errValType val="cust"/>
            <c:noEndCap val="0"/>
            <c:plus>
              <c:numRef>
                <c:f>('Dry Flexure'!$H$4,'Dry Flexure'!$H$10,'Dry Flexure'!$H$16,'Dry Flexure'!$H$22)</c:f>
                <c:numCache>
                  <c:formatCode>General</c:formatCode>
                  <c:ptCount val="4"/>
                  <c:pt idx="0">
                    <c:v>0.825</c:v>
                  </c:pt>
                  <c:pt idx="1">
                    <c:v>1.08</c:v>
                  </c:pt>
                  <c:pt idx="2">
                    <c:v>0.991</c:v>
                  </c:pt>
                  <c:pt idx="3">
                    <c:v>1.056</c:v>
                  </c:pt>
                </c:numCache>
              </c:numRef>
            </c:plus>
            <c:minus>
              <c:numRef>
                <c:f>('Dry Flexure'!$H$4,'Dry Flexure'!$H$10,'Dry Flexure'!$H$16,'Dry Flexure'!$H$22)</c:f>
                <c:numCache>
                  <c:formatCode>General</c:formatCode>
                  <c:ptCount val="4"/>
                  <c:pt idx="0">
                    <c:v>0.825</c:v>
                  </c:pt>
                  <c:pt idx="1">
                    <c:v>1.08</c:v>
                  </c:pt>
                  <c:pt idx="2">
                    <c:v>0.991</c:v>
                  </c:pt>
                  <c:pt idx="3">
                    <c:v>1.056</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Flexure'!$F$4,'Dry Flexure'!$F$10,'Dry Flexure'!$F$16,'Dry Flexure'!$F$22)</c:f>
              <c:numCache>
                <c:formatCode>0.00</c:formatCode>
                <c:ptCount val="4"/>
                <c:pt idx="0">
                  <c:v>23.419</c:v>
                </c:pt>
                <c:pt idx="1">
                  <c:v>22.643</c:v>
                </c:pt>
                <c:pt idx="2">
                  <c:v>22.012</c:v>
                </c:pt>
                <c:pt idx="3">
                  <c:v>22.788</c:v>
                </c:pt>
              </c:numCache>
            </c:numRef>
          </c:val>
        </c:ser>
        <c:ser>
          <c:idx val="1"/>
          <c:order val="1"/>
          <c:tx>
            <c:v>206.8 kPa</c:v>
          </c:tx>
          <c:spPr>
            <a:solidFill>
              <a:srgbClr val="C00000"/>
            </a:solidFill>
            <a:ln>
              <a:solidFill>
                <a:sysClr val="windowText" lastClr="000000"/>
              </a:solidFill>
            </a:ln>
          </c:spPr>
          <c:invertIfNegative val="0"/>
          <c:errBars>
            <c:errBarType val="both"/>
            <c:errValType val="cust"/>
            <c:noEndCap val="0"/>
            <c:plus>
              <c:numRef>
                <c:f>('Dry Flexure'!$H$5,'Dry Flexure'!$H$11,'Dry Flexure'!$H$17,'Dry Flexure'!$H$23)</c:f>
                <c:numCache>
                  <c:formatCode>General</c:formatCode>
                  <c:ptCount val="4"/>
                  <c:pt idx="0">
                    <c:v>0.828</c:v>
                  </c:pt>
                  <c:pt idx="1">
                    <c:v>0.497</c:v>
                  </c:pt>
                  <c:pt idx="2">
                    <c:v>0.789</c:v>
                  </c:pt>
                  <c:pt idx="3">
                    <c:v>0.804</c:v>
                  </c:pt>
                </c:numCache>
              </c:numRef>
            </c:plus>
            <c:minus>
              <c:numRef>
                <c:f>('Dry Flexure'!$H$5,'Dry Flexure'!$H$11,'Dry Flexure'!$H$17,'Dry Flexure'!$H$23)</c:f>
                <c:numCache>
                  <c:formatCode>General</c:formatCode>
                  <c:ptCount val="4"/>
                  <c:pt idx="0">
                    <c:v>0.828</c:v>
                  </c:pt>
                  <c:pt idx="1">
                    <c:v>0.497</c:v>
                  </c:pt>
                  <c:pt idx="2">
                    <c:v>0.789</c:v>
                  </c:pt>
                  <c:pt idx="3">
                    <c:v>0.804</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Flexure'!$F$5,'Dry Flexure'!$F$11,'Dry Flexure'!$F$17,'Dry Flexure'!$F$23)</c:f>
              <c:numCache>
                <c:formatCode>0.00</c:formatCode>
                <c:ptCount val="4"/>
                <c:pt idx="0">
                  <c:v>25.528</c:v>
                </c:pt>
                <c:pt idx="1">
                  <c:v>24.712</c:v>
                </c:pt>
                <c:pt idx="2">
                  <c:v>25.447</c:v>
                </c:pt>
                <c:pt idx="3">
                  <c:v>26.668</c:v>
                </c:pt>
              </c:numCache>
            </c:numRef>
          </c:val>
        </c:ser>
        <c:ser>
          <c:idx val="2"/>
          <c:order val="2"/>
          <c:tx>
            <c:v>344.7 kPa</c:v>
          </c:tx>
          <c:spPr>
            <a:solidFill>
              <a:srgbClr val="00B050"/>
            </a:solidFill>
            <a:ln>
              <a:solidFill>
                <a:sysClr val="windowText" lastClr="000000"/>
              </a:solidFill>
            </a:ln>
          </c:spPr>
          <c:invertIfNegative val="0"/>
          <c:errBars>
            <c:errBarType val="both"/>
            <c:errValType val="cust"/>
            <c:noEndCap val="0"/>
            <c:plus>
              <c:numRef>
                <c:f>('Dry Flexure'!$H$6,'Dry Flexure'!$H$12,'Dry Flexure'!$H$18,'Dry Flexure'!$H$24)</c:f>
                <c:numCache>
                  <c:formatCode>General</c:formatCode>
                  <c:ptCount val="4"/>
                  <c:pt idx="0">
                    <c:v>1.007</c:v>
                  </c:pt>
                  <c:pt idx="1">
                    <c:v>0.554</c:v>
                  </c:pt>
                  <c:pt idx="2">
                    <c:v>0.373</c:v>
                  </c:pt>
                  <c:pt idx="3">
                    <c:v>0.924</c:v>
                  </c:pt>
                </c:numCache>
              </c:numRef>
            </c:plus>
            <c:minus>
              <c:numRef>
                <c:f>('Dry Flexure'!$H$6,'Dry Flexure'!$H$12,'Dry Flexure'!$H$18,'Dry Flexure'!$H$24)</c:f>
                <c:numCache>
                  <c:formatCode>General</c:formatCode>
                  <c:ptCount val="4"/>
                  <c:pt idx="0">
                    <c:v>1.007</c:v>
                  </c:pt>
                  <c:pt idx="1">
                    <c:v>0.554</c:v>
                  </c:pt>
                  <c:pt idx="2">
                    <c:v>0.373</c:v>
                  </c:pt>
                  <c:pt idx="3">
                    <c:v>0.924</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Flexure'!$F$6,'Dry Flexure'!$F$12,'Dry Flexure'!$F$18,'Dry Flexure'!$F$24)</c:f>
              <c:numCache>
                <c:formatCode>0.00</c:formatCode>
                <c:ptCount val="4"/>
                <c:pt idx="0">
                  <c:v>27.535</c:v>
                </c:pt>
                <c:pt idx="1">
                  <c:v>27.193</c:v>
                </c:pt>
                <c:pt idx="2">
                  <c:v>27.314</c:v>
                </c:pt>
                <c:pt idx="3">
                  <c:v>28.582</c:v>
                </c:pt>
              </c:numCache>
            </c:numRef>
          </c:val>
        </c:ser>
        <c:ser>
          <c:idx val="3"/>
          <c:order val="3"/>
          <c:tx>
            <c:v>482.6 kPa</c:v>
          </c:tx>
          <c:spPr>
            <a:solidFill>
              <a:srgbClr val="7030A0"/>
            </a:solidFill>
            <a:ln>
              <a:solidFill>
                <a:sysClr val="windowText" lastClr="000000"/>
              </a:solidFill>
            </a:ln>
          </c:spPr>
          <c:invertIfNegative val="0"/>
          <c:errBars>
            <c:errBarType val="both"/>
            <c:errValType val="cust"/>
            <c:noEndCap val="0"/>
            <c:plus>
              <c:numRef>
                <c:f>('Dry Flexure'!$H$7,'Dry Flexure'!$H$13,'Dry Flexure'!$H$19,'Dry Flexure'!$H$25)</c:f>
                <c:numCache>
                  <c:formatCode>General</c:formatCode>
                  <c:ptCount val="4"/>
                  <c:pt idx="0">
                    <c:v>0.376</c:v>
                  </c:pt>
                  <c:pt idx="1">
                    <c:v>0.612</c:v>
                  </c:pt>
                  <c:pt idx="2">
                    <c:v>0.432</c:v>
                  </c:pt>
                  <c:pt idx="3">
                    <c:v>0.393</c:v>
                  </c:pt>
                </c:numCache>
              </c:numRef>
            </c:plus>
            <c:minus>
              <c:numRef>
                <c:f>('Dry Flexure'!$H$7,'Dry Flexure'!$H$13,'Dry Flexure'!$H$19,'Dry Flexure'!$H$25)</c:f>
                <c:numCache>
                  <c:formatCode>General</c:formatCode>
                  <c:ptCount val="4"/>
                  <c:pt idx="0">
                    <c:v>0.376</c:v>
                  </c:pt>
                  <c:pt idx="1">
                    <c:v>0.612</c:v>
                  </c:pt>
                  <c:pt idx="2">
                    <c:v>0.432</c:v>
                  </c:pt>
                  <c:pt idx="3">
                    <c:v>0.393</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Flexure'!$F$7,'Dry Flexure'!$F$13,'Dry Flexure'!$F$19,'Dry Flexure'!$F$25)</c:f>
              <c:numCache>
                <c:formatCode>0.00</c:formatCode>
                <c:ptCount val="4"/>
                <c:pt idx="0">
                  <c:v>29.13800000000001</c:v>
                </c:pt>
                <c:pt idx="1">
                  <c:v>28.603</c:v>
                </c:pt>
                <c:pt idx="2">
                  <c:v>28.67899999999999</c:v>
                </c:pt>
                <c:pt idx="3">
                  <c:v>29.297</c:v>
                </c:pt>
              </c:numCache>
            </c:numRef>
          </c:val>
        </c:ser>
        <c:dLbls>
          <c:showLegendKey val="0"/>
          <c:showVal val="0"/>
          <c:showCatName val="0"/>
          <c:showSerName val="0"/>
          <c:showPercent val="0"/>
          <c:showBubbleSize val="0"/>
        </c:dLbls>
        <c:gapWidth val="150"/>
        <c:axId val="510602968"/>
        <c:axId val="510608984"/>
      </c:barChart>
      <c:catAx>
        <c:axId val="510602968"/>
        <c:scaling>
          <c:orientation val="minMax"/>
        </c:scaling>
        <c:delete val="0"/>
        <c:axPos val="b"/>
        <c:title>
          <c:tx>
            <c:rich>
              <a:bodyPr/>
              <a:lstStyle/>
              <a:p>
                <a:pPr>
                  <a:defRPr/>
                </a:pPr>
                <a:r>
                  <a:rPr lang="en-US"/>
                  <a:t>Relative</a:t>
                </a:r>
                <a:r>
                  <a:rPr lang="en-US" baseline="0"/>
                  <a:t> Humidity Conditioning Level</a:t>
                </a:r>
                <a:endParaRPr lang="en-US"/>
              </a:p>
            </c:rich>
          </c:tx>
          <c:overlay val="0"/>
        </c:title>
        <c:numFmt formatCode="General" sourceLinked="0"/>
        <c:majorTickMark val="cross"/>
        <c:minorTickMark val="none"/>
        <c:tickLblPos val="nextTo"/>
        <c:spPr>
          <a:ln>
            <a:solidFill>
              <a:sysClr val="windowText" lastClr="000000"/>
            </a:solidFill>
          </a:ln>
        </c:spPr>
        <c:crossAx val="510608984"/>
        <c:crosses val="autoZero"/>
        <c:auto val="1"/>
        <c:lblAlgn val="ctr"/>
        <c:lblOffset val="100"/>
        <c:noMultiLvlLbl val="0"/>
      </c:catAx>
      <c:valAx>
        <c:axId val="510608984"/>
        <c:scaling>
          <c:orientation val="minMax"/>
          <c:max val="35.0"/>
          <c:min val="15.0"/>
        </c:scaling>
        <c:delete val="0"/>
        <c:axPos val="l"/>
        <c:title>
          <c:tx>
            <c:rich>
              <a:bodyPr rot="-5400000" vert="horz"/>
              <a:lstStyle/>
              <a:p>
                <a:pPr>
                  <a:defRPr/>
                </a:pPr>
                <a:r>
                  <a:rPr lang="en-US"/>
                  <a:t>Flexural Stiffness (GPa)</a:t>
                </a:r>
              </a:p>
            </c:rich>
          </c:tx>
          <c:overlay val="0"/>
        </c:title>
        <c:numFmt formatCode="0" sourceLinked="0"/>
        <c:majorTickMark val="out"/>
        <c:minorTickMark val="in"/>
        <c:tickLblPos val="nextTo"/>
        <c:spPr>
          <a:ln>
            <a:solidFill>
              <a:sysClr val="windowText" lastClr="000000"/>
            </a:solidFill>
          </a:ln>
        </c:spPr>
        <c:crossAx val="510602968"/>
        <c:crosses val="autoZero"/>
        <c:crossBetween val="between"/>
        <c:majorUnit val="5.0"/>
        <c:minorUnit val="1.0"/>
      </c:valAx>
      <c:spPr>
        <a:ln w="19050" cmpd="sng">
          <a:solidFill>
            <a:sysClr val="windowText" lastClr="000000"/>
          </a:solidFill>
        </a:ln>
      </c:spPr>
    </c:plotArea>
    <c:legend>
      <c:legendPos val="t"/>
      <c:layout>
        <c:manualLayout>
          <c:xMode val="edge"/>
          <c:yMode val="edge"/>
          <c:x val="0.376893433871614"/>
          <c:y val="0.0404040404040404"/>
          <c:w val="0.594612378961104"/>
          <c:h val="0.106828919112384"/>
        </c:manualLayout>
      </c:layou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070621468927"/>
          <c:y val="0.0363636363636364"/>
          <c:w val="0.874034839924674"/>
          <c:h val="0.761176727909011"/>
        </c:manualLayout>
      </c:layout>
      <c:barChart>
        <c:barDir val="col"/>
        <c:grouping val="clustered"/>
        <c:varyColors val="0"/>
        <c:ser>
          <c:idx val="0"/>
          <c:order val="0"/>
          <c:tx>
            <c:v>68.9 kPa</c:v>
          </c:tx>
          <c:spPr>
            <a:solidFill>
              <a:srgbClr val="0070C0"/>
            </a:solidFill>
            <a:ln>
              <a:solidFill>
                <a:sysClr val="windowText" lastClr="000000"/>
              </a:solidFill>
            </a:ln>
          </c:spPr>
          <c:invertIfNegative val="0"/>
          <c:errBars>
            <c:errBarType val="both"/>
            <c:errValType val="cust"/>
            <c:noEndCap val="0"/>
            <c:plus>
              <c:numRef>
                <c:f>('Dry Flexure'!$R$4,'Dry Flexure'!$R$10,'Dry Flexure'!$R$16,'Dry Flexure'!$R$22)</c:f>
                <c:numCache>
                  <c:formatCode>General</c:formatCode>
                  <c:ptCount val="4"/>
                  <c:pt idx="0">
                    <c:v>1.216</c:v>
                  </c:pt>
                  <c:pt idx="1">
                    <c:v>1.009</c:v>
                  </c:pt>
                  <c:pt idx="2">
                    <c:v>0.982</c:v>
                  </c:pt>
                  <c:pt idx="3">
                    <c:v>1.065</c:v>
                  </c:pt>
                </c:numCache>
              </c:numRef>
            </c:plus>
            <c:minus>
              <c:numRef>
                <c:f>('Dry Flexure'!$R$4,'Dry Flexure'!$R$10,'Dry Flexure'!$R$16,'Dry Flexure'!$R$22)</c:f>
                <c:numCache>
                  <c:formatCode>General</c:formatCode>
                  <c:ptCount val="4"/>
                  <c:pt idx="0">
                    <c:v>1.216</c:v>
                  </c:pt>
                  <c:pt idx="1">
                    <c:v>1.009</c:v>
                  </c:pt>
                  <c:pt idx="2">
                    <c:v>0.982</c:v>
                  </c:pt>
                  <c:pt idx="3">
                    <c:v>1.065</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Flexure'!$P$4,'Dry Flexure'!$P$10,'Dry Flexure'!$P$16,'Dry Flexure'!$P$22)</c:f>
              <c:numCache>
                <c:formatCode>0.00</c:formatCode>
                <c:ptCount val="4"/>
                <c:pt idx="0">
                  <c:v>22.65</c:v>
                </c:pt>
                <c:pt idx="1">
                  <c:v>22.305</c:v>
                </c:pt>
                <c:pt idx="2">
                  <c:v>21.624</c:v>
                </c:pt>
                <c:pt idx="3">
                  <c:v>21.306</c:v>
                </c:pt>
              </c:numCache>
            </c:numRef>
          </c:val>
        </c:ser>
        <c:ser>
          <c:idx val="1"/>
          <c:order val="1"/>
          <c:tx>
            <c:v>206.8 kPa</c:v>
          </c:tx>
          <c:spPr>
            <a:solidFill>
              <a:srgbClr val="C00000"/>
            </a:solidFill>
            <a:ln>
              <a:solidFill>
                <a:sysClr val="windowText" lastClr="000000"/>
              </a:solidFill>
            </a:ln>
          </c:spPr>
          <c:invertIfNegative val="0"/>
          <c:errBars>
            <c:errBarType val="both"/>
            <c:errValType val="cust"/>
            <c:noEndCap val="0"/>
            <c:plus>
              <c:numRef>
                <c:f>('Dry Flexure'!$R$5,'Dry Flexure'!$R$11,'Dry Flexure'!$R$17,'Dry Flexure'!$R$23)</c:f>
                <c:numCache>
                  <c:formatCode>General</c:formatCode>
                  <c:ptCount val="4"/>
                  <c:pt idx="0">
                    <c:v>1.004</c:v>
                  </c:pt>
                  <c:pt idx="1">
                    <c:v>1.56</c:v>
                  </c:pt>
                  <c:pt idx="2">
                    <c:v>0.882</c:v>
                  </c:pt>
                  <c:pt idx="3">
                    <c:v>1.253</c:v>
                  </c:pt>
                </c:numCache>
              </c:numRef>
            </c:plus>
            <c:minus>
              <c:numRef>
                <c:f>('Dry Flexure'!$R$5,'Dry Flexure'!$R$11,'Dry Flexure'!$R$17,'Dry Flexure'!$R$23)</c:f>
                <c:numCache>
                  <c:formatCode>General</c:formatCode>
                  <c:ptCount val="4"/>
                  <c:pt idx="0">
                    <c:v>1.004</c:v>
                  </c:pt>
                  <c:pt idx="1">
                    <c:v>1.56</c:v>
                  </c:pt>
                  <c:pt idx="2">
                    <c:v>0.882</c:v>
                  </c:pt>
                  <c:pt idx="3">
                    <c:v>1.253</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Flexure'!$P$5,'Dry Flexure'!$P$11,'Dry Flexure'!$P$17,'Dry Flexure'!$P$23)</c:f>
              <c:numCache>
                <c:formatCode>0.00</c:formatCode>
                <c:ptCount val="4"/>
                <c:pt idx="0">
                  <c:v>25.003</c:v>
                </c:pt>
                <c:pt idx="1">
                  <c:v>26.686</c:v>
                </c:pt>
                <c:pt idx="2">
                  <c:v>24.632</c:v>
                </c:pt>
                <c:pt idx="3">
                  <c:v>24.754</c:v>
                </c:pt>
              </c:numCache>
            </c:numRef>
          </c:val>
        </c:ser>
        <c:ser>
          <c:idx val="2"/>
          <c:order val="2"/>
          <c:tx>
            <c:v>344.7 kPa</c:v>
          </c:tx>
          <c:spPr>
            <a:solidFill>
              <a:srgbClr val="00B050"/>
            </a:solidFill>
            <a:ln>
              <a:solidFill>
                <a:sysClr val="windowText" lastClr="000000"/>
              </a:solidFill>
            </a:ln>
          </c:spPr>
          <c:invertIfNegative val="0"/>
          <c:errBars>
            <c:errBarType val="both"/>
            <c:errValType val="cust"/>
            <c:noEndCap val="0"/>
            <c:plus>
              <c:numRef>
                <c:f>('Dry Flexure'!$R$6,'Dry Flexure'!$R$12,'Dry Flexure'!$R$18,'Dry Flexure'!$R$24)</c:f>
                <c:numCache>
                  <c:formatCode>General</c:formatCode>
                  <c:ptCount val="4"/>
                  <c:pt idx="0">
                    <c:v>1.037</c:v>
                  </c:pt>
                  <c:pt idx="1">
                    <c:v>0.738</c:v>
                  </c:pt>
                  <c:pt idx="2">
                    <c:v>0.943</c:v>
                  </c:pt>
                  <c:pt idx="3">
                    <c:v>0.611</c:v>
                  </c:pt>
                </c:numCache>
              </c:numRef>
            </c:plus>
            <c:minus>
              <c:numRef>
                <c:f>('Dry Flexure'!$R$6,'Dry Flexure'!$R$12,'Dry Flexure'!$R$18,'Dry Flexure'!$R$24)</c:f>
                <c:numCache>
                  <c:formatCode>General</c:formatCode>
                  <c:ptCount val="4"/>
                  <c:pt idx="0">
                    <c:v>1.037</c:v>
                  </c:pt>
                  <c:pt idx="1">
                    <c:v>0.738</c:v>
                  </c:pt>
                  <c:pt idx="2">
                    <c:v>0.943</c:v>
                  </c:pt>
                  <c:pt idx="3">
                    <c:v>0.611</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Flexure'!$P$6,'Dry Flexure'!$P$12,'Dry Flexure'!$P$18,'Dry Flexure'!$P$24)</c:f>
              <c:numCache>
                <c:formatCode>0.00</c:formatCode>
                <c:ptCount val="4"/>
                <c:pt idx="0">
                  <c:v>27.273</c:v>
                </c:pt>
                <c:pt idx="1">
                  <c:v>27.67899999999999</c:v>
                </c:pt>
                <c:pt idx="2">
                  <c:v>26.685</c:v>
                </c:pt>
                <c:pt idx="3">
                  <c:v>26.412</c:v>
                </c:pt>
              </c:numCache>
            </c:numRef>
          </c:val>
        </c:ser>
        <c:ser>
          <c:idx val="3"/>
          <c:order val="3"/>
          <c:tx>
            <c:v>482.6 kPa</c:v>
          </c:tx>
          <c:spPr>
            <a:solidFill>
              <a:srgbClr val="7030A0"/>
            </a:solidFill>
            <a:ln>
              <a:solidFill>
                <a:sysClr val="windowText" lastClr="000000"/>
              </a:solidFill>
            </a:ln>
          </c:spPr>
          <c:invertIfNegative val="0"/>
          <c:errBars>
            <c:errBarType val="both"/>
            <c:errValType val="cust"/>
            <c:noEndCap val="0"/>
            <c:plus>
              <c:numRef>
                <c:f>('Dry Flexure'!$R$7,'Dry Flexure'!$R$13,'Dry Flexure'!$R$19,'Dry Flexure'!$R$25)</c:f>
                <c:numCache>
                  <c:formatCode>General</c:formatCode>
                  <c:ptCount val="4"/>
                  <c:pt idx="0">
                    <c:v>0.658</c:v>
                  </c:pt>
                  <c:pt idx="1">
                    <c:v>0.453</c:v>
                  </c:pt>
                  <c:pt idx="2">
                    <c:v>0.295</c:v>
                  </c:pt>
                  <c:pt idx="3">
                    <c:v>0.456</c:v>
                  </c:pt>
                </c:numCache>
              </c:numRef>
            </c:plus>
            <c:minus>
              <c:numRef>
                <c:f>('Dry Flexure'!$R$7,'Dry Flexure'!$R$13,'Dry Flexure'!$R$19,'Dry Flexure'!$R$25)</c:f>
                <c:numCache>
                  <c:formatCode>General</c:formatCode>
                  <c:ptCount val="4"/>
                  <c:pt idx="0">
                    <c:v>0.658</c:v>
                  </c:pt>
                  <c:pt idx="1">
                    <c:v>0.453</c:v>
                  </c:pt>
                  <c:pt idx="2">
                    <c:v>0.295</c:v>
                  </c:pt>
                  <c:pt idx="3">
                    <c:v>0.456</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Flexure'!$P$7,'Dry Flexure'!$P$13,'Dry Flexure'!$P$19,'Dry Flexure'!$P$25)</c:f>
              <c:numCache>
                <c:formatCode>0.00</c:formatCode>
                <c:ptCount val="4"/>
                <c:pt idx="0">
                  <c:v>28.826</c:v>
                </c:pt>
                <c:pt idx="1">
                  <c:v>29.291</c:v>
                </c:pt>
                <c:pt idx="2">
                  <c:v>28.318</c:v>
                </c:pt>
                <c:pt idx="3">
                  <c:v>27.66</c:v>
                </c:pt>
              </c:numCache>
            </c:numRef>
          </c:val>
        </c:ser>
        <c:dLbls>
          <c:showLegendKey val="0"/>
          <c:showVal val="0"/>
          <c:showCatName val="0"/>
          <c:showSerName val="0"/>
          <c:showPercent val="0"/>
          <c:showBubbleSize val="0"/>
        </c:dLbls>
        <c:gapWidth val="150"/>
        <c:axId val="510528904"/>
        <c:axId val="510534920"/>
      </c:barChart>
      <c:catAx>
        <c:axId val="510528904"/>
        <c:scaling>
          <c:orientation val="minMax"/>
        </c:scaling>
        <c:delete val="0"/>
        <c:axPos val="b"/>
        <c:title>
          <c:tx>
            <c:rich>
              <a:bodyPr/>
              <a:lstStyle/>
              <a:p>
                <a:pPr>
                  <a:defRPr/>
                </a:pPr>
                <a:r>
                  <a:rPr lang="en-US"/>
                  <a:t>Relative</a:t>
                </a:r>
                <a:r>
                  <a:rPr lang="en-US" baseline="0"/>
                  <a:t> Humidity Conditioning Level</a:t>
                </a:r>
                <a:endParaRPr lang="en-US"/>
              </a:p>
            </c:rich>
          </c:tx>
          <c:overlay val="0"/>
        </c:title>
        <c:numFmt formatCode="General" sourceLinked="0"/>
        <c:majorTickMark val="cross"/>
        <c:minorTickMark val="none"/>
        <c:tickLblPos val="nextTo"/>
        <c:spPr>
          <a:ln>
            <a:solidFill>
              <a:sysClr val="windowText" lastClr="000000"/>
            </a:solidFill>
          </a:ln>
        </c:spPr>
        <c:crossAx val="510534920"/>
        <c:crosses val="autoZero"/>
        <c:auto val="1"/>
        <c:lblAlgn val="ctr"/>
        <c:lblOffset val="100"/>
        <c:noMultiLvlLbl val="0"/>
      </c:catAx>
      <c:valAx>
        <c:axId val="510534920"/>
        <c:scaling>
          <c:orientation val="minMax"/>
          <c:max val="35.0"/>
          <c:min val="15.0"/>
        </c:scaling>
        <c:delete val="0"/>
        <c:axPos val="l"/>
        <c:title>
          <c:tx>
            <c:rich>
              <a:bodyPr rot="-5400000" vert="horz"/>
              <a:lstStyle/>
              <a:p>
                <a:pPr>
                  <a:defRPr/>
                </a:pPr>
                <a:r>
                  <a:rPr lang="en-US"/>
                  <a:t>Flexural Stiffness (GPa)</a:t>
                </a:r>
              </a:p>
            </c:rich>
          </c:tx>
          <c:overlay val="0"/>
        </c:title>
        <c:numFmt formatCode="0" sourceLinked="0"/>
        <c:majorTickMark val="out"/>
        <c:minorTickMark val="in"/>
        <c:tickLblPos val="nextTo"/>
        <c:spPr>
          <a:ln>
            <a:solidFill>
              <a:sysClr val="windowText" lastClr="000000"/>
            </a:solidFill>
          </a:ln>
        </c:spPr>
        <c:crossAx val="510528904"/>
        <c:crosses val="autoZero"/>
        <c:crossBetween val="between"/>
        <c:majorUnit val="5.0"/>
        <c:minorUnit val="1.0"/>
      </c:valAx>
      <c:spPr>
        <a:ln w="19050" cmpd="sng">
          <a:solidFill>
            <a:sysClr val="windowText" lastClr="000000"/>
          </a:solidFill>
        </a:ln>
      </c:spPr>
    </c:plotArea>
    <c:legend>
      <c:legendPos val="t"/>
      <c:layout>
        <c:manualLayout>
          <c:xMode val="edge"/>
          <c:yMode val="edge"/>
          <c:x val="0.377284725002595"/>
          <c:y val="0.0404040404040404"/>
          <c:w val="0.594220902471937"/>
          <c:h val="0.106828919112384"/>
        </c:manualLayout>
      </c:layou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070621468927"/>
          <c:y val="0.0363636363636364"/>
          <c:w val="0.874034839924674"/>
          <c:h val="0.761176727909011"/>
        </c:manualLayout>
      </c:layout>
      <c:barChart>
        <c:barDir val="col"/>
        <c:grouping val="clustered"/>
        <c:varyColors val="0"/>
        <c:ser>
          <c:idx val="0"/>
          <c:order val="0"/>
          <c:tx>
            <c:v>68.9 kPa</c:v>
          </c:tx>
          <c:spPr>
            <a:solidFill>
              <a:srgbClr val="0070C0"/>
            </a:solidFill>
            <a:ln>
              <a:solidFill>
                <a:sysClr val="windowText" lastClr="000000"/>
              </a:solidFill>
            </a:ln>
          </c:spPr>
          <c:invertIfNegative val="0"/>
          <c:errBars>
            <c:errBarType val="both"/>
            <c:errValType val="cust"/>
            <c:noEndCap val="0"/>
            <c:plus>
              <c:numRef>
                <c:f>('Dry Flexure'!$AB$4,'Dry Flexure'!$AB$10,'Dry Flexure'!$AB$16,'Dry Flexure'!$AB$22)</c:f>
                <c:numCache>
                  <c:formatCode>General</c:formatCode>
                  <c:ptCount val="4"/>
                  <c:pt idx="0">
                    <c:v>1.487</c:v>
                  </c:pt>
                  <c:pt idx="1">
                    <c:v>1.82</c:v>
                  </c:pt>
                  <c:pt idx="2">
                    <c:v>2.381</c:v>
                  </c:pt>
                  <c:pt idx="3">
                    <c:v>1.254</c:v>
                  </c:pt>
                </c:numCache>
              </c:numRef>
            </c:plus>
            <c:minus>
              <c:numRef>
                <c:f>('Dry Flexure'!$AB$4,'Dry Flexure'!$AB$10,'Dry Flexure'!$AB$16,'Dry Flexure'!$AB$22)</c:f>
                <c:numCache>
                  <c:formatCode>General</c:formatCode>
                  <c:ptCount val="4"/>
                  <c:pt idx="0">
                    <c:v>1.487</c:v>
                  </c:pt>
                  <c:pt idx="1">
                    <c:v>1.82</c:v>
                  </c:pt>
                  <c:pt idx="2">
                    <c:v>2.381</c:v>
                  </c:pt>
                  <c:pt idx="3">
                    <c:v>1.254</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Flexure'!$Z$4,'Dry Flexure'!$Z$10,'Dry Flexure'!$Z$16,'Dry Flexure'!$Z$22)</c:f>
              <c:numCache>
                <c:formatCode>0.00</c:formatCode>
                <c:ptCount val="4"/>
                <c:pt idx="0">
                  <c:v>43.89</c:v>
                </c:pt>
                <c:pt idx="1">
                  <c:v>42.57700000000001</c:v>
                </c:pt>
                <c:pt idx="2">
                  <c:v>43.65</c:v>
                </c:pt>
                <c:pt idx="3">
                  <c:v>42.851</c:v>
                </c:pt>
              </c:numCache>
            </c:numRef>
          </c:val>
        </c:ser>
        <c:ser>
          <c:idx val="1"/>
          <c:order val="1"/>
          <c:tx>
            <c:v>206.8 kPa</c:v>
          </c:tx>
          <c:spPr>
            <a:solidFill>
              <a:srgbClr val="C00000"/>
            </a:solidFill>
            <a:ln>
              <a:solidFill>
                <a:sysClr val="windowText" lastClr="000000"/>
              </a:solidFill>
            </a:ln>
          </c:spPr>
          <c:invertIfNegative val="0"/>
          <c:errBars>
            <c:errBarType val="both"/>
            <c:errValType val="cust"/>
            <c:noEndCap val="0"/>
            <c:plus>
              <c:numRef>
                <c:f>('Dry Flexure'!$AB$5,'Dry Flexure'!$AB$11,'Dry Flexure'!$AB$17,'Dry Flexure'!$AB$23)</c:f>
                <c:numCache>
                  <c:formatCode>General</c:formatCode>
                  <c:ptCount val="4"/>
                  <c:pt idx="0">
                    <c:v>1.199</c:v>
                  </c:pt>
                  <c:pt idx="1">
                    <c:v>2.383</c:v>
                  </c:pt>
                  <c:pt idx="2">
                    <c:v>1.653</c:v>
                  </c:pt>
                  <c:pt idx="3">
                    <c:v>1.373</c:v>
                  </c:pt>
                </c:numCache>
              </c:numRef>
            </c:plus>
            <c:minus>
              <c:numRef>
                <c:f>('Dry Flexure'!$AB$5,'Dry Flexure'!$AB$11,'Dry Flexure'!$AB$17,'Dry Flexure'!$AB$23)</c:f>
                <c:numCache>
                  <c:formatCode>General</c:formatCode>
                  <c:ptCount val="4"/>
                  <c:pt idx="0">
                    <c:v>1.199</c:v>
                  </c:pt>
                  <c:pt idx="1">
                    <c:v>2.383</c:v>
                  </c:pt>
                  <c:pt idx="2">
                    <c:v>1.653</c:v>
                  </c:pt>
                  <c:pt idx="3">
                    <c:v>1.373</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Flexure'!$Z$5,'Dry Flexure'!$Z$11,'Dry Flexure'!$Z$17,'Dry Flexure'!$Z$23)</c:f>
              <c:numCache>
                <c:formatCode>0.00</c:formatCode>
                <c:ptCount val="4"/>
                <c:pt idx="0">
                  <c:v>48.612</c:v>
                </c:pt>
                <c:pt idx="1">
                  <c:v>46.942</c:v>
                </c:pt>
                <c:pt idx="2">
                  <c:v>47.901</c:v>
                </c:pt>
                <c:pt idx="3">
                  <c:v>50.689</c:v>
                </c:pt>
              </c:numCache>
            </c:numRef>
          </c:val>
        </c:ser>
        <c:ser>
          <c:idx val="2"/>
          <c:order val="2"/>
          <c:tx>
            <c:v>344.7 kPa</c:v>
          </c:tx>
          <c:spPr>
            <a:solidFill>
              <a:srgbClr val="00B050"/>
            </a:solidFill>
            <a:ln>
              <a:solidFill>
                <a:sysClr val="windowText" lastClr="000000"/>
              </a:solidFill>
            </a:ln>
          </c:spPr>
          <c:invertIfNegative val="0"/>
          <c:errBars>
            <c:errBarType val="both"/>
            <c:errValType val="cust"/>
            <c:noEndCap val="0"/>
            <c:plus>
              <c:numRef>
                <c:f>('Dry Flexure'!$AB$6,'Dry Flexure'!$AB$12,'Dry Flexure'!$AB$18,'Dry Flexure'!$AB$24)</c:f>
                <c:numCache>
                  <c:formatCode>General</c:formatCode>
                  <c:ptCount val="4"/>
                  <c:pt idx="0">
                    <c:v>2.306</c:v>
                  </c:pt>
                  <c:pt idx="1">
                    <c:v>0.875</c:v>
                  </c:pt>
                  <c:pt idx="2">
                    <c:v>0.764</c:v>
                  </c:pt>
                  <c:pt idx="3">
                    <c:v>1.549</c:v>
                  </c:pt>
                </c:numCache>
              </c:numRef>
            </c:plus>
            <c:minus>
              <c:numRef>
                <c:f>('Dry Flexure'!$AB$6,'Dry Flexure'!$AB$12,'Dry Flexure'!$AB$18,'Dry Flexure'!$AB$24)</c:f>
                <c:numCache>
                  <c:formatCode>General</c:formatCode>
                  <c:ptCount val="4"/>
                  <c:pt idx="0">
                    <c:v>2.306</c:v>
                  </c:pt>
                  <c:pt idx="1">
                    <c:v>0.875</c:v>
                  </c:pt>
                  <c:pt idx="2">
                    <c:v>0.764</c:v>
                  </c:pt>
                  <c:pt idx="3">
                    <c:v>1.549</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Flexure'!$Z$6,'Dry Flexure'!$Z$12,'Dry Flexure'!$Z$18,'Dry Flexure'!$Z$24)</c:f>
              <c:numCache>
                <c:formatCode>0.00</c:formatCode>
                <c:ptCount val="4"/>
                <c:pt idx="0">
                  <c:v>47.106</c:v>
                </c:pt>
                <c:pt idx="1">
                  <c:v>49.603</c:v>
                </c:pt>
                <c:pt idx="2">
                  <c:v>49.72100000000001</c:v>
                </c:pt>
                <c:pt idx="3">
                  <c:v>50.704</c:v>
                </c:pt>
              </c:numCache>
            </c:numRef>
          </c:val>
        </c:ser>
        <c:ser>
          <c:idx val="3"/>
          <c:order val="3"/>
          <c:tx>
            <c:v>482.6 kPa</c:v>
          </c:tx>
          <c:spPr>
            <a:solidFill>
              <a:srgbClr val="7030A0"/>
            </a:solidFill>
            <a:ln>
              <a:solidFill>
                <a:sysClr val="windowText" lastClr="000000"/>
              </a:solidFill>
            </a:ln>
          </c:spPr>
          <c:invertIfNegative val="0"/>
          <c:errBars>
            <c:errBarType val="both"/>
            <c:errValType val="cust"/>
            <c:noEndCap val="0"/>
            <c:plus>
              <c:numRef>
                <c:f>('Dry Flexure'!$AB$7,'Dry Flexure'!$AB$13,'Dry Flexure'!$AB$19,'Dry Flexure'!$AB$25)</c:f>
                <c:numCache>
                  <c:formatCode>General</c:formatCode>
                  <c:ptCount val="4"/>
                  <c:pt idx="0">
                    <c:v>0.939</c:v>
                  </c:pt>
                  <c:pt idx="1">
                    <c:v>0.939</c:v>
                  </c:pt>
                  <c:pt idx="2">
                    <c:v>2.601</c:v>
                  </c:pt>
                  <c:pt idx="3">
                    <c:v>1.585</c:v>
                  </c:pt>
                </c:numCache>
              </c:numRef>
            </c:plus>
            <c:minus>
              <c:numRef>
                <c:f>('Dry Flexure'!$AB$7,'Dry Flexure'!$AB$13,'Dry Flexure'!$AB$19,'Dry Flexure'!$AB$25)</c:f>
                <c:numCache>
                  <c:formatCode>General</c:formatCode>
                  <c:ptCount val="4"/>
                  <c:pt idx="0">
                    <c:v>0.939</c:v>
                  </c:pt>
                  <c:pt idx="1">
                    <c:v>0.939</c:v>
                  </c:pt>
                  <c:pt idx="2">
                    <c:v>2.601</c:v>
                  </c:pt>
                  <c:pt idx="3">
                    <c:v>1.585</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Flexure'!$Z$7,'Dry Flexure'!$Z$13,'Dry Flexure'!$Z$19,'Dry Flexure'!$Z$25)</c:f>
              <c:numCache>
                <c:formatCode>0.00</c:formatCode>
                <c:ptCount val="4"/>
                <c:pt idx="0">
                  <c:v>51.88</c:v>
                </c:pt>
                <c:pt idx="1">
                  <c:v>51.545</c:v>
                </c:pt>
                <c:pt idx="2">
                  <c:v>53.29600000000001</c:v>
                </c:pt>
                <c:pt idx="3">
                  <c:v>51.761</c:v>
                </c:pt>
              </c:numCache>
            </c:numRef>
          </c:val>
        </c:ser>
        <c:dLbls>
          <c:showLegendKey val="0"/>
          <c:showVal val="0"/>
          <c:showCatName val="0"/>
          <c:showSerName val="0"/>
          <c:showPercent val="0"/>
          <c:showBubbleSize val="0"/>
        </c:dLbls>
        <c:gapWidth val="150"/>
        <c:axId val="510423192"/>
        <c:axId val="510429208"/>
      </c:barChart>
      <c:catAx>
        <c:axId val="510423192"/>
        <c:scaling>
          <c:orientation val="minMax"/>
        </c:scaling>
        <c:delete val="0"/>
        <c:axPos val="b"/>
        <c:title>
          <c:tx>
            <c:rich>
              <a:bodyPr/>
              <a:lstStyle/>
              <a:p>
                <a:pPr>
                  <a:defRPr/>
                </a:pPr>
                <a:r>
                  <a:rPr lang="en-US"/>
                  <a:t>Relative</a:t>
                </a:r>
                <a:r>
                  <a:rPr lang="en-US" baseline="0"/>
                  <a:t> Humidity Conditioning Level</a:t>
                </a:r>
                <a:endParaRPr lang="en-US"/>
              </a:p>
            </c:rich>
          </c:tx>
          <c:overlay val="0"/>
        </c:title>
        <c:numFmt formatCode="General" sourceLinked="0"/>
        <c:majorTickMark val="cross"/>
        <c:minorTickMark val="none"/>
        <c:tickLblPos val="nextTo"/>
        <c:spPr>
          <a:ln>
            <a:solidFill>
              <a:sysClr val="windowText" lastClr="000000"/>
            </a:solidFill>
          </a:ln>
        </c:spPr>
        <c:crossAx val="510429208"/>
        <c:crosses val="autoZero"/>
        <c:auto val="1"/>
        <c:lblAlgn val="ctr"/>
        <c:lblOffset val="100"/>
        <c:noMultiLvlLbl val="0"/>
      </c:catAx>
      <c:valAx>
        <c:axId val="510429208"/>
        <c:scaling>
          <c:orientation val="minMax"/>
          <c:max val="70.0"/>
          <c:min val="30.0"/>
        </c:scaling>
        <c:delete val="0"/>
        <c:axPos val="l"/>
        <c:title>
          <c:tx>
            <c:rich>
              <a:bodyPr rot="-5400000" vert="horz"/>
              <a:lstStyle/>
              <a:p>
                <a:pPr>
                  <a:defRPr/>
                </a:pPr>
                <a:r>
                  <a:rPr lang="en-US"/>
                  <a:t>Flexural Stiffness (GPa)</a:t>
                </a:r>
              </a:p>
            </c:rich>
          </c:tx>
          <c:overlay val="0"/>
        </c:title>
        <c:numFmt formatCode="0" sourceLinked="0"/>
        <c:majorTickMark val="out"/>
        <c:minorTickMark val="in"/>
        <c:tickLblPos val="nextTo"/>
        <c:spPr>
          <a:ln>
            <a:solidFill>
              <a:sysClr val="windowText" lastClr="000000"/>
            </a:solidFill>
          </a:ln>
        </c:spPr>
        <c:crossAx val="510423192"/>
        <c:crosses val="autoZero"/>
        <c:crossBetween val="between"/>
      </c:valAx>
      <c:spPr>
        <a:ln w="19050" cmpd="sng">
          <a:solidFill>
            <a:sysClr val="windowText" lastClr="000000"/>
          </a:solidFill>
        </a:ln>
      </c:spPr>
    </c:plotArea>
    <c:legend>
      <c:legendPos val="t"/>
      <c:layout>
        <c:manualLayout>
          <c:xMode val="edge"/>
          <c:yMode val="edge"/>
          <c:x val="0.379247482835832"/>
          <c:y val="0.0404040404040404"/>
          <c:w val="0.592258329996886"/>
          <c:h val="0.106828919112384"/>
        </c:manualLayout>
      </c:layou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6548964218456"/>
          <c:y val="0.0363636363636364"/>
          <c:w val="0.857556497175142"/>
          <c:h val="0.761176727909011"/>
        </c:manualLayout>
      </c:layout>
      <c:barChart>
        <c:barDir val="col"/>
        <c:grouping val="clustered"/>
        <c:varyColors val="0"/>
        <c:ser>
          <c:idx val="0"/>
          <c:order val="0"/>
          <c:tx>
            <c:v>68.9 kPa</c:v>
          </c:tx>
          <c:spPr>
            <a:solidFill>
              <a:srgbClr val="0070C0"/>
            </a:solidFill>
            <a:ln>
              <a:solidFill>
                <a:sysClr val="windowText" lastClr="000000"/>
              </a:solidFill>
            </a:ln>
          </c:spPr>
          <c:invertIfNegative val="0"/>
          <c:errBars>
            <c:errBarType val="both"/>
            <c:errValType val="cust"/>
            <c:noEndCap val="0"/>
            <c:plus>
              <c:numRef>
                <c:f>('Dry Flexure'!$D$4,'Dry Flexure'!$D$10,'Dry Flexure'!$D$16,'Dry Flexure'!$D$22)</c:f>
                <c:numCache>
                  <c:formatCode>General</c:formatCode>
                  <c:ptCount val="4"/>
                  <c:pt idx="0">
                    <c:v>33.315</c:v>
                  </c:pt>
                  <c:pt idx="1">
                    <c:v>13.751</c:v>
                  </c:pt>
                  <c:pt idx="2">
                    <c:v>16.216</c:v>
                  </c:pt>
                  <c:pt idx="3">
                    <c:v>13.74</c:v>
                  </c:pt>
                </c:numCache>
              </c:numRef>
            </c:plus>
            <c:minus>
              <c:numRef>
                <c:f>('Dry Flexure'!$D$4,'Dry Flexure'!$D$10,'Dry Flexure'!$D$16,'Dry Flexure'!$D$22)</c:f>
                <c:numCache>
                  <c:formatCode>General</c:formatCode>
                  <c:ptCount val="4"/>
                  <c:pt idx="0">
                    <c:v>33.315</c:v>
                  </c:pt>
                  <c:pt idx="1">
                    <c:v>13.751</c:v>
                  </c:pt>
                  <c:pt idx="2">
                    <c:v>16.216</c:v>
                  </c:pt>
                  <c:pt idx="3">
                    <c:v>13.74</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Flexure'!$B$4,'Dry Flexure'!$B$10,'Dry Flexure'!$B$16,'Dry Flexure'!$B$22)</c:f>
              <c:numCache>
                <c:formatCode>0.00</c:formatCode>
                <c:ptCount val="4"/>
                <c:pt idx="0">
                  <c:v>482.3179999999999</c:v>
                </c:pt>
                <c:pt idx="1">
                  <c:v>463.2819999999989</c:v>
                </c:pt>
                <c:pt idx="2">
                  <c:v>425.038</c:v>
                </c:pt>
                <c:pt idx="3">
                  <c:v>450.956</c:v>
                </c:pt>
              </c:numCache>
            </c:numRef>
          </c:val>
        </c:ser>
        <c:ser>
          <c:idx val="1"/>
          <c:order val="1"/>
          <c:tx>
            <c:v>206.8 kPa</c:v>
          </c:tx>
          <c:spPr>
            <a:solidFill>
              <a:srgbClr val="C00000"/>
            </a:solidFill>
            <a:ln>
              <a:solidFill>
                <a:sysClr val="windowText" lastClr="000000"/>
              </a:solidFill>
            </a:ln>
          </c:spPr>
          <c:invertIfNegative val="0"/>
          <c:errBars>
            <c:errBarType val="both"/>
            <c:errValType val="cust"/>
            <c:noEndCap val="0"/>
            <c:plus>
              <c:numRef>
                <c:f>('Dry Flexure'!$D$5,'Dry Flexure'!$D$11,'Dry Flexure'!$D$17,'Dry Flexure'!$D$23)</c:f>
                <c:numCache>
                  <c:formatCode>General</c:formatCode>
                  <c:ptCount val="4"/>
                  <c:pt idx="0">
                    <c:v>34.97600000000001</c:v>
                  </c:pt>
                  <c:pt idx="1">
                    <c:v>33.044</c:v>
                  </c:pt>
                  <c:pt idx="2">
                    <c:v>10.275</c:v>
                  </c:pt>
                  <c:pt idx="3">
                    <c:v>18.93</c:v>
                  </c:pt>
                </c:numCache>
              </c:numRef>
            </c:plus>
            <c:minus>
              <c:numRef>
                <c:f>('Dry Flexure'!$D$5,'Dry Flexure'!$D$11,'Dry Flexure'!$D$17,'Dry Flexure'!$D$23)</c:f>
                <c:numCache>
                  <c:formatCode>General</c:formatCode>
                  <c:ptCount val="4"/>
                  <c:pt idx="0">
                    <c:v>34.97600000000001</c:v>
                  </c:pt>
                  <c:pt idx="1">
                    <c:v>33.044</c:v>
                  </c:pt>
                  <c:pt idx="2">
                    <c:v>10.275</c:v>
                  </c:pt>
                  <c:pt idx="3">
                    <c:v>18.93</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Flexure'!$B$5,'Dry Flexure'!$B$11,'Dry Flexure'!$B$17,'Dry Flexure'!$B$23)</c:f>
              <c:numCache>
                <c:formatCode>0.00</c:formatCode>
                <c:ptCount val="4"/>
                <c:pt idx="0">
                  <c:v>596.789</c:v>
                </c:pt>
                <c:pt idx="1">
                  <c:v>536.744</c:v>
                </c:pt>
                <c:pt idx="2">
                  <c:v>488.6139999999999</c:v>
                </c:pt>
                <c:pt idx="3">
                  <c:v>521.8229999999984</c:v>
                </c:pt>
              </c:numCache>
            </c:numRef>
          </c:val>
        </c:ser>
        <c:ser>
          <c:idx val="2"/>
          <c:order val="2"/>
          <c:tx>
            <c:v>344.7 kPa</c:v>
          </c:tx>
          <c:spPr>
            <a:solidFill>
              <a:srgbClr val="00B050"/>
            </a:solidFill>
            <a:ln>
              <a:solidFill>
                <a:sysClr val="windowText" lastClr="000000"/>
              </a:solidFill>
            </a:ln>
          </c:spPr>
          <c:invertIfNegative val="0"/>
          <c:errBars>
            <c:errBarType val="both"/>
            <c:errValType val="cust"/>
            <c:noEndCap val="0"/>
            <c:plus>
              <c:numRef>
                <c:f>('Dry Flexure'!$D$6,'Dry Flexure'!$D$12,'Dry Flexure'!$D$18,'Dry Flexure'!$D$24)</c:f>
                <c:numCache>
                  <c:formatCode>General</c:formatCode>
                  <c:ptCount val="4"/>
                  <c:pt idx="0">
                    <c:v>7.958</c:v>
                  </c:pt>
                  <c:pt idx="1">
                    <c:v>19.566</c:v>
                  </c:pt>
                  <c:pt idx="2">
                    <c:v>13.035</c:v>
                  </c:pt>
                  <c:pt idx="3">
                    <c:v>10.31</c:v>
                  </c:pt>
                </c:numCache>
              </c:numRef>
            </c:plus>
            <c:minus>
              <c:numRef>
                <c:f>('Dry Flexure'!$D$6,'Dry Flexure'!$D$12,'Dry Flexure'!$D$18,'Dry Flexure'!$D$24)</c:f>
                <c:numCache>
                  <c:formatCode>General</c:formatCode>
                  <c:ptCount val="4"/>
                  <c:pt idx="0">
                    <c:v>7.958</c:v>
                  </c:pt>
                  <c:pt idx="1">
                    <c:v>19.566</c:v>
                  </c:pt>
                  <c:pt idx="2">
                    <c:v>13.035</c:v>
                  </c:pt>
                  <c:pt idx="3">
                    <c:v>10.31</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Flexure'!$B$6,'Dry Flexure'!$B$12,'Dry Flexure'!$B$18,'Dry Flexure'!$B$24)</c:f>
              <c:numCache>
                <c:formatCode>0.00</c:formatCode>
                <c:ptCount val="4"/>
                <c:pt idx="0">
                  <c:v>568.8659999999974</c:v>
                </c:pt>
                <c:pt idx="1">
                  <c:v>526.25</c:v>
                </c:pt>
                <c:pt idx="2">
                  <c:v>507.714</c:v>
                </c:pt>
                <c:pt idx="3">
                  <c:v>542.244</c:v>
                </c:pt>
              </c:numCache>
            </c:numRef>
          </c:val>
        </c:ser>
        <c:ser>
          <c:idx val="3"/>
          <c:order val="3"/>
          <c:tx>
            <c:v>482.6 kPa</c:v>
          </c:tx>
          <c:spPr>
            <a:solidFill>
              <a:srgbClr val="7030A0"/>
            </a:solidFill>
            <a:ln>
              <a:solidFill>
                <a:sysClr val="windowText" lastClr="000000"/>
              </a:solidFill>
            </a:ln>
          </c:spPr>
          <c:invertIfNegative val="0"/>
          <c:errBars>
            <c:errBarType val="both"/>
            <c:errValType val="cust"/>
            <c:noEndCap val="0"/>
            <c:plus>
              <c:numRef>
                <c:f>('Dry Flexure'!$D$7,'Dry Flexure'!$D$13,'Dry Flexure'!$D$19,'Dry Flexure'!$D$25)</c:f>
                <c:numCache>
                  <c:formatCode>General</c:formatCode>
                  <c:ptCount val="4"/>
                  <c:pt idx="0">
                    <c:v>15.836</c:v>
                  </c:pt>
                  <c:pt idx="1">
                    <c:v>16.61</c:v>
                  </c:pt>
                  <c:pt idx="2">
                    <c:v>11.399</c:v>
                  </c:pt>
                  <c:pt idx="3">
                    <c:v>11.712</c:v>
                  </c:pt>
                </c:numCache>
              </c:numRef>
            </c:plus>
            <c:minus>
              <c:numRef>
                <c:f>('Dry Flexure'!$D$7,'Dry Flexure'!$D$13,'Dry Flexure'!$D$19,'Dry Flexure'!$D$25)</c:f>
                <c:numCache>
                  <c:formatCode>General</c:formatCode>
                  <c:ptCount val="4"/>
                  <c:pt idx="0">
                    <c:v>15.836</c:v>
                  </c:pt>
                  <c:pt idx="1">
                    <c:v>16.61</c:v>
                  </c:pt>
                  <c:pt idx="2">
                    <c:v>11.399</c:v>
                  </c:pt>
                  <c:pt idx="3">
                    <c:v>11.712</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Flexure'!$B$7,'Dry Flexure'!$B$13,'Dry Flexure'!$B$19,'Dry Flexure'!$B$25)</c:f>
              <c:numCache>
                <c:formatCode>0.00</c:formatCode>
                <c:ptCount val="4"/>
                <c:pt idx="0">
                  <c:v>602.8499999999979</c:v>
                </c:pt>
                <c:pt idx="1">
                  <c:v>545.672</c:v>
                </c:pt>
                <c:pt idx="2">
                  <c:v>524.814</c:v>
                </c:pt>
                <c:pt idx="3">
                  <c:v>550.102</c:v>
                </c:pt>
              </c:numCache>
            </c:numRef>
          </c:val>
        </c:ser>
        <c:dLbls>
          <c:showLegendKey val="0"/>
          <c:showVal val="0"/>
          <c:showCatName val="0"/>
          <c:showSerName val="0"/>
          <c:showPercent val="0"/>
          <c:showBubbleSize val="0"/>
        </c:dLbls>
        <c:gapWidth val="150"/>
        <c:axId val="510482936"/>
        <c:axId val="510488952"/>
      </c:barChart>
      <c:catAx>
        <c:axId val="510482936"/>
        <c:scaling>
          <c:orientation val="minMax"/>
        </c:scaling>
        <c:delete val="0"/>
        <c:axPos val="b"/>
        <c:title>
          <c:tx>
            <c:rich>
              <a:bodyPr/>
              <a:lstStyle/>
              <a:p>
                <a:pPr>
                  <a:defRPr/>
                </a:pPr>
                <a:r>
                  <a:rPr lang="en-US"/>
                  <a:t>Relative</a:t>
                </a:r>
                <a:r>
                  <a:rPr lang="en-US" baseline="0"/>
                  <a:t> Humidity Conditioning Level</a:t>
                </a:r>
                <a:endParaRPr lang="en-US"/>
              </a:p>
            </c:rich>
          </c:tx>
          <c:overlay val="0"/>
        </c:title>
        <c:numFmt formatCode="General" sourceLinked="0"/>
        <c:majorTickMark val="cross"/>
        <c:minorTickMark val="none"/>
        <c:tickLblPos val="nextTo"/>
        <c:spPr>
          <a:ln>
            <a:solidFill>
              <a:sysClr val="windowText" lastClr="000000"/>
            </a:solidFill>
          </a:ln>
        </c:spPr>
        <c:crossAx val="510488952"/>
        <c:crosses val="autoZero"/>
        <c:auto val="1"/>
        <c:lblAlgn val="ctr"/>
        <c:lblOffset val="100"/>
        <c:noMultiLvlLbl val="0"/>
      </c:catAx>
      <c:valAx>
        <c:axId val="510488952"/>
        <c:scaling>
          <c:orientation val="minMax"/>
          <c:max val="800.0"/>
          <c:min val="200.0"/>
        </c:scaling>
        <c:delete val="0"/>
        <c:axPos val="l"/>
        <c:title>
          <c:tx>
            <c:rich>
              <a:bodyPr rot="-5400000" vert="horz"/>
              <a:lstStyle/>
              <a:p>
                <a:pPr>
                  <a:defRPr/>
                </a:pPr>
                <a:r>
                  <a:rPr lang="en-US"/>
                  <a:t>Flexural Strength (MPa)</a:t>
                </a:r>
              </a:p>
            </c:rich>
          </c:tx>
          <c:overlay val="0"/>
        </c:title>
        <c:numFmt formatCode="0" sourceLinked="0"/>
        <c:majorTickMark val="out"/>
        <c:minorTickMark val="in"/>
        <c:tickLblPos val="nextTo"/>
        <c:spPr>
          <a:ln>
            <a:solidFill>
              <a:sysClr val="windowText" lastClr="000000"/>
            </a:solidFill>
          </a:ln>
        </c:spPr>
        <c:crossAx val="510482936"/>
        <c:crosses val="autoZero"/>
        <c:crossBetween val="between"/>
        <c:majorUnit val="200.0"/>
        <c:minorUnit val="50.0"/>
      </c:valAx>
      <c:spPr>
        <a:ln w="19050" cmpd="sng">
          <a:solidFill>
            <a:sysClr val="windowText" lastClr="000000"/>
          </a:solidFill>
        </a:ln>
      </c:spPr>
    </c:plotArea>
    <c:legend>
      <c:legendPos val="t"/>
      <c:layout>
        <c:manualLayout>
          <c:xMode val="edge"/>
          <c:yMode val="edge"/>
          <c:x val="0.379247482835832"/>
          <c:y val="0.0404040404040404"/>
          <c:w val="0.592258329996886"/>
          <c:h val="0.106828919112384"/>
        </c:manualLayout>
      </c:layou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1257062146893"/>
          <c:y val="0.0363636363636364"/>
          <c:w val="0.852848399246705"/>
          <c:h val="0.761176727909011"/>
        </c:manualLayout>
      </c:layout>
      <c:barChart>
        <c:barDir val="col"/>
        <c:grouping val="clustered"/>
        <c:varyColors val="0"/>
        <c:ser>
          <c:idx val="0"/>
          <c:order val="0"/>
          <c:tx>
            <c:v>68.9 kPa</c:v>
          </c:tx>
          <c:spPr>
            <a:solidFill>
              <a:srgbClr val="0070C0"/>
            </a:solidFill>
            <a:ln>
              <a:solidFill>
                <a:sysClr val="windowText" lastClr="000000"/>
              </a:solidFill>
            </a:ln>
          </c:spPr>
          <c:invertIfNegative val="0"/>
          <c:errBars>
            <c:errBarType val="both"/>
            <c:errValType val="cust"/>
            <c:noEndCap val="0"/>
            <c:plus>
              <c:numRef>
                <c:f>('Dry Flexure'!$N$4,'Dry Flexure'!$N$10,'Dry Flexure'!$N$16,'Dry Flexure'!$N$22)</c:f>
                <c:numCache>
                  <c:formatCode>General</c:formatCode>
                  <c:ptCount val="4"/>
                  <c:pt idx="0">
                    <c:v>28.44</c:v>
                  </c:pt>
                  <c:pt idx="1">
                    <c:v>40.643</c:v>
                  </c:pt>
                  <c:pt idx="2">
                    <c:v>59.66900000000001</c:v>
                  </c:pt>
                  <c:pt idx="3">
                    <c:v>46.50700000000001</c:v>
                  </c:pt>
                </c:numCache>
              </c:numRef>
            </c:plus>
            <c:minus>
              <c:numRef>
                <c:f>('Dry Flexure'!$N$4,'Dry Flexure'!$N$10,'Dry Flexure'!$N$16,'Dry Flexure'!$N$22)</c:f>
                <c:numCache>
                  <c:formatCode>General</c:formatCode>
                  <c:ptCount val="4"/>
                  <c:pt idx="0">
                    <c:v>28.44</c:v>
                  </c:pt>
                  <c:pt idx="1">
                    <c:v>40.643</c:v>
                  </c:pt>
                  <c:pt idx="2">
                    <c:v>59.66900000000001</c:v>
                  </c:pt>
                  <c:pt idx="3">
                    <c:v>46.50700000000001</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Flexure'!$L$4,'Dry Flexure'!$L$10,'Dry Flexure'!$L$16,'Dry Flexure'!$L$22)</c:f>
              <c:numCache>
                <c:formatCode>0.00</c:formatCode>
                <c:ptCount val="4"/>
                <c:pt idx="0">
                  <c:v>721.9409999999979</c:v>
                </c:pt>
                <c:pt idx="1">
                  <c:v>670.771</c:v>
                </c:pt>
                <c:pt idx="2">
                  <c:v>619.124</c:v>
                </c:pt>
                <c:pt idx="3">
                  <c:v>562.192</c:v>
                </c:pt>
              </c:numCache>
            </c:numRef>
          </c:val>
        </c:ser>
        <c:ser>
          <c:idx val="1"/>
          <c:order val="1"/>
          <c:tx>
            <c:v>206.8 kPa</c:v>
          </c:tx>
          <c:spPr>
            <a:solidFill>
              <a:srgbClr val="C00000"/>
            </a:solidFill>
            <a:ln>
              <a:solidFill>
                <a:sysClr val="windowText" lastClr="000000"/>
              </a:solidFill>
            </a:ln>
          </c:spPr>
          <c:invertIfNegative val="0"/>
          <c:errBars>
            <c:errBarType val="both"/>
            <c:errValType val="cust"/>
            <c:noEndCap val="0"/>
            <c:plus>
              <c:numRef>
                <c:f>('Dry Flexure'!$N$5,'Dry Flexure'!$N$11,'Dry Flexure'!$N$17,'Dry Flexure'!$N$23)</c:f>
                <c:numCache>
                  <c:formatCode>General</c:formatCode>
                  <c:ptCount val="4"/>
                  <c:pt idx="0">
                    <c:v>14.323</c:v>
                  </c:pt>
                  <c:pt idx="1">
                    <c:v>42.29700000000001</c:v>
                  </c:pt>
                  <c:pt idx="2">
                    <c:v>61.854</c:v>
                  </c:pt>
                  <c:pt idx="3">
                    <c:v>23.258</c:v>
                  </c:pt>
                </c:numCache>
              </c:numRef>
            </c:plus>
            <c:minus>
              <c:numRef>
                <c:f>('Dry Flexure'!$N$5,'Dry Flexure'!$N$11,'Dry Flexure'!$N$17,'Dry Flexure'!$N$23)</c:f>
                <c:numCache>
                  <c:formatCode>General</c:formatCode>
                  <c:ptCount val="4"/>
                  <c:pt idx="0">
                    <c:v>14.323</c:v>
                  </c:pt>
                  <c:pt idx="1">
                    <c:v>42.29700000000001</c:v>
                  </c:pt>
                  <c:pt idx="2">
                    <c:v>61.854</c:v>
                  </c:pt>
                  <c:pt idx="3">
                    <c:v>23.258</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Flexure'!$L$5,'Dry Flexure'!$L$11,'Dry Flexure'!$L$17,'Dry Flexure'!$L$23)</c:f>
              <c:numCache>
                <c:formatCode>0.00</c:formatCode>
                <c:ptCount val="4"/>
                <c:pt idx="0">
                  <c:v>763.1559999999994</c:v>
                </c:pt>
                <c:pt idx="1">
                  <c:v>868.074</c:v>
                </c:pt>
                <c:pt idx="2">
                  <c:v>773.8359999999974</c:v>
                </c:pt>
                <c:pt idx="3">
                  <c:v>683.8969999999994</c:v>
                </c:pt>
              </c:numCache>
            </c:numRef>
          </c:val>
        </c:ser>
        <c:ser>
          <c:idx val="2"/>
          <c:order val="2"/>
          <c:tx>
            <c:v>344.7 kPa</c:v>
          </c:tx>
          <c:spPr>
            <a:solidFill>
              <a:srgbClr val="00B050"/>
            </a:solidFill>
            <a:ln>
              <a:solidFill>
                <a:sysClr val="windowText" lastClr="000000"/>
              </a:solidFill>
            </a:ln>
          </c:spPr>
          <c:invertIfNegative val="0"/>
          <c:errBars>
            <c:errBarType val="both"/>
            <c:errValType val="cust"/>
            <c:noEndCap val="0"/>
            <c:plus>
              <c:numRef>
                <c:f>('Dry Flexure'!$N$6,'Dry Flexure'!$N$12,'Dry Flexure'!$N$18,'Dry Flexure'!$N$24)</c:f>
                <c:numCache>
                  <c:formatCode>General</c:formatCode>
                  <c:ptCount val="4"/>
                  <c:pt idx="0">
                    <c:v>17.29799999999999</c:v>
                  </c:pt>
                  <c:pt idx="1">
                    <c:v>25.55099999999999</c:v>
                  </c:pt>
                  <c:pt idx="2">
                    <c:v>26.185</c:v>
                  </c:pt>
                  <c:pt idx="3">
                    <c:v>28.371</c:v>
                  </c:pt>
                </c:numCache>
              </c:numRef>
            </c:plus>
            <c:minus>
              <c:numRef>
                <c:f>('Dry Flexure'!$N$6,'Dry Flexure'!$N$12,'Dry Flexure'!$N$18,'Dry Flexure'!$N$24)</c:f>
                <c:numCache>
                  <c:formatCode>General</c:formatCode>
                  <c:ptCount val="4"/>
                  <c:pt idx="0">
                    <c:v>17.29799999999999</c:v>
                  </c:pt>
                  <c:pt idx="1">
                    <c:v>25.55099999999999</c:v>
                  </c:pt>
                  <c:pt idx="2">
                    <c:v>26.185</c:v>
                  </c:pt>
                  <c:pt idx="3">
                    <c:v>28.371</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Flexure'!$L$6,'Dry Flexure'!$L$12,'Dry Flexure'!$L$18,'Dry Flexure'!$L$24)</c:f>
              <c:numCache>
                <c:formatCode>0.00</c:formatCode>
                <c:ptCount val="4"/>
                <c:pt idx="0">
                  <c:v>797.8579999999959</c:v>
                </c:pt>
                <c:pt idx="1">
                  <c:v>779.784</c:v>
                </c:pt>
                <c:pt idx="2">
                  <c:v>852.993</c:v>
                </c:pt>
                <c:pt idx="3">
                  <c:v>741.683</c:v>
                </c:pt>
              </c:numCache>
            </c:numRef>
          </c:val>
        </c:ser>
        <c:ser>
          <c:idx val="3"/>
          <c:order val="3"/>
          <c:tx>
            <c:v>482.6 kPa</c:v>
          </c:tx>
          <c:spPr>
            <a:solidFill>
              <a:srgbClr val="7030A0"/>
            </a:solidFill>
            <a:ln>
              <a:solidFill>
                <a:sysClr val="windowText" lastClr="000000"/>
              </a:solidFill>
            </a:ln>
          </c:spPr>
          <c:invertIfNegative val="0"/>
          <c:errBars>
            <c:errBarType val="both"/>
            <c:errValType val="cust"/>
            <c:noEndCap val="0"/>
            <c:plus>
              <c:numRef>
                <c:f>('Dry Flexure'!$N$7,'Dry Flexure'!$N$13,'Dry Flexure'!$N$19,'Dry Flexure'!$N$25)</c:f>
                <c:numCache>
                  <c:formatCode>General</c:formatCode>
                  <c:ptCount val="4"/>
                  <c:pt idx="0">
                    <c:v>28.028</c:v>
                  </c:pt>
                  <c:pt idx="1">
                    <c:v>26.616</c:v>
                  </c:pt>
                  <c:pt idx="2">
                    <c:v>48.633</c:v>
                  </c:pt>
                  <c:pt idx="3">
                    <c:v>56.01600000000001</c:v>
                  </c:pt>
                </c:numCache>
              </c:numRef>
            </c:plus>
            <c:minus>
              <c:numRef>
                <c:f>('Dry Flexure'!$N$7,'Dry Flexure'!$N$13,'Dry Flexure'!$N$19,'Dry Flexure'!$N$25)</c:f>
                <c:numCache>
                  <c:formatCode>General</c:formatCode>
                  <c:ptCount val="4"/>
                  <c:pt idx="0">
                    <c:v>28.028</c:v>
                  </c:pt>
                  <c:pt idx="1">
                    <c:v>26.616</c:v>
                  </c:pt>
                  <c:pt idx="2">
                    <c:v>48.633</c:v>
                  </c:pt>
                  <c:pt idx="3">
                    <c:v>56.01600000000001</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Flexure'!$L$7,'Dry Flexure'!$L$13,'Dry Flexure'!$L$19,'Dry Flexure'!$L$25)</c:f>
              <c:numCache>
                <c:formatCode>0.00</c:formatCode>
                <c:ptCount val="4"/>
                <c:pt idx="0">
                  <c:v>818.0509999999994</c:v>
                </c:pt>
                <c:pt idx="1">
                  <c:v>967.3259999999979</c:v>
                </c:pt>
                <c:pt idx="2">
                  <c:v>872.991</c:v>
                </c:pt>
                <c:pt idx="3">
                  <c:v>772.769</c:v>
                </c:pt>
              </c:numCache>
            </c:numRef>
          </c:val>
        </c:ser>
        <c:dLbls>
          <c:showLegendKey val="0"/>
          <c:showVal val="0"/>
          <c:showCatName val="0"/>
          <c:showSerName val="0"/>
          <c:showPercent val="0"/>
          <c:showBubbleSize val="0"/>
        </c:dLbls>
        <c:gapWidth val="150"/>
        <c:axId val="510358600"/>
        <c:axId val="510348984"/>
      </c:barChart>
      <c:catAx>
        <c:axId val="510358600"/>
        <c:scaling>
          <c:orientation val="minMax"/>
        </c:scaling>
        <c:delete val="0"/>
        <c:axPos val="b"/>
        <c:title>
          <c:tx>
            <c:rich>
              <a:bodyPr/>
              <a:lstStyle/>
              <a:p>
                <a:pPr>
                  <a:defRPr/>
                </a:pPr>
                <a:r>
                  <a:rPr lang="en-US"/>
                  <a:t>Relative</a:t>
                </a:r>
                <a:r>
                  <a:rPr lang="en-US" baseline="0"/>
                  <a:t> Humidity Conditioning Level</a:t>
                </a:r>
                <a:endParaRPr lang="en-US"/>
              </a:p>
            </c:rich>
          </c:tx>
          <c:overlay val="0"/>
        </c:title>
        <c:numFmt formatCode="General" sourceLinked="0"/>
        <c:majorTickMark val="cross"/>
        <c:minorTickMark val="none"/>
        <c:tickLblPos val="nextTo"/>
        <c:spPr>
          <a:ln>
            <a:solidFill>
              <a:sysClr val="windowText" lastClr="000000"/>
            </a:solidFill>
          </a:ln>
        </c:spPr>
        <c:crossAx val="510348984"/>
        <c:crosses val="autoZero"/>
        <c:auto val="1"/>
        <c:lblAlgn val="ctr"/>
        <c:lblOffset val="100"/>
        <c:noMultiLvlLbl val="0"/>
      </c:catAx>
      <c:valAx>
        <c:axId val="510348984"/>
        <c:scaling>
          <c:orientation val="minMax"/>
          <c:max val="1100.0"/>
          <c:min val="400.0"/>
        </c:scaling>
        <c:delete val="0"/>
        <c:axPos val="l"/>
        <c:title>
          <c:tx>
            <c:rich>
              <a:bodyPr rot="-5400000" vert="horz"/>
              <a:lstStyle/>
              <a:p>
                <a:pPr>
                  <a:defRPr/>
                </a:pPr>
                <a:r>
                  <a:rPr lang="en-US"/>
                  <a:t>Flexural Strength (MPa)</a:t>
                </a:r>
              </a:p>
            </c:rich>
          </c:tx>
          <c:overlay val="0"/>
        </c:title>
        <c:numFmt formatCode="0" sourceLinked="0"/>
        <c:majorTickMark val="out"/>
        <c:minorTickMark val="in"/>
        <c:tickLblPos val="nextTo"/>
        <c:spPr>
          <a:ln>
            <a:solidFill>
              <a:sysClr val="windowText" lastClr="000000"/>
            </a:solidFill>
          </a:ln>
        </c:spPr>
        <c:crossAx val="510358600"/>
        <c:crosses val="autoZero"/>
        <c:crossBetween val="between"/>
        <c:majorUnit val="200.0"/>
        <c:minorUnit val="50.0"/>
      </c:valAx>
      <c:spPr>
        <a:ln w="19050" cmpd="sng">
          <a:solidFill>
            <a:sysClr val="windowText" lastClr="000000"/>
          </a:solidFill>
        </a:ln>
      </c:spPr>
    </c:plotArea>
    <c:legend>
      <c:legendPos val="t"/>
      <c:layout>
        <c:manualLayout>
          <c:xMode val="edge"/>
          <c:yMode val="edge"/>
          <c:x val="0.376893433871614"/>
          <c:y val="0.0404040404040404"/>
          <c:w val="0.592258329996886"/>
          <c:h val="0.106828919112384"/>
        </c:manualLayout>
      </c:layou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8903013182674"/>
          <c:y val="0.0363636363636364"/>
          <c:w val="0.855202448210922"/>
          <c:h val="0.761176727909011"/>
        </c:manualLayout>
      </c:layout>
      <c:barChart>
        <c:barDir val="col"/>
        <c:grouping val="clustered"/>
        <c:varyColors val="0"/>
        <c:ser>
          <c:idx val="0"/>
          <c:order val="0"/>
          <c:tx>
            <c:v>68.9 kPa</c:v>
          </c:tx>
          <c:spPr>
            <a:solidFill>
              <a:srgbClr val="0070C0"/>
            </a:solidFill>
            <a:ln>
              <a:solidFill>
                <a:sysClr val="windowText" lastClr="000000"/>
              </a:solidFill>
            </a:ln>
          </c:spPr>
          <c:invertIfNegative val="0"/>
          <c:errBars>
            <c:errBarType val="both"/>
            <c:errValType val="cust"/>
            <c:noEndCap val="0"/>
            <c:plus>
              <c:numRef>
                <c:f>('Dry Flexure'!$X$4,'Dry Flexure'!$X$10,'Dry Flexure'!$X$16,'Dry Flexure'!$X$22)</c:f>
                <c:numCache>
                  <c:formatCode>General</c:formatCode>
                  <c:ptCount val="4"/>
                  <c:pt idx="0">
                    <c:v>53.511</c:v>
                  </c:pt>
                  <c:pt idx="1">
                    <c:v>34.29300000000001</c:v>
                  </c:pt>
                  <c:pt idx="2">
                    <c:v>53.89100000000001</c:v>
                  </c:pt>
                  <c:pt idx="3">
                    <c:v>42.111</c:v>
                  </c:pt>
                </c:numCache>
              </c:numRef>
            </c:plus>
            <c:minus>
              <c:numRef>
                <c:f>('Dry Flexure'!$X$4,'Dry Flexure'!$X$10,'Dry Flexure'!$X$16,'Dry Flexure'!$X$22)</c:f>
                <c:numCache>
                  <c:formatCode>General</c:formatCode>
                  <c:ptCount val="4"/>
                  <c:pt idx="0">
                    <c:v>53.511</c:v>
                  </c:pt>
                  <c:pt idx="1">
                    <c:v>34.29300000000001</c:v>
                  </c:pt>
                  <c:pt idx="2">
                    <c:v>53.89100000000001</c:v>
                  </c:pt>
                  <c:pt idx="3">
                    <c:v>42.111</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Flexure'!$V$4,'Dry Flexure'!$V$10,'Dry Flexure'!$V$16,'Dry Flexure'!$V$22)</c:f>
              <c:numCache>
                <c:formatCode>0.00</c:formatCode>
                <c:ptCount val="4"/>
                <c:pt idx="0">
                  <c:v>692.185</c:v>
                </c:pt>
                <c:pt idx="1">
                  <c:v>665.686</c:v>
                </c:pt>
                <c:pt idx="2">
                  <c:v>653.178</c:v>
                </c:pt>
                <c:pt idx="3">
                  <c:v>689.3589999999994</c:v>
                </c:pt>
              </c:numCache>
            </c:numRef>
          </c:val>
        </c:ser>
        <c:ser>
          <c:idx val="1"/>
          <c:order val="1"/>
          <c:tx>
            <c:v>206.8 kPa</c:v>
          </c:tx>
          <c:spPr>
            <a:solidFill>
              <a:srgbClr val="C00000"/>
            </a:solidFill>
            <a:ln>
              <a:solidFill>
                <a:sysClr val="windowText" lastClr="000000"/>
              </a:solidFill>
            </a:ln>
          </c:spPr>
          <c:invertIfNegative val="0"/>
          <c:errBars>
            <c:errBarType val="both"/>
            <c:errValType val="cust"/>
            <c:noEndCap val="0"/>
            <c:plus>
              <c:numRef>
                <c:f>('Dry Flexure'!$X$5,'Dry Flexure'!$X$11,'Dry Flexure'!$X$17,'Dry Flexure'!$X$23)</c:f>
                <c:numCache>
                  <c:formatCode>General</c:formatCode>
                  <c:ptCount val="4"/>
                  <c:pt idx="0">
                    <c:v>32.17</c:v>
                  </c:pt>
                  <c:pt idx="1">
                    <c:v>48.755</c:v>
                  </c:pt>
                  <c:pt idx="2">
                    <c:v>34.259</c:v>
                  </c:pt>
                  <c:pt idx="3">
                    <c:v>67.299</c:v>
                  </c:pt>
                </c:numCache>
              </c:numRef>
            </c:plus>
            <c:minus>
              <c:numRef>
                <c:f>('Dry Flexure'!$X$5,'Dry Flexure'!$X$11,'Dry Flexure'!$X$17,'Dry Flexure'!$X$23)</c:f>
                <c:numCache>
                  <c:formatCode>General</c:formatCode>
                  <c:ptCount val="4"/>
                  <c:pt idx="0">
                    <c:v>32.17</c:v>
                  </c:pt>
                  <c:pt idx="1">
                    <c:v>48.755</c:v>
                  </c:pt>
                  <c:pt idx="2">
                    <c:v>34.259</c:v>
                  </c:pt>
                  <c:pt idx="3">
                    <c:v>67.299</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Flexure'!$V$5,'Dry Flexure'!$V$11,'Dry Flexure'!$V$17,'Dry Flexure'!$V$23)</c:f>
              <c:numCache>
                <c:formatCode>0.00</c:formatCode>
                <c:ptCount val="4"/>
                <c:pt idx="0">
                  <c:v>784.384</c:v>
                </c:pt>
                <c:pt idx="1">
                  <c:v>781.011</c:v>
                </c:pt>
                <c:pt idx="2">
                  <c:v>733.732</c:v>
                </c:pt>
                <c:pt idx="3">
                  <c:v>720.3049999999994</c:v>
                </c:pt>
              </c:numCache>
            </c:numRef>
          </c:val>
        </c:ser>
        <c:ser>
          <c:idx val="2"/>
          <c:order val="2"/>
          <c:tx>
            <c:v>344.7 kPa</c:v>
          </c:tx>
          <c:spPr>
            <a:solidFill>
              <a:srgbClr val="00B050"/>
            </a:solidFill>
            <a:ln>
              <a:solidFill>
                <a:sysClr val="windowText" lastClr="000000"/>
              </a:solidFill>
            </a:ln>
          </c:spPr>
          <c:invertIfNegative val="0"/>
          <c:errBars>
            <c:errBarType val="both"/>
            <c:errValType val="cust"/>
            <c:noEndCap val="0"/>
            <c:plus>
              <c:numRef>
                <c:f>('Dry Flexure'!$X$6,'Dry Flexure'!$X$12,'Dry Flexure'!$X$18,'Dry Flexure'!$X$24)</c:f>
                <c:numCache>
                  <c:formatCode>General</c:formatCode>
                  <c:ptCount val="4"/>
                  <c:pt idx="0">
                    <c:v>92.382</c:v>
                  </c:pt>
                  <c:pt idx="1">
                    <c:v>78.892</c:v>
                  </c:pt>
                  <c:pt idx="2">
                    <c:v>71.65099999999998</c:v>
                  </c:pt>
                  <c:pt idx="3">
                    <c:v>83.5</c:v>
                  </c:pt>
                </c:numCache>
              </c:numRef>
            </c:plus>
            <c:minus>
              <c:numRef>
                <c:f>('Dry Flexure'!$X$6,'Dry Flexure'!$X$12,'Dry Flexure'!$X$18,'Dry Flexure'!$X$24)</c:f>
                <c:numCache>
                  <c:formatCode>General</c:formatCode>
                  <c:ptCount val="4"/>
                  <c:pt idx="0">
                    <c:v>92.382</c:v>
                  </c:pt>
                  <c:pt idx="1">
                    <c:v>78.892</c:v>
                  </c:pt>
                  <c:pt idx="2">
                    <c:v>71.65099999999998</c:v>
                  </c:pt>
                  <c:pt idx="3">
                    <c:v>83.5</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Flexure'!$V$6,'Dry Flexure'!$V$12,'Dry Flexure'!$V$18,'Dry Flexure'!$V$24)</c:f>
              <c:numCache>
                <c:formatCode>0.00</c:formatCode>
                <c:ptCount val="4"/>
                <c:pt idx="0">
                  <c:v>722.972</c:v>
                </c:pt>
                <c:pt idx="1">
                  <c:v>690.294</c:v>
                </c:pt>
                <c:pt idx="2">
                  <c:v>774.239</c:v>
                </c:pt>
                <c:pt idx="3">
                  <c:v>741.8390000000001</c:v>
                </c:pt>
              </c:numCache>
            </c:numRef>
          </c:val>
        </c:ser>
        <c:ser>
          <c:idx val="3"/>
          <c:order val="3"/>
          <c:tx>
            <c:v>482.6 kPa</c:v>
          </c:tx>
          <c:spPr>
            <a:solidFill>
              <a:srgbClr val="7030A0"/>
            </a:solidFill>
            <a:ln>
              <a:solidFill>
                <a:sysClr val="windowText" lastClr="000000"/>
              </a:solidFill>
            </a:ln>
          </c:spPr>
          <c:invertIfNegative val="0"/>
          <c:errBars>
            <c:errBarType val="both"/>
            <c:errValType val="cust"/>
            <c:noEndCap val="0"/>
            <c:plus>
              <c:numRef>
                <c:f>('Dry Flexure'!$X$7,'Dry Flexure'!$X$13,'Dry Flexure'!$X$19,'Dry Flexure'!$X$25)</c:f>
                <c:numCache>
                  <c:formatCode>General</c:formatCode>
                  <c:ptCount val="4"/>
                  <c:pt idx="0">
                    <c:v>93.346</c:v>
                  </c:pt>
                  <c:pt idx="1">
                    <c:v>69.231</c:v>
                  </c:pt>
                  <c:pt idx="2">
                    <c:v>93.634</c:v>
                  </c:pt>
                  <c:pt idx="3">
                    <c:v>51.46800000000001</c:v>
                  </c:pt>
                </c:numCache>
              </c:numRef>
            </c:plus>
            <c:minus>
              <c:numRef>
                <c:f>('Dry Flexure'!$X$7,'Dry Flexure'!$X$13,'Dry Flexure'!$X$19,'Dry Flexure'!$X$25)</c:f>
                <c:numCache>
                  <c:formatCode>General</c:formatCode>
                  <c:ptCount val="4"/>
                  <c:pt idx="0">
                    <c:v>93.346</c:v>
                  </c:pt>
                  <c:pt idx="1">
                    <c:v>69.231</c:v>
                  </c:pt>
                  <c:pt idx="2">
                    <c:v>93.634</c:v>
                  </c:pt>
                  <c:pt idx="3">
                    <c:v>51.46800000000001</c:v>
                  </c:pt>
                </c:numCache>
              </c:numRef>
            </c:minus>
            <c:spPr>
              <a:ln w="15875">
                <a:solidFill>
                  <a:sysClr val="windowText" lastClr="000000"/>
                </a:solidFill>
              </a:ln>
            </c:spPr>
          </c:errBars>
          <c:cat>
            <c:strRef>
              <c:f>('Dry Flexure'!$A$3,'Dry Flexure'!$A$9,'Dry Flexure'!$A$15,'Dry Flexure'!$A$21)</c:f>
              <c:strCache>
                <c:ptCount val="4"/>
                <c:pt idx="0">
                  <c:v>2% RH</c:v>
                </c:pt>
                <c:pt idx="1">
                  <c:v>40% RH</c:v>
                </c:pt>
                <c:pt idx="2">
                  <c:v>70% RH</c:v>
                </c:pt>
                <c:pt idx="3">
                  <c:v>99% RH</c:v>
                </c:pt>
              </c:strCache>
            </c:strRef>
          </c:cat>
          <c:val>
            <c:numRef>
              <c:f>('Dry Flexure'!$V$7,'Dry Flexure'!$V$13,'Dry Flexure'!$V$19,'Dry Flexure'!$V$25)</c:f>
              <c:numCache>
                <c:formatCode>0.00</c:formatCode>
                <c:ptCount val="4"/>
                <c:pt idx="0">
                  <c:v>847.208</c:v>
                </c:pt>
                <c:pt idx="1">
                  <c:v>607.5559999999994</c:v>
                </c:pt>
                <c:pt idx="2">
                  <c:v>793.8259999999979</c:v>
                </c:pt>
                <c:pt idx="3">
                  <c:v>787.592</c:v>
                </c:pt>
              </c:numCache>
            </c:numRef>
          </c:val>
        </c:ser>
        <c:dLbls>
          <c:showLegendKey val="0"/>
          <c:showVal val="0"/>
          <c:showCatName val="0"/>
          <c:showSerName val="0"/>
          <c:showPercent val="0"/>
          <c:showBubbleSize val="0"/>
        </c:dLbls>
        <c:gapWidth val="150"/>
        <c:axId val="510212344"/>
        <c:axId val="510218360"/>
      </c:barChart>
      <c:catAx>
        <c:axId val="510212344"/>
        <c:scaling>
          <c:orientation val="minMax"/>
        </c:scaling>
        <c:delete val="0"/>
        <c:axPos val="b"/>
        <c:title>
          <c:tx>
            <c:rich>
              <a:bodyPr/>
              <a:lstStyle/>
              <a:p>
                <a:pPr>
                  <a:defRPr/>
                </a:pPr>
                <a:r>
                  <a:rPr lang="en-US"/>
                  <a:t>Relative</a:t>
                </a:r>
                <a:r>
                  <a:rPr lang="en-US" baseline="0"/>
                  <a:t> Humidity Conditioning Level</a:t>
                </a:r>
                <a:endParaRPr lang="en-US"/>
              </a:p>
            </c:rich>
          </c:tx>
          <c:overlay val="0"/>
        </c:title>
        <c:numFmt formatCode="General" sourceLinked="0"/>
        <c:majorTickMark val="cross"/>
        <c:minorTickMark val="none"/>
        <c:tickLblPos val="nextTo"/>
        <c:spPr>
          <a:ln>
            <a:solidFill>
              <a:sysClr val="windowText" lastClr="000000"/>
            </a:solidFill>
          </a:ln>
        </c:spPr>
        <c:crossAx val="510218360"/>
        <c:crosses val="autoZero"/>
        <c:auto val="1"/>
        <c:lblAlgn val="ctr"/>
        <c:lblOffset val="100"/>
        <c:noMultiLvlLbl val="0"/>
      </c:catAx>
      <c:valAx>
        <c:axId val="510218360"/>
        <c:scaling>
          <c:orientation val="minMax"/>
          <c:max val="1100.0"/>
          <c:min val="400.0"/>
        </c:scaling>
        <c:delete val="0"/>
        <c:axPos val="l"/>
        <c:title>
          <c:tx>
            <c:rich>
              <a:bodyPr rot="-5400000" vert="horz"/>
              <a:lstStyle/>
              <a:p>
                <a:pPr>
                  <a:defRPr/>
                </a:pPr>
                <a:r>
                  <a:rPr lang="en-US"/>
                  <a:t>Flexural Strength (MPa)</a:t>
                </a:r>
              </a:p>
            </c:rich>
          </c:tx>
          <c:overlay val="0"/>
        </c:title>
        <c:numFmt formatCode="0" sourceLinked="0"/>
        <c:majorTickMark val="out"/>
        <c:minorTickMark val="in"/>
        <c:tickLblPos val="nextTo"/>
        <c:spPr>
          <a:ln>
            <a:solidFill>
              <a:sysClr val="windowText" lastClr="000000"/>
            </a:solidFill>
          </a:ln>
        </c:spPr>
        <c:crossAx val="510212344"/>
        <c:crosses val="autoZero"/>
        <c:crossBetween val="between"/>
        <c:majorUnit val="200.0"/>
        <c:minorUnit val="50.0"/>
      </c:valAx>
      <c:spPr>
        <a:ln w="19050" cmpd="sng">
          <a:solidFill>
            <a:sysClr val="windowText" lastClr="000000"/>
          </a:solidFill>
        </a:ln>
      </c:spPr>
    </c:plotArea>
    <c:legend>
      <c:legendPos val="t"/>
      <c:layout>
        <c:manualLayout>
          <c:xMode val="edge"/>
          <c:yMode val="edge"/>
          <c:x val="0.376893433871614"/>
          <c:y val="0.0353535353535353"/>
          <c:w val="0.592258329996886"/>
          <c:h val="0.106828919112384"/>
        </c:manualLayout>
      </c:layou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01878827646544"/>
          <c:y val="0.0333333333333333"/>
          <c:w val="0.721605059784194"/>
          <c:h val="0.759599008457276"/>
        </c:manualLayout>
      </c:layout>
      <c:scatterChart>
        <c:scatterStyle val="lineMarker"/>
        <c:varyColors val="0"/>
        <c:ser>
          <c:idx val="0"/>
          <c:order val="0"/>
          <c:tx>
            <c:v>69 kPa</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linear"/>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Flexure'!$F$4,'Dry Flexure'!$F$10,'Dry Flexure'!$F$16,'Dry Flexure'!$F$22)</c:f>
              <c:numCache>
                <c:formatCode>0.00</c:formatCode>
                <c:ptCount val="4"/>
                <c:pt idx="0">
                  <c:v>23.419</c:v>
                </c:pt>
                <c:pt idx="1">
                  <c:v>22.643</c:v>
                </c:pt>
                <c:pt idx="2">
                  <c:v>22.012</c:v>
                </c:pt>
                <c:pt idx="3">
                  <c:v>22.788</c:v>
                </c:pt>
              </c:numCache>
            </c:numRef>
          </c:yVal>
          <c:smooth val="0"/>
        </c:ser>
        <c:ser>
          <c:idx val="1"/>
          <c:order val="1"/>
          <c:tx>
            <c:v>207 kPa</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linear"/>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Flexure'!$F$5,'Dry Flexure'!$F$11,'Dry Flexure'!$F$17,'Dry Flexure'!$F$23)</c:f>
              <c:numCache>
                <c:formatCode>0.00</c:formatCode>
                <c:ptCount val="4"/>
                <c:pt idx="0">
                  <c:v>25.528</c:v>
                </c:pt>
                <c:pt idx="1">
                  <c:v>24.712</c:v>
                </c:pt>
                <c:pt idx="2">
                  <c:v>25.447</c:v>
                </c:pt>
                <c:pt idx="3">
                  <c:v>26.668</c:v>
                </c:pt>
              </c:numCache>
            </c:numRef>
          </c:yVal>
          <c:smooth val="0"/>
        </c:ser>
        <c:ser>
          <c:idx val="2"/>
          <c:order val="2"/>
          <c:tx>
            <c:v>345 kPa</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linear"/>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Flexure'!$F$6,'Dry Flexure'!$F$12,'Dry Flexure'!$F$18,'Dry Flexure'!$F$24)</c:f>
              <c:numCache>
                <c:formatCode>0.00</c:formatCode>
                <c:ptCount val="4"/>
                <c:pt idx="0">
                  <c:v>27.535</c:v>
                </c:pt>
                <c:pt idx="1">
                  <c:v>27.193</c:v>
                </c:pt>
                <c:pt idx="2">
                  <c:v>27.314</c:v>
                </c:pt>
                <c:pt idx="3">
                  <c:v>28.582</c:v>
                </c:pt>
              </c:numCache>
            </c:numRef>
          </c:yVal>
          <c:smooth val="0"/>
        </c:ser>
        <c:ser>
          <c:idx val="3"/>
          <c:order val="3"/>
          <c:tx>
            <c:v>483 kPa</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linear"/>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Flexure'!$F$7,'Dry Flexure'!$F$13,'Dry Flexure'!$F$19,'Dry Flexure'!$F$25)</c:f>
              <c:numCache>
                <c:formatCode>0.00</c:formatCode>
                <c:ptCount val="4"/>
                <c:pt idx="0">
                  <c:v>29.13800000000001</c:v>
                </c:pt>
                <c:pt idx="1">
                  <c:v>28.603</c:v>
                </c:pt>
                <c:pt idx="2">
                  <c:v>28.67899999999999</c:v>
                </c:pt>
                <c:pt idx="3">
                  <c:v>29.297</c:v>
                </c:pt>
              </c:numCache>
            </c:numRef>
          </c:yVal>
          <c:smooth val="0"/>
        </c:ser>
        <c:dLbls>
          <c:showLegendKey val="0"/>
          <c:showVal val="0"/>
          <c:showCatName val="0"/>
          <c:showSerName val="0"/>
          <c:showPercent val="0"/>
          <c:showBubbleSize val="0"/>
        </c:dLbls>
        <c:axId val="510278952"/>
        <c:axId val="510284824"/>
      </c:scatterChart>
      <c:valAx>
        <c:axId val="510278952"/>
        <c:scaling>
          <c:orientation val="minMax"/>
          <c:max val="100.0"/>
          <c:min val="0.0"/>
        </c:scaling>
        <c:delete val="0"/>
        <c:axPos val="b"/>
        <c:title>
          <c:tx>
            <c:rich>
              <a:bodyPr/>
              <a:lstStyle/>
              <a:p>
                <a:pPr>
                  <a:defRPr/>
                </a:pPr>
                <a:r>
                  <a:rPr lang="en-US"/>
                  <a:t>Relative</a:t>
                </a:r>
                <a:r>
                  <a:rPr lang="en-US" baseline="0"/>
                  <a:t> Humidity </a:t>
                </a:r>
                <a:r>
                  <a:rPr lang="en-US"/>
                  <a:t>(% RH)</a:t>
                </a:r>
              </a:p>
            </c:rich>
          </c:tx>
          <c:overlay val="0"/>
        </c:title>
        <c:numFmt formatCode="General" sourceLinked="1"/>
        <c:majorTickMark val="out"/>
        <c:minorTickMark val="in"/>
        <c:tickLblPos val="nextTo"/>
        <c:spPr>
          <a:ln w="12700" cmpd="sng">
            <a:solidFill>
              <a:srgbClr val="000000"/>
            </a:solidFill>
          </a:ln>
        </c:spPr>
        <c:crossAx val="510284824"/>
        <c:crosses val="autoZero"/>
        <c:crossBetween val="midCat"/>
        <c:majorUnit val="20.0"/>
        <c:minorUnit val="5.0"/>
      </c:valAx>
      <c:valAx>
        <c:axId val="510284824"/>
        <c:scaling>
          <c:orientation val="minMax"/>
          <c:max val="65.0"/>
          <c:min val="20.0"/>
        </c:scaling>
        <c:delete val="0"/>
        <c:axPos val="l"/>
        <c:title>
          <c:tx>
            <c:rich>
              <a:bodyPr rot="-5400000" vert="horz"/>
              <a:lstStyle/>
              <a:p>
                <a:pPr>
                  <a:defRPr/>
                </a:pPr>
                <a:r>
                  <a:rPr lang="en-US"/>
                  <a:t>Flexural Stiffness (GPa)</a:t>
                </a:r>
              </a:p>
            </c:rich>
          </c:tx>
          <c:overlay val="0"/>
        </c:title>
        <c:numFmt formatCode="0" sourceLinked="0"/>
        <c:majorTickMark val="out"/>
        <c:minorTickMark val="in"/>
        <c:tickLblPos val="nextTo"/>
        <c:spPr>
          <a:ln w="12700" cmpd="sng">
            <a:solidFill>
              <a:schemeClr val="tx1"/>
            </a:solidFill>
          </a:ln>
        </c:spPr>
        <c:crossAx val="510278952"/>
        <c:crosses val="autoZero"/>
        <c:crossBetween val="midCat"/>
        <c:majorUnit val="10.0"/>
        <c:minorUnit val="2.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14586447195053"/>
          <c:y val="0.0994036574208459"/>
          <c:w val="0.455713936315695"/>
          <c:h val="0.11767274272434"/>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01878827646544"/>
          <c:y val="0.0333333333333333"/>
          <c:w val="0.721605059784194"/>
          <c:h val="0.759599008457276"/>
        </c:manualLayout>
      </c:layout>
      <c:scatterChart>
        <c:scatterStyle val="lineMarker"/>
        <c:varyColors val="0"/>
        <c:ser>
          <c:idx val="0"/>
          <c:order val="0"/>
          <c:tx>
            <c:v>69 kPa</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linear"/>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Flexure'!$P$4,'Dry Flexure'!$P$10,'Dry Flexure'!$P$16,'Dry Flexure'!$P$22)</c:f>
              <c:numCache>
                <c:formatCode>0.00</c:formatCode>
                <c:ptCount val="4"/>
                <c:pt idx="0">
                  <c:v>22.65</c:v>
                </c:pt>
                <c:pt idx="1">
                  <c:v>22.305</c:v>
                </c:pt>
                <c:pt idx="2">
                  <c:v>21.624</c:v>
                </c:pt>
                <c:pt idx="3">
                  <c:v>21.306</c:v>
                </c:pt>
              </c:numCache>
            </c:numRef>
          </c:yVal>
          <c:smooth val="0"/>
        </c:ser>
        <c:ser>
          <c:idx val="1"/>
          <c:order val="1"/>
          <c:tx>
            <c:v>207 kPa</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linear"/>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Flexure'!$P$5,'Dry Flexure'!$P$11,'Dry Flexure'!$P$17,'Dry Flexure'!$P$23)</c:f>
              <c:numCache>
                <c:formatCode>0.00</c:formatCode>
                <c:ptCount val="4"/>
                <c:pt idx="0">
                  <c:v>25.003</c:v>
                </c:pt>
                <c:pt idx="1">
                  <c:v>26.686</c:v>
                </c:pt>
                <c:pt idx="2">
                  <c:v>24.632</c:v>
                </c:pt>
                <c:pt idx="3">
                  <c:v>24.754</c:v>
                </c:pt>
              </c:numCache>
            </c:numRef>
          </c:yVal>
          <c:smooth val="0"/>
        </c:ser>
        <c:ser>
          <c:idx val="2"/>
          <c:order val="2"/>
          <c:tx>
            <c:v>345 kPa</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linear"/>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Flexure'!$P$6,'Dry Flexure'!$P$12,'Dry Flexure'!$P$18,'Dry Flexure'!$P$24)</c:f>
              <c:numCache>
                <c:formatCode>0.00</c:formatCode>
                <c:ptCount val="4"/>
                <c:pt idx="0">
                  <c:v>27.273</c:v>
                </c:pt>
                <c:pt idx="1">
                  <c:v>27.67899999999999</c:v>
                </c:pt>
                <c:pt idx="2">
                  <c:v>26.685</c:v>
                </c:pt>
                <c:pt idx="3">
                  <c:v>26.412</c:v>
                </c:pt>
              </c:numCache>
            </c:numRef>
          </c:yVal>
          <c:smooth val="0"/>
        </c:ser>
        <c:ser>
          <c:idx val="3"/>
          <c:order val="3"/>
          <c:tx>
            <c:v>483 kPa</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linear"/>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Flexure'!$P$7,'Dry Flexure'!$P$13,'Dry Flexure'!$P$19,'Dry Flexure'!$P$25)</c:f>
              <c:numCache>
                <c:formatCode>0.00</c:formatCode>
                <c:ptCount val="4"/>
                <c:pt idx="0">
                  <c:v>28.826</c:v>
                </c:pt>
                <c:pt idx="1">
                  <c:v>29.291</c:v>
                </c:pt>
                <c:pt idx="2">
                  <c:v>28.318</c:v>
                </c:pt>
                <c:pt idx="3">
                  <c:v>27.66</c:v>
                </c:pt>
              </c:numCache>
            </c:numRef>
          </c:yVal>
          <c:smooth val="0"/>
        </c:ser>
        <c:dLbls>
          <c:showLegendKey val="0"/>
          <c:showVal val="0"/>
          <c:showCatName val="0"/>
          <c:showSerName val="0"/>
          <c:showPercent val="0"/>
          <c:showBubbleSize val="0"/>
        </c:dLbls>
        <c:axId val="510142728"/>
        <c:axId val="510148600"/>
      </c:scatterChart>
      <c:valAx>
        <c:axId val="510142728"/>
        <c:scaling>
          <c:orientation val="minMax"/>
          <c:max val="100.0"/>
          <c:min val="0.0"/>
        </c:scaling>
        <c:delete val="0"/>
        <c:axPos val="b"/>
        <c:title>
          <c:tx>
            <c:rich>
              <a:bodyPr/>
              <a:lstStyle/>
              <a:p>
                <a:pPr>
                  <a:defRPr/>
                </a:pPr>
                <a:r>
                  <a:rPr lang="en-US"/>
                  <a:t>Relative</a:t>
                </a:r>
                <a:r>
                  <a:rPr lang="en-US" baseline="0"/>
                  <a:t> Humidity </a:t>
                </a:r>
                <a:r>
                  <a:rPr lang="en-US"/>
                  <a:t>(% RH)</a:t>
                </a:r>
              </a:p>
            </c:rich>
          </c:tx>
          <c:overlay val="0"/>
        </c:title>
        <c:numFmt formatCode="General" sourceLinked="1"/>
        <c:majorTickMark val="out"/>
        <c:minorTickMark val="in"/>
        <c:tickLblPos val="nextTo"/>
        <c:spPr>
          <a:ln w="12700" cmpd="sng">
            <a:solidFill>
              <a:srgbClr val="000000"/>
            </a:solidFill>
          </a:ln>
        </c:spPr>
        <c:crossAx val="510148600"/>
        <c:crosses val="autoZero"/>
        <c:crossBetween val="midCat"/>
        <c:majorUnit val="20.0"/>
        <c:minorUnit val="5.0"/>
      </c:valAx>
      <c:valAx>
        <c:axId val="510148600"/>
        <c:scaling>
          <c:orientation val="minMax"/>
          <c:max val="65.0"/>
          <c:min val="20.0"/>
        </c:scaling>
        <c:delete val="0"/>
        <c:axPos val="l"/>
        <c:title>
          <c:tx>
            <c:rich>
              <a:bodyPr rot="-5400000" vert="horz"/>
              <a:lstStyle/>
              <a:p>
                <a:pPr>
                  <a:defRPr/>
                </a:pPr>
                <a:r>
                  <a:rPr lang="en-US"/>
                  <a:t>Flexural Stiffness (GPa)</a:t>
                </a:r>
              </a:p>
            </c:rich>
          </c:tx>
          <c:overlay val="0"/>
        </c:title>
        <c:numFmt formatCode="0" sourceLinked="0"/>
        <c:majorTickMark val="out"/>
        <c:minorTickMark val="in"/>
        <c:tickLblPos val="nextTo"/>
        <c:spPr>
          <a:ln w="12700" cmpd="sng">
            <a:solidFill>
              <a:schemeClr val="tx1"/>
            </a:solidFill>
          </a:ln>
        </c:spPr>
        <c:crossAx val="510142728"/>
        <c:crosses val="autoZero"/>
        <c:crossBetween val="midCat"/>
        <c:majorUnit val="10.0"/>
        <c:minorUnit val="2.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14586285331764"/>
          <c:y val="0.0994036979245718"/>
          <c:w val="0.455713936315695"/>
          <c:h val="0.11767274272434"/>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01878827646544"/>
          <c:y val="0.0333333333333333"/>
          <c:w val="0.721605059784194"/>
          <c:h val="0.759599008457276"/>
        </c:manualLayout>
      </c:layout>
      <c:scatterChart>
        <c:scatterStyle val="lineMarker"/>
        <c:varyColors val="0"/>
        <c:ser>
          <c:idx val="0"/>
          <c:order val="0"/>
          <c:tx>
            <c:v>69 kPa</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linear"/>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Flexure'!$Z$4,'Dry Flexure'!$Z$10,'Dry Flexure'!$Z$16,'Dry Flexure'!$Z$22)</c:f>
              <c:numCache>
                <c:formatCode>0.00</c:formatCode>
                <c:ptCount val="4"/>
                <c:pt idx="0">
                  <c:v>43.89</c:v>
                </c:pt>
                <c:pt idx="1">
                  <c:v>42.57700000000001</c:v>
                </c:pt>
                <c:pt idx="2">
                  <c:v>43.65</c:v>
                </c:pt>
                <c:pt idx="3">
                  <c:v>42.851</c:v>
                </c:pt>
              </c:numCache>
            </c:numRef>
          </c:yVal>
          <c:smooth val="0"/>
        </c:ser>
        <c:ser>
          <c:idx val="1"/>
          <c:order val="1"/>
          <c:tx>
            <c:v>207 kPa</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linear"/>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Flexure'!$Z$5,'Dry Flexure'!$Z$11,'Dry Flexure'!$Z$17,'Dry Flexure'!$Z$23)</c:f>
              <c:numCache>
                <c:formatCode>0.00</c:formatCode>
                <c:ptCount val="4"/>
                <c:pt idx="0">
                  <c:v>48.612</c:v>
                </c:pt>
                <c:pt idx="1">
                  <c:v>46.942</c:v>
                </c:pt>
                <c:pt idx="2">
                  <c:v>47.901</c:v>
                </c:pt>
                <c:pt idx="3">
                  <c:v>50.689</c:v>
                </c:pt>
              </c:numCache>
            </c:numRef>
          </c:yVal>
          <c:smooth val="0"/>
        </c:ser>
        <c:ser>
          <c:idx val="2"/>
          <c:order val="2"/>
          <c:tx>
            <c:v>345 kPa</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linear"/>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Flexure'!$Z$6,'Dry Flexure'!$Z$12,'Dry Flexure'!$Z$18,'Dry Flexure'!$Z$24)</c:f>
              <c:numCache>
                <c:formatCode>0.00</c:formatCode>
                <c:ptCount val="4"/>
                <c:pt idx="0">
                  <c:v>47.106</c:v>
                </c:pt>
                <c:pt idx="1">
                  <c:v>49.603</c:v>
                </c:pt>
                <c:pt idx="2">
                  <c:v>49.72100000000001</c:v>
                </c:pt>
                <c:pt idx="3">
                  <c:v>50.704</c:v>
                </c:pt>
              </c:numCache>
            </c:numRef>
          </c:yVal>
          <c:smooth val="0"/>
        </c:ser>
        <c:ser>
          <c:idx val="3"/>
          <c:order val="3"/>
          <c:tx>
            <c:v>483 kPa</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linear"/>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Flexure'!$Z$7,'Dry Flexure'!$Z$13,'Dry Flexure'!$Z$19,'Dry Flexure'!$Z$25)</c:f>
              <c:numCache>
                <c:formatCode>0.00</c:formatCode>
                <c:ptCount val="4"/>
                <c:pt idx="0">
                  <c:v>51.88</c:v>
                </c:pt>
                <c:pt idx="1">
                  <c:v>51.545</c:v>
                </c:pt>
                <c:pt idx="2">
                  <c:v>53.29600000000001</c:v>
                </c:pt>
                <c:pt idx="3">
                  <c:v>51.761</c:v>
                </c:pt>
              </c:numCache>
            </c:numRef>
          </c:yVal>
          <c:smooth val="0"/>
        </c:ser>
        <c:dLbls>
          <c:showLegendKey val="0"/>
          <c:showVal val="0"/>
          <c:showCatName val="0"/>
          <c:showSerName val="0"/>
          <c:showPercent val="0"/>
          <c:showBubbleSize val="0"/>
        </c:dLbls>
        <c:axId val="510044600"/>
        <c:axId val="510042152"/>
      </c:scatterChart>
      <c:valAx>
        <c:axId val="510044600"/>
        <c:scaling>
          <c:orientation val="minMax"/>
          <c:max val="100.0"/>
          <c:min val="0.0"/>
        </c:scaling>
        <c:delete val="0"/>
        <c:axPos val="b"/>
        <c:title>
          <c:tx>
            <c:rich>
              <a:bodyPr/>
              <a:lstStyle/>
              <a:p>
                <a:pPr>
                  <a:defRPr/>
                </a:pPr>
                <a:r>
                  <a:rPr lang="en-US"/>
                  <a:t>Relative</a:t>
                </a:r>
                <a:r>
                  <a:rPr lang="en-US" baseline="0"/>
                  <a:t> Humidity </a:t>
                </a:r>
                <a:r>
                  <a:rPr lang="en-US"/>
                  <a:t>(% RH)</a:t>
                </a:r>
              </a:p>
            </c:rich>
          </c:tx>
          <c:overlay val="0"/>
        </c:title>
        <c:numFmt formatCode="General" sourceLinked="1"/>
        <c:majorTickMark val="out"/>
        <c:minorTickMark val="in"/>
        <c:tickLblPos val="nextTo"/>
        <c:spPr>
          <a:ln w="12700" cmpd="sng">
            <a:solidFill>
              <a:srgbClr val="000000"/>
            </a:solidFill>
          </a:ln>
        </c:spPr>
        <c:crossAx val="510042152"/>
        <c:crosses val="autoZero"/>
        <c:crossBetween val="midCat"/>
        <c:majorUnit val="20.0"/>
        <c:minorUnit val="5.0"/>
      </c:valAx>
      <c:valAx>
        <c:axId val="510042152"/>
        <c:scaling>
          <c:orientation val="minMax"/>
          <c:max val="65.0"/>
          <c:min val="20.0"/>
        </c:scaling>
        <c:delete val="0"/>
        <c:axPos val="l"/>
        <c:title>
          <c:tx>
            <c:rich>
              <a:bodyPr rot="-5400000" vert="horz"/>
              <a:lstStyle/>
              <a:p>
                <a:pPr>
                  <a:defRPr/>
                </a:pPr>
                <a:r>
                  <a:rPr lang="en-US"/>
                  <a:t>Flexural Stiffness (GPa)</a:t>
                </a:r>
              </a:p>
            </c:rich>
          </c:tx>
          <c:overlay val="0"/>
        </c:title>
        <c:numFmt formatCode="0" sourceLinked="0"/>
        <c:majorTickMark val="out"/>
        <c:minorTickMark val="in"/>
        <c:tickLblPos val="nextTo"/>
        <c:spPr>
          <a:ln w="12700" cmpd="sng">
            <a:solidFill>
              <a:schemeClr val="tx1"/>
            </a:solidFill>
          </a:ln>
        </c:spPr>
        <c:crossAx val="510044600"/>
        <c:crosses val="autoZero"/>
        <c:crossBetween val="midCat"/>
        <c:majorUnit val="10.0"/>
        <c:minorUnit val="2.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14586285331764"/>
          <c:y val="0.0994036979245718"/>
          <c:w val="0.455713936315695"/>
          <c:h val="0.11767274272434"/>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01878827646544"/>
          <c:y val="0.0333333333333333"/>
          <c:w val="0.721605059784194"/>
          <c:h val="0.759599008457276"/>
        </c:manualLayout>
      </c:layout>
      <c:scatterChart>
        <c:scatterStyle val="lineMarker"/>
        <c:varyColors val="0"/>
        <c:ser>
          <c:idx val="0"/>
          <c:order val="0"/>
          <c:tx>
            <c:v>2% RH</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linear"/>
            <c:dispRSqr val="0"/>
            <c:dispEq val="0"/>
          </c:trendline>
          <c:xVal>
            <c:numRef>
              <c:f>'Dry Flexure'!$A$4:$A$7</c:f>
              <c:numCache>
                <c:formatCode>General</c:formatCode>
                <c:ptCount val="4"/>
                <c:pt idx="0">
                  <c:v>68.9</c:v>
                </c:pt>
                <c:pt idx="1">
                  <c:v>206.8</c:v>
                </c:pt>
                <c:pt idx="2">
                  <c:v>344.7</c:v>
                </c:pt>
                <c:pt idx="3">
                  <c:v>482.6</c:v>
                </c:pt>
              </c:numCache>
            </c:numRef>
          </c:xVal>
          <c:yVal>
            <c:numRef>
              <c:f>'Dry Flexure'!$F$4:$F$7</c:f>
              <c:numCache>
                <c:formatCode>0.00</c:formatCode>
                <c:ptCount val="4"/>
                <c:pt idx="0">
                  <c:v>23.419</c:v>
                </c:pt>
                <c:pt idx="1">
                  <c:v>25.528</c:v>
                </c:pt>
                <c:pt idx="2">
                  <c:v>27.535</c:v>
                </c:pt>
                <c:pt idx="3">
                  <c:v>29.13800000000001</c:v>
                </c:pt>
              </c:numCache>
            </c:numRef>
          </c:yVal>
          <c:smooth val="0"/>
        </c:ser>
        <c:ser>
          <c:idx val="1"/>
          <c:order val="1"/>
          <c:tx>
            <c:v>40% RH</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linear"/>
            <c:dispRSqr val="0"/>
            <c:dispEq val="0"/>
          </c:trendline>
          <c:xVal>
            <c:numRef>
              <c:f>'Dry Flexure'!$A$10:$A$13</c:f>
              <c:numCache>
                <c:formatCode>General</c:formatCode>
                <c:ptCount val="4"/>
                <c:pt idx="0">
                  <c:v>68.9</c:v>
                </c:pt>
                <c:pt idx="1">
                  <c:v>206.8</c:v>
                </c:pt>
                <c:pt idx="2">
                  <c:v>344.7</c:v>
                </c:pt>
                <c:pt idx="3">
                  <c:v>482.6</c:v>
                </c:pt>
              </c:numCache>
            </c:numRef>
          </c:xVal>
          <c:yVal>
            <c:numRef>
              <c:f>'Dry Flexure'!$F$10:$F$13</c:f>
              <c:numCache>
                <c:formatCode>0.00</c:formatCode>
                <c:ptCount val="4"/>
                <c:pt idx="0">
                  <c:v>22.643</c:v>
                </c:pt>
                <c:pt idx="1">
                  <c:v>24.712</c:v>
                </c:pt>
                <c:pt idx="2">
                  <c:v>27.193</c:v>
                </c:pt>
                <c:pt idx="3">
                  <c:v>28.603</c:v>
                </c:pt>
              </c:numCache>
            </c:numRef>
          </c:yVal>
          <c:smooth val="0"/>
        </c:ser>
        <c:ser>
          <c:idx val="2"/>
          <c:order val="2"/>
          <c:tx>
            <c:v>70% RH</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linear"/>
            <c:dispRSqr val="0"/>
            <c:dispEq val="0"/>
          </c:trendline>
          <c:xVal>
            <c:numRef>
              <c:f>'Dry Flexure'!$A$16:$A$19</c:f>
              <c:numCache>
                <c:formatCode>General</c:formatCode>
                <c:ptCount val="4"/>
                <c:pt idx="0">
                  <c:v>68.9</c:v>
                </c:pt>
                <c:pt idx="1">
                  <c:v>206.8</c:v>
                </c:pt>
                <c:pt idx="2">
                  <c:v>344.7</c:v>
                </c:pt>
                <c:pt idx="3">
                  <c:v>482.6</c:v>
                </c:pt>
              </c:numCache>
            </c:numRef>
          </c:xVal>
          <c:yVal>
            <c:numRef>
              <c:f>'Dry Flexure'!$F$16:$F$19</c:f>
              <c:numCache>
                <c:formatCode>0.00</c:formatCode>
                <c:ptCount val="4"/>
                <c:pt idx="0">
                  <c:v>22.012</c:v>
                </c:pt>
                <c:pt idx="1">
                  <c:v>25.447</c:v>
                </c:pt>
                <c:pt idx="2">
                  <c:v>27.314</c:v>
                </c:pt>
                <c:pt idx="3">
                  <c:v>28.67899999999999</c:v>
                </c:pt>
              </c:numCache>
            </c:numRef>
          </c:yVal>
          <c:smooth val="0"/>
        </c:ser>
        <c:ser>
          <c:idx val="3"/>
          <c:order val="3"/>
          <c:tx>
            <c:v>99% RH</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linear"/>
            <c:dispRSqr val="0"/>
            <c:dispEq val="0"/>
          </c:trendline>
          <c:xVal>
            <c:numRef>
              <c:f>'Dry Flexure'!$A$22:$A$25</c:f>
              <c:numCache>
                <c:formatCode>General</c:formatCode>
                <c:ptCount val="4"/>
                <c:pt idx="0">
                  <c:v>68.9</c:v>
                </c:pt>
                <c:pt idx="1">
                  <c:v>206.8</c:v>
                </c:pt>
                <c:pt idx="2">
                  <c:v>344.7</c:v>
                </c:pt>
                <c:pt idx="3">
                  <c:v>482.6</c:v>
                </c:pt>
              </c:numCache>
            </c:numRef>
          </c:xVal>
          <c:yVal>
            <c:numRef>
              <c:f>'Dry Flexure'!$F$22:$F$25</c:f>
              <c:numCache>
                <c:formatCode>0.00</c:formatCode>
                <c:ptCount val="4"/>
                <c:pt idx="0">
                  <c:v>22.788</c:v>
                </c:pt>
                <c:pt idx="1">
                  <c:v>26.668</c:v>
                </c:pt>
                <c:pt idx="2">
                  <c:v>28.582</c:v>
                </c:pt>
                <c:pt idx="3">
                  <c:v>29.297</c:v>
                </c:pt>
              </c:numCache>
            </c:numRef>
          </c:yVal>
          <c:smooth val="0"/>
        </c:ser>
        <c:dLbls>
          <c:showLegendKey val="0"/>
          <c:showVal val="0"/>
          <c:showCatName val="0"/>
          <c:showSerName val="0"/>
          <c:showPercent val="0"/>
          <c:showBubbleSize val="0"/>
        </c:dLbls>
        <c:axId val="509958680"/>
        <c:axId val="509944888"/>
      </c:scatterChart>
      <c:valAx>
        <c:axId val="509958680"/>
        <c:scaling>
          <c:orientation val="minMax"/>
          <c:max val="525.0"/>
          <c:min val="0.0"/>
        </c:scaling>
        <c:delete val="0"/>
        <c:axPos val="b"/>
        <c:title>
          <c:tx>
            <c:rich>
              <a:bodyPr/>
              <a:lstStyle/>
              <a:p>
                <a:pPr>
                  <a:defRPr/>
                </a:pPr>
                <a:r>
                  <a:rPr lang="en-US"/>
                  <a:t>Fabrication Pressure (kPa)</a:t>
                </a:r>
              </a:p>
            </c:rich>
          </c:tx>
          <c:overlay val="0"/>
        </c:title>
        <c:numFmt formatCode="General" sourceLinked="1"/>
        <c:majorTickMark val="out"/>
        <c:minorTickMark val="in"/>
        <c:tickLblPos val="nextTo"/>
        <c:spPr>
          <a:ln w="12700" cmpd="sng">
            <a:solidFill>
              <a:srgbClr val="000000"/>
            </a:solidFill>
          </a:ln>
        </c:spPr>
        <c:crossAx val="509944888"/>
        <c:crosses val="autoZero"/>
        <c:crossBetween val="midCat"/>
        <c:majorUnit val="100.0"/>
        <c:minorUnit val="25.0"/>
      </c:valAx>
      <c:valAx>
        <c:axId val="509944888"/>
        <c:scaling>
          <c:orientation val="minMax"/>
          <c:max val="65.0"/>
          <c:min val="20.0"/>
        </c:scaling>
        <c:delete val="0"/>
        <c:axPos val="l"/>
        <c:title>
          <c:tx>
            <c:rich>
              <a:bodyPr rot="-5400000" vert="horz"/>
              <a:lstStyle/>
              <a:p>
                <a:pPr>
                  <a:defRPr/>
                </a:pPr>
                <a:r>
                  <a:rPr lang="en-US"/>
                  <a:t>Flexural Stiffness (GPa)</a:t>
                </a:r>
              </a:p>
            </c:rich>
          </c:tx>
          <c:overlay val="0"/>
        </c:title>
        <c:numFmt formatCode="0" sourceLinked="0"/>
        <c:majorTickMark val="out"/>
        <c:minorTickMark val="in"/>
        <c:tickLblPos val="nextTo"/>
        <c:spPr>
          <a:ln w="12700" cmpd="sng">
            <a:solidFill>
              <a:schemeClr val="tx1"/>
            </a:solidFill>
          </a:ln>
        </c:spPr>
        <c:crossAx val="509958680"/>
        <c:crosses val="autoZero"/>
        <c:crossBetween val="midCat"/>
        <c:majorUnit val="10.0"/>
        <c:minorUnit val="2.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26336909688397"/>
          <c:y val="0.099847655426949"/>
          <c:w val="0.473225288975071"/>
          <c:h val="0.119412080831512"/>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01878827646544"/>
          <c:y val="0.0333333333333333"/>
          <c:w val="0.721605059784194"/>
          <c:h val="0.759599008457276"/>
        </c:manualLayout>
      </c:layout>
      <c:scatterChart>
        <c:scatterStyle val="lineMarker"/>
        <c:varyColors val="0"/>
        <c:ser>
          <c:idx val="0"/>
          <c:order val="0"/>
          <c:tx>
            <c:v>2% RH</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linear"/>
            <c:dispRSqr val="0"/>
            <c:dispEq val="0"/>
          </c:trendline>
          <c:xVal>
            <c:numRef>
              <c:f>'Dry Flexure'!$A$4:$A$7</c:f>
              <c:numCache>
                <c:formatCode>General</c:formatCode>
                <c:ptCount val="4"/>
                <c:pt idx="0">
                  <c:v>68.9</c:v>
                </c:pt>
                <c:pt idx="1">
                  <c:v>206.8</c:v>
                </c:pt>
                <c:pt idx="2">
                  <c:v>344.7</c:v>
                </c:pt>
                <c:pt idx="3">
                  <c:v>482.6</c:v>
                </c:pt>
              </c:numCache>
            </c:numRef>
          </c:xVal>
          <c:yVal>
            <c:numRef>
              <c:f>'Dry Flexure'!$P$4:$P$7</c:f>
              <c:numCache>
                <c:formatCode>0.00</c:formatCode>
                <c:ptCount val="4"/>
                <c:pt idx="0">
                  <c:v>22.65</c:v>
                </c:pt>
                <c:pt idx="1">
                  <c:v>25.003</c:v>
                </c:pt>
                <c:pt idx="2">
                  <c:v>27.273</c:v>
                </c:pt>
                <c:pt idx="3">
                  <c:v>28.826</c:v>
                </c:pt>
              </c:numCache>
            </c:numRef>
          </c:yVal>
          <c:smooth val="0"/>
        </c:ser>
        <c:ser>
          <c:idx val="1"/>
          <c:order val="1"/>
          <c:tx>
            <c:v>40% RH</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linear"/>
            <c:dispRSqr val="0"/>
            <c:dispEq val="0"/>
          </c:trendline>
          <c:xVal>
            <c:numRef>
              <c:f>'Dry Flexure'!$A$10:$A$13</c:f>
              <c:numCache>
                <c:formatCode>General</c:formatCode>
                <c:ptCount val="4"/>
                <c:pt idx="0">
                  <c:v>68.9</c:v>
                </c:pt>
                <c:pt idx="1">
                  <c:v>206.8</c:v>
                </c:pt>
                <c:pt idx="2">
                  <c:v>344.7</c:v>
                </c:pt>
                <c:pt idx="3">
                  <c:v>482.6</c:v>
                </c:pt>
              </c:numCache>
            </c:numRef>
          </c:xVal>
          <c:yVal>
            <c:numRef>
              <c:f>'Dry Flexure'!$P$10:$P$13</c:f>
              <c:numCache>
                <c:formatCode>0.00</c:formatCode>
                <c:ptCount val="4"/>
                <c:pt idx="0">
                  <c:v>22.305</c:v>
                </c:pt>
                <c:pt idx="1">
                  <c:v>26.686</c:v>
                </c:pt>
                <c:pt idx="2">
                  <c:v>27.67899999999999</c:v>
                </c:pt>
                <c:pt idx="3">
                  <c:v>29.291</c:v>
                </c:pt>
              </c:numCache>
            </c:numRef>
          </c:yVal>
          <c:smooth val="0"/>
        </c:ser>
        <c:ser>
          <c:idx val="2"/>
          <c:order val="2"/>
          <c:tx>
            <c:v>70% RH</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linear"/>
            <c:dispRSqr val="0"/>
            <c:dispEq val="0"/>
          </c:trendline>
          <c:xVal>
            <c:numRef>
              <c:f>'Dry Flexure'!$A$16:$A$19</c:f>
              <c:numCache>
                <c:formatCode>General</c:formatCode>
                <c:ptCount val="4"/>
                <c:pt idx="0">
                  <c:v>68.9</c:v>
                </c:pt>
                <c:pt idx="1">
                  <c:v>206.8</c:v>
                </c:pt>
                <c:pt idx="2">
                  <c:v>344.7</c:v>
                </c:pt>
                <c:pt idx="3">
                  <c:v>482.6</c:v>
                </c:pt>
              </c:numCache>
            </c:numRef>
          </c:xVal>
          <c:yVal>
            <c:numRef>
              <c:f>'Dry Flexure'!$P$16:$P$19</c:f>
              <c:numCache>
                <c:formatCode>0.00</c:formatCode>
                <c:ptCount val="4"/>
                <c:pt idx="0">
                  <c:v>21.624</c:v>
                </c:pt>
                <c:pt idx="1">
                  <c:v>24.632</c:v>
                </c:pt>
                <c:pt idx="2">
                  <c:v>26.685</c:v>
                </c:pt>
                <c:pt idx="3">
                  <c:v>28.318</c:v>
                </c:pt>
              </c:numCache>
            </c:numRef>
          </c:yVal>
          <c:smooth val="0"/>
        </c:ser>
        <c:ser>
          <c:idx val="3"/>
          <c:order val="3"/>
          <c:tx>
            <c:v>99% RH</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linear"/>
            <c:dispRSqr val="0"/>
            <c:dispEq val="0"/>
          </c:trendline>
          <c:xVal>
            <c:numRef>
              <c:f>'Dry Flexure'!$A$22:$A$25</c:f>
              <c:numCache>
                <c:formatCode>General</c:formatCode>
                <c:ptCount val="4"/>
                <c:pt idx="0">
                  <c:v>68.9</c:v>
                </c:pt>
                <c:pt idx="1">
                  <c:v>206.8</c:v>
                </c:pt>
                <c:pt idx="2">
                  <c:v>344.7</c:v>
                </c:pt>
                <c:pt idx="3">
                  <c:v>482.6</c:v>
                </c:pt>
              </c:numCache>
            </c:numRef>
          </c:xVal>
          <c:yVal>
            <c:numRef>
              <c:f>'Dry Flexure'!$P$22:$P$25</c:f>
              <c:numCache>
                <c:formatCode>0.00</c:formatCode>
                <c:ptCount val="4"/>
                <c:pt idx="0">
                  <c:v>21.306</c:v>
                </c:pt>
                <c:pt idx="1">
                  <c:v>24.754</c:v>
                </c:pt>
                <c:pt idx="2">
                  <c:v>26.412</c:v>
                </c:pt>
                <c:pt idx="3">
                  <c:v>27.66</c:v>
                </c:pt>
              </c:numCache>
            </c:numRef>
          </c:yVal>
          <c:smooth val="0"/>
        </c:ser>
        <c:dLbls>
          <c:showLegendKey val="0"/>
          <c:showVal val="0"/>
          <c:showCatName val="0"/>
          <c:showSerName val="0"/>
          <c:showPercent val="0"/>
          <c:showBubbleSize val="0"/>
        </c:dLbls>
        <c:axId val="509828824"/>
        <c:axId val="509834456"/>
      </c:scatterChart>
      <c:valAx>
        <c:axId val="509828824"/>
        <c:scaling>
          <c:orientation val="minMax"/>
          <c:max val="525.0"/>
          <c:min val="0.0"/>
        </c:scaling>
        <c:delete val="0"/>
        <c:axPos val="b"/>
        <c:title>
          <c:tx>
            <c:rich>
              <a:bodyPr/>
              <a:lstStyle/>
              <a:p>
                <a:pPr>
                  <a:defRPr/>
                </a:pPr>
                <a:r>
                  <a:rPr lang="en-US"/>
                  <a:t>Fabrication Pressure (kPa)</a:t>
                </a:r>
              </a:p>
            </c:rich>
          </c:tx>
          <c:overlay val="0"/>
        </c:title>
        <c:numFmt formatCode="General" sourceLinked="1"/>
        <c:majorTickMark val="out"/>
        <c:minorTickMark val="in"/>
        <c:tickLblPos val="nextTo"/>
        <c:spPr>
          <a:ln w="12700" cmpd="sng">
            <a:solidFill>
              <a:srgbClr val="000000"/>
            </a:solidFill>
          </a:ln>
        </c:spPr>
        <c:crossAx val="509834456"/>
        <c:crosses val="autoZero"/>
        <c:crossBetween val="midCat"/>
        <c:majorUnit val="100.0"/>
        <c:minorUnit val="25.0"/>
      </c:valAx>
      <c:valAx>
        <c:axId val="509834456"/>
        <c:scaling>
          <c:orientation val="minMax"/>
          <c:max val="65.0"/>
          <c:min val="20.0"/>
        </c:scaling>
        <c:delete val="0"/>
        <c:axPos val="l"/>
        <c:title>
          <c:tx>
            <c:rich>
              <a:bodyPr rot="-5400000" vert="horz"/>
              <a:lstStyle/>
              <a:p>
                <a:pPr>
                  <a:defRPr/>
                </a:pPr>
                <a:r>
                  <a:rPr lang="en-US"/>
                  <a:t>Flexural Stiffness (GPa)</a:t>
                </a:r>
              </a:p>
            </c:rich>
          </c:tx>
          <c:overlay val="0"/>
        </c:title>
        <c:numFmt formatCode="0" sourceLinked="0"/>
        <c:majorTickMark val="out"/>
        <c:minorTickMark val="in"/>
        <c:tickLblPos val="nextTo"/>
        <c:spPr>
          <a:ln w="12700" cmpd="sng">
            <a:solidFill>
              <a:schemeClr val="tx1"/>
            </a:solidFill>
          </a:ln>
        </c:spPr>
        <c:crossAx val="509828824"/>
        <c:crosses val="autoZero"/>
        <c:crossBetween val="midCat"/>
        <c:majorUnit val="10.0"/>
        <c:minorUnit val="2.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31021163049244"/>
          <c:y val="0.0951776673078401"/>
          <c:w val="0.487373400358853"/>
          <c:h val="0.118526801495736"/>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01878827646544"/>
          <c:y val="0.0333333333333333"/>
          <c:w val="0.721605059784194"/>
          <c:h val="0.759599008457276"/>
        </c:manualLayout>
      </c:layout>
      <c:scatterChart>
        <c:scatterStyle val="lineMarker"/>
        <c:varyColors val="0"/>
        <c:ser>
          <c:idx val="0"/>
          <c:order val="0"/>
          <c:tx>
            <c:v>2% RH</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linear"/>
            <c:dispRSqr val="0"/>
            <c:dispEq val="0"/>
          </c:trendline>
          <c:xVal>
            <c:numRef>
              <c:f>'Dry Flexure'!$A$4:$A$7</c:f>
              <c:numCache>
                <c:formatCode>General</c:formatCode>
                <c:ptCount val="4"/>
                <c:pt idx="0">
                  <c:v>68.9</c:v>
                </c:pt>
                <c:pt idx="1">
                  <c:v>206.8</c:v>
                </c:pt>
                <c:pt idx="2">
                  <c:v>344.7</c:v>
                </c:pt>
                <c:pt idx="3">
                  <c:v>482.6</c:v>
                </c:pt>
              </c:numCache>
            </c:numRef>
          </c:xVal>
          <c:yVal>
            <c:numRef>
              <c:f>'Dry Flexure'!$Z$4:$Z$7</c:f>
              <c:numCache>
                <c:formatCode>0.00</c:formatCode>
                <c:ptCount val="4"/>
                <c:pt idx="0">
                  <c:v>43.89</c:v>
                </c:pt>
                <c:pt idx="1">
                  <c:v>48.612</c:v>
                </c:pt>
                <c:pt idx="2">
                  <c:v>47.106</c:v>
                </c:pt>
                <c:pt idx="3">
                  <c:v>51.88</c:v>
                </c:pt>
              </c:numCache>
            </c:numRef>
          </c:yVal>
          <c:smooth val="0"/>
        </c:ser>
        <c:ser>
          <c:idx val="1"/>
          <c:order val="1"/>
          <c:tx>
            <c:v>40% RH</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linear"/>
            <c:dispRSqr val="0"/>
            <c:dispEq val="0"/>
          </c:trendline>
          <c:xVal>
            <c:numRef>
              <c:f>'Dry Flexure'!$A$10:$A$13</c:f>
              <c:numCache>
                <c:formatCode>General</c:formatCode>
                <c:ptCount val="4"/>
                <c:pt idx="0">
                  <c:v>68.9</c:v>
                </c:pt>
                <c:pt idx="1">
                  <c:v>206.8</c:v>
                </c:pt>
                <c:pt idx="2">
                  <c:v>344.7</c:v>
                </c:pt>
                <c:pt idx="3">
                  <c:v>482.6</c:v>
                </c:pt>
              </c:numCache>
            </c:numRef>
          </c:xVal>
          <c:yVal>
            <c:numRef>
              <c:f>'Dry Flexure'!$Z$10:$Z$13</c:f>
              <c:numCache>
                <c:formatCode>0.00</c:formatCode>
                <c:ptCount val="4"/>
                <c:pt idx="0">
                  <c:v>42.57700000000001</c:v>
                </c:pt>
                <c:pt idx="1">
                  <c:v>46.942</c:v>
                </c:pt>
                <c:pt idx="2">
                  <c:v>49.603</c:v>
                </c:pt>
                <c:pt idx="3">
                  <c:v>51.545</c:v>
                </c:pt>
              </c:numCache>
            </c:numRef>
          </c:yVal>
          <c:smooth val="0"/>
        </c:ser>
        <c:ser>
          <c:idx val="2"/>
          <c:order val="2"/>
          <c:tx>
            <c:v>70% RH</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linear"/>
            <c:dispRSqr val="0"/>
            <c:dispEq val="0"/>
          </c:trendline>
          <c:xVal>
            <c:numRef>
              <c:f>'Dry Flexure'!$A$16:$A$19</c:f>
              <c:numCache>
                <c:formatCode>General</c:formatCode>
                <c:ptCount val="4"/>
                <c:pt idx="0">
                  <c:v>68.9</c:v>
                </c:pt>
                <c:pt idx="1">
                  <c:v>206.8</c:v>
                </c:pt>
                <c:pt idx="2">
                  <c:v>344.7</c:v>
                </c:pt>
                <c:pt idx="3">
                  <c:v>482.6</c:v>
                </c:pt>
              </c:numCache>
            </c:numRef>
          </c:xVal>
          <c:yVal>
            <c:numRef>
              <c:f>'Dry Flexure'!$Z$16:$Z$19</c:f>
              <c:numCache>
                <c:formatCode>0.00</c:formatCode>
                <c:ptCount val="4"/>
                <c:pt idx="0">
                  <c:v>43.65</c:v>
                </c:pt>
                <c:pt idx="1">
                  <c:v>47.901</c:v>
                </c:pt>
                <c:pt idx="2">
                  <c:v>49.72100000000001</c:v>
                </c:pt>
                <c:pt idx="3">
                  <c:v>53.29600000000001</c:v>
                </c:pt>
              </c:numCache>
            </c:numRef>
          </c:yVal>
          <c:smooth val="0"/>
        </c:ser>
        <c:ser>
          <c:idx val="3"/>
          <c:order val="3"/>
          <c:tx>
            <c:v>99% RH</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linear"/>
            <c:dispRSqr val="0"/>
            <c:dispEq val="0"/>
          </c:trendline>
          <c:xVal>
            <c:numRef>
              <c:f>'Dry Flexure'!$A$22:$A$25</c:f>
              <c:numCache>
                <c:formatCode>General</c:formatCode>
                <c:ptCount val="4"/>
                <c:pt idx="0">
                  <c:v>68.9</c:v>
                </c:pt>
                <c:pt idx="1">
                  <c:v>206.8</c:v>
                </c:pt>
                <c:pt idx="2">
                  <c:v>344.7</c:v>
                </c:pt>
                <c:pt idx="3">
                  <c:v>482.6</c:v>
                </c:pt>
              </c:numCache>
            </c:numRef>
          </c:xVal>
          <c:yVal>
            <c:numRef>
              <c:f>'Dry Flexure'!$Z$22:$Z$25</c:f>
              <c:numCache>
                <c:formatCode>0.00</c:formatCode>
                <c:ptCount val="4"/>
                <c:pt idx="0">
                  <c:v>42.851</c:v>
                </c:pt>
                <c:pt idx="1">
                  <c:v>50.689</c:v>
                </c:pt>
                <c:pt idx="2">
                  <c:v>50.704</c:v>
                </c:pt>
                <c:pt idx="3">
                  <c:v>51.761</c:v>
                </c:pt>
              </c:numCache>
            </c:numRef>
          </c:yVal>
          <c:smooth val="0"/>
        </c:ser>
        <c:dLbls>
          <c:showLegendKey val="0"/>
          <c:showVal val="0"/>
          <c:showCatName val="0"/>
          <c:showSerName val="0"/>
          <c:showPercent val="0"/>
          <c:showBubbleSize val="0"/>
        </c:dLbls>
        <c:axId val="509898808"/>
        <c:axId val="509904440"/>
      </c:scatterChart>
      <c:valAx>
        <c:axId val="509898808"/>
        <c:scaling>
          <c:orientation val="minMax"/>
          <c:max val="525.0"/>
          <c:min val="0.0"/>
        </c:scaling>
        <c:delete val="0"/>
        <c:axPos val="b"/>
        <c:title>
          <c:tx>
            <c:rich>
              <a:bodyPr/>
              <a:lstStyle/>
              <a:p>
                <a:pPr>
                  <a:defRPr/>
                </a:pPr>
                <a:r>
                  <a:rPr lang="en-US"/>
                  <a:t>Fabrication Pressure (kPa)</a:t>
                </a:r>
              </a:p>
            </c:rich>
          </c:tx>
          <c:overlay val="0"/>
        </c:title>
        <c:numFmt formatCode="General" sourceLinked="1"/>
        <c:majorTickMark val="out"/>
        <c:minorTickMark val="in"/>
        <c:tickLblPos val="nextTo"/>
        <c:spPr>
          <a:ln w="12700" cmpd="sng">
            <a:solidFill>
              <a:srgbClr val="000000"/>
            </a:solidFill>
          </a:ln>
        </c:spPr>
        <c:crossAx val="509904440"/>
        <c:crosses val="autoZero"/>
        <c:crossBetween val="midCat"/>
        <c:majorUnit val="100.0"/>
        <c:minorUnit val="25.0"/>
      </c:valAx>
      <c:valAx>
        <c:axId val="509904440"/>
        <c:scaling>
          <c:orientation val="minMax"/>
          <c:max val="65.0"/>
          <c:min val="20.0"/>
        </c:scaling>
        <c:delete val="0"/>
        <c:axPos val="l"/>
        <c:title>
          <c:tx>
            <c:rich>
              <a:bodyPr rot="-5400000" vert="horz"/>
              <a:lstStyle/>
              <a:p>
                <a:pPr>
                  <a:defRPr/>
                </a:pPr>
                <a:r>
                  <a:rPr lang="en-US"/>
                  <a:t>Flexural Stiffness (GPa)</a:t>
                </a:r>
              </a:p>
            </c:rich>
          </c:tx>
          <c:overlay val="0"/>
        </c:title>
        <c:numFmt formatCode="0" sourceLinked="0"/>
        <c:majorTickMark val="out"/>
        <c:minorTickMark val="in"/>
        <c:tickLblPos val="nextTo"/>
        <c:spPr>
          <a:ln w="12700" cmpd="sng">
            <a:solidFill>
              <a:schemeClr val="tx1"/>
            </a:solidFill>
          </a:ln>
        </c:spPr>
        <c:crossAx val="509898808"/>
        <c:crosses val="autoZero"/>
        <c:crossBetween val="midCat"/>
        <c:majorUnit val="10.0"/>
        <c:minorUnit val="2.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21652372681108"/>
          <c:y val="0.099847655426949"/>
          <c:w val="0.482664931714044"/>
          <c:h val="0.119412080831512"/>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34671316372285"/>
          <c:y val="0.0333333333333333"/>
          <c:w val="0.688812524990815"/>
          <c:h val="0.759599008457276"/>
        </c:manualLayout>
      </c:layout>
      <c:scatterChart>
        <c:scatterStyle val="lineMarker"/>
        <c:varyColors val="0"/>
        <c:ser>
          <c:idx val="0"/>
          <c:order val="0"/>
          <c:tx>
            <c:v>69 kPa</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poly"/>
            <c:order val="2"/>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Flexure'!$B$4,'Dry Flexure'!$B$10,'Dry Flexure'!$B$16,'Dry Flexure'!$B$22)</c:f>
              <c:numCache>
                <c:formatCode>0.00</c:formatCode>
                <c:ptCount val="4"/>
                <c:pt idx="0">
                  <c:v>482.3179999999999</c:v>
                </c:pt>
                <c:pt idx="1">
                  <c:v>463.2819999999989</c:v>
                </c:pt>
                <c:pt idx="2">
                  <c:v>425.038</c:v>
                </c:pt>
                <c:pt idx="3">
                  <c:v>450.956</c:v>
                </c:pt>
              </c:numCache>
            </c:numRef>
          </c:yVal>
          <c:smooth val="0"/>
        </c:ser>
        <c:ser>
          <c:idx val="1"/>
          <c:order val="1"/>
          <c:tx>
            <c:v>207 kPa</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poly"/>
            <c:order val="2"/>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Flexure'!$B$5,'Dry Flexure'!$B$11,'Dry Flexure'!$B$17,'Dry Flexure'!$B$23)</c:f>
              <c:numCache>
                <c:formatCode>0.00</c:formatCode>
                <c:ptCount val="4"/>
                <c:pt idx="0">
                  <c:v>596.789</c:v>
                </c:pt>
                <c:pt idx="1">
                  <c:v>536.744</c:v>
                </c:pt>
                <c:pt idx="2">
                  <c:v>488.6139999999999</c:v>
                </c:pt>
                <c:pt idx="3">
                  <c:v>521.8229999999984</c:v>
                </c:pt>
              </c:numCache>
            </c:numRef>
          </c:yVal>
          <c:smooth val="0"/>
        </c:ser>
        <c:ser>
          <c:idx val="2"/>
          <c:order val="2"/>
          <c:tx>
            <c:v>345 kPa</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poly"/>
            <c:order val="2"/>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Flexure'!$B$6,'Dry Flexure'!$B$12,'Dry Flexure'!$B$18,'Dry Flexure'!$B$24)</c:f>
              <c:numCache>
                <c:formatCode>0.00</c:formatCode>
                <c:ptCount val="4"/>
                <c:pt idx="0">
                  <c:v>568.8659999999983</c:v>
                </c:pt>
                <c:pt idx="1">
                  <c:v>526.25</c:v>
                </c:pt>
                <c:pt idx="2">
                  <c:v>507.714</c:v>
                </c:pt>
                <c:pt idx="3">
                  <c:v>542.244</c:v>
                </c:pt>
              </c:numCache>
            </c:numRef>
          </c:yVal>
          <c:smooth val="0"/>
        </c:ser>
        <c:ser>
          <c:idx val="3"/>
          <c:order val="3"/>
          <c:tx>
            <c:v>483 kPa</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poly"/>
            <c:order val="2"/>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Flexure'!$B$7,'Dry Flexure'!$B$13,'Dry Flexure'!$B$19,'Dry Flexure'!$B$25)</c:f>
              <c:numCache>
                <c:formatCode>0.00</c:formatCode>
                <c:ptCount val="4"/>
                <c:pt idx="0">
                  <c:v>602.8499999999987</c:v>
                </c:pt>
                <c:pt idx="1">
                  <c:v>545.672</c:v>
                </c:pt>
                <c:pt idx="2">
                  <c:v>524.814</c:v>
                </c:pt>
                <c:pt idx="3">
                  <c:v>550.102</c:v>
                </c:pt>
              </c:numCache>
            </c:numRef>
          </c:yVal>
          <c:smooth val="0"/>
        </c:ser>
        <c:dLbls>
          <c:showLegendKey val="0"/>
          <c:showVal val="0"/>
          <c:showCatName val="0"/>
          <c:showSerName val="0"/>
          <c:showPercent val="0"/>
          <c:showBubbleSize val="0"/>
        </c:dLbls>
        <c:axId val="509725688"/>
        <c:axId val="509701576"/>
      </c:scatterChart>
      <c:valAx>
        <c:axId val="509725688"/>
        <c:scaling>
          <c:orientation val="minMax"/>
          <c:max val="100.0"/>
          <c:min val="0.0"/>
        </c:scaling>
        <c:delete val="0"/>
        <c:axPos val="b"/>
        <c:title>
          <c:tx>
            <c:rich>
              <a:bodyPr/>
              <a:lstStyle/>
              <a:p>
                <a:pPr>
                  <a:defRPr/>
                </a:pPr>
                <a:r>
                  <a:rPr lang="en-US"/>
                  <a:t>Relative</a:t>
                </a:r>
                <a:r>
                  <a:rPr lang="en-US" baseline="0"/>
                  <a:t> Humidity </a:t>
                </a:r>
                <a:r>
                  <a:rPr lang="en-US"/>
                  <a:t>(% RH)</a:t>
                </a:r>
              </a:p>
            </c:rich>
          </c:tx>
          <c:overlay val="0"/>
        </c:title>
        <c:numFmt formatCode="General" sourceLinked="1"/>
        <c:majorTickMark val="out"/>
        <c:minorTickMark val="in"/>
        <c:tickLblPos val="nextTo"/>
        <c:spPr>
          <a:ln w="12700" cmpd="sng">
            <a:solidFill>
              <a:srgbClr val="000000"/>
            </a:solidFill>
          </a:ln>
        </c:spPr>
        <c:crossAx val="509701576"/>
        <c:crosses val="autoZero"/>
        <c:crossBetween val="midCat"/>
        <c:majorUnit val="20.0"/>
        <c:minorUnit val="5.0"/>
      </c:valAx>
      <c:valAx>
        <c:axId val="509701576"/>
        <c:scaling>
          <c:orientation val="minMax"/>
          <c:max val="1200.0"/>
          <c:min val="400.0"/>
        </c:scaling>
        <c:delete val="0"/>
        <c:axPos val="l"/>
        <c:title>
          <c:tx>
            <c:rich>
              <a:bodyPr rot="-5400000" vert="horz"/>
              <a:lstStyle/>
              <a:p>
                <a:pPr>
                  <a:defRPr/>
                </a:pPr>
                <a:r>
                  <a:rPr lang="en-US"/>
                  <a:t>Flexural Strength (MPa)</a:t>
                </a:r>
              </a:p>
            </c:rich>
          </c:tx>
          <c:overlay val="0"/>
        </c:title>
        <c:numFmt formatCode="0" sourceLinked="0"/>
        <c:majorTickMark val="out"/>
        <c:minorTickMark val="in"/>
        <c:tickLblPos val="nextTo"/>
        <c:spPr>
          <a:ln w="12700" cmpd="sng">
            <a:solidFill>
              <a:schemeClr val="tx1"/>
            </a:solidFill>
          </a:ln>
        </c:spPr>
        <c:crossAx val="509725688"/>
        <c:crosses val="autoZero"/>
        <c:crossBetween val="midCat"/>
        <c:majorUnit val="200.0"/>
        <c:minorUnit val="50.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687779890333754"/>
          <c:y val="0.0387687803380341"/>
          <c:w val="0.230805667818062"/>
          <c:h val="0.237305317562177"/>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34671316372285"/>
          <c:y val="0.0333333333333333"/>
          <c:w val="0.688812524990815"/>
          <c:h val="0.759599008457276"/>
        </c:manualLayout>
      </c:layout>
      <c:scatterChart>
        <c:scatterStyle val="lineMarker"/>
        <c:varyColors val="0"/>
        <c:ser>
          <c:idx val="0"/>
          <c:order val="0"/>
          <c:tx>
            <c:v>69 kPa</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poly"/>
            <c:order val="2"/>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Flexure'!$L$4,'Dry Flexure'!$L$10,'Dry Flexure'!$L$16,'Dry Flexure'!$L$22)</c:f>
              <c:numCache>
                <c:formatCode>0.00</c:formatCode>
                <c:ptCount val="4"/>
                <c:pt idx="0">
                  <c:v>721.9409999999987</c:v>
                </c:pt>
                <c:pt idx="1">
                  <c:v>670.771</c:v>
                </c:pt>
                <c:pt idx="2">
                  <c:v>619.124</c:v>
                </c:pt>
                <c:pt idx="3">
                  <c:v>562.192</c:v>
                </c:pt>
              </c:numCache>
            </c:numRef>
          </c:yVal>
          <c:smooth val="0"/>
        </c:ser>
        <c:ser>
          <c:idx val="1"/>
          <c:order val="1"/>
          <c:tx>
            <c:v>207 kPa</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poly"/>
            <c:order val="2"/>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Flexure'!$L$5,'Dry Flexure'!$L$11,'Dry Flexure'!$L$17,'Dry Flexure'!$L$23)</c:f>
              <c:numCache>
                <c:formatCode>0.00</c:formatCode>
                <c:ptCount val="4"/>
                <c:pt idx="0">
                  <c:v>763.1559999999994</c:v>
                </c:pt>
                <c:pt idx="1">
                  <c:v>868.074</c:v>
                </c:pt>
                <c:pt idx="2">
                  <c:v>773.8359999999986</c:v>
                </c:pt>
                <c:pt idx="3">
                  <c:v>683.8969999999994</c:v>
                </c:pt>
              </c:numCache>
            </c:numRef>
          </c:yVal>
          <c:smooth val="0"/>
        </c:ser>
        <c:ser>
          <c:idx val="2"/>
          <c:order val="2"/>
          <c:tx>
            <c:v>345 kPa</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poly"/>
            <c:order val="2"/>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Flexure'!$L$6,'Dry Flexure'!$L$12,'Dry Flexure'!$L$18,'Dry Flexure'!$L$24)</c:f>
              <c:numCache>
                <c:formatCode>0.00</c:formatCode>
                <c:ptCount val="4"/>
                <c:pt idx="0">
                  <c:v>797.8579999999976</c:v>
                </c:pt>
                <c:pt idx="1">
                  <c:v>779.784</c:v>
                </c:pt>
                <c:pt idx="2">
                  <c:v>852.993</c:v>
                </c:pt>
                <c:pt idx="3">
                  <c:v>741.683</c:v>
                </c:pt>
              </c:numCache>
            </c:numRef>
          </c:yVal>
          <c:smooth val="0"/>
        </c:ser>
        <c:ser>
          <c:idx val="3"/>
          <c:order val="3"/>
          <c:tx>
            <c:v>483 kPa</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poly"/>
            <c:order val="2"/>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Flexure'!$L$7,'Dry Flexure'!$L$13,'Dry Flexure'!$L$19,'Dry Flexure'!$L$25)</c:f>
              <c:numCache>
                <c:formatCode>0.00</c:formatCode>
                <c:ptCount val="4"/>
                <c:pt idx="0">
                  <c:v>818.0509999999994</c:v>
                </c:pt>
                <c:pt idx="1">
                  <c:v>967.3259999999987</c:v>
                </c:pt>
                <c:pt idx="2">
                  <c:v>872.991</c:v>
                </c:pt>
                <c:pt idx="3">
                  <c:v>772.769</c:v>
                </c:pt>
              </c:numCache>
            </c:numRef>
          </c:yVal>
          <c:smooth val="0"/>
        </c:ser>
        <c:dLbls>
          <c:showLegendKey val="0"/>
          <c:showVal val="0"/>
          <c:showCatName val="0"/>
          <c:showSerName val="0"/>
          <c:showPercent val="0"/>
          <c:showBubbleSize val="0"/>
        </c:dLbls>
        <c:axId val="509663992"/>
        <c:axId val="509669864"/>
      </c:scatterChart>
      <c:valAx>
        <c:axId val="509663992"/>
        <c:scaling>
          <c:orientation val="minMax"/>
          <c:max val="100.0"/>
          <c:min val="0.0"/>
        </c:scaling>
        <c:delete val="0"/>
        <c:axPos val="b"/>
        <c:title>
          <c:tx>
            <c:rich>
              <a:bodyPr/>
              <a:lstStyle/>
              <a:p>
                <a:pPr>
                  <a:defRPr/>
                </a:pPr>
                <a:r>
                  <a:rPr lang="en-US"/>
                  <a:t>Relative</a:t>
                </a:r>
                <a:r>
                  <a:rPr lang="en-US" baseline="0"/>
                  <a:t> Humidity </a:t>
                </a:r>
                <a:r>
                  <a:rPr lang="en-US"/>
                  <a:t>(% RH)</a:t>
                </a:r>
              </a:p>
            </c:rich>
          </c:tx>
          <c:overlay val="0"/>
        </c:title>
        <c:numFmt formatCode="General" sourceLinked="1"/>
        <c:majorTickMark val="out"/>
        <c:minorTickMark val="in"/>
        <c:tickLblPos val="nextTo"/>
        <c:spPr>
          <a:ln w="12700" cmpd="sng">
            <a:solidFill>
              <a:srgbClr val="000000"/>
            </a:solidFill>
          </a:ln>
        </c:spPr>
        <c:crossAx val="509669864"/>
        <c:crosses val="autoZero"/>
        <c:crossBetween val="midCat"/>
        <c:majorUnit val="20.0"/>
        <c:minorUnit val="5.0"/>
      </c:valAx>
      <c:valAx>
        <c:axId val="509669864"/>
        <c:scaling>
          <c:orientation val="minMax"/>
          <c:max val="1200.0"/>
          <c:min val="400.0"/>
        </c:scaling>
        <c:delete val="0"/>
        <c:axPos val="l"/>
        <c:title>
          <c:tx>
            <c:rich>
              <a:bodyPr rot="-5400000" vert="horz"/>
              <a:lstStyle/>
              <a:p>
                <a:pPr>
                  <a:defRPr/>
                </a:pPr>
                <a:r>
                  <a:rPr lang="en-US"/>
                  <a:t>Flexural Strength (MPa)</a:t>
                </a:r>
              </a:p>
            </c:rich>
          </c:tx>
          <c:overlay val="0"/>
        </c:title>
        <c:numFmt formatCode="0" sourceLinked="0"/>
        <c:majorTickMark val="out"/>
        <c:minorTickMark val="in"/>
        <c:tickLblPos val="nextTo"/>
        <c:spPr>
          <a:ln w="12700" cmpd="sng">
            <a:solidFill>
              <a:schemeClr val="tx1"/>
            </a:solidFill>
          </a:ln>
        </c:spPr>
        <c:crossAx val="509663992"/>
        <c:crosses val="autoZero"/>
        <c:crossBetween val="midCat"/>
        <c:majorUnit val="200.0"/>
        <c:minorUnit val="50.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68304891739825"/>
          <c:y val="0.0387687803380341"/>
          <c:w val="0.230852049905665"/>
          <c:h val="0.237354313365014"/>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34621013963787"/>
          <c:y val="0.0333333333333333"/>
          <c:w val="0.688863222359149"/>
          <c:h val="0.759599008457276"/>
        </c:manualLayout>
      </c:layout>
      <c:scatterChart>
        <c:scatterStyle val="lineMarker"/>
        <c:varyColors val="0"/>
        <c:ser>
          <c:idx val="0"/>
          <c:order val="0"/>
          <c:tx>
            <c:v>69 kPa</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poly"/>
            <c:order val="2"/>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Flexure'!$V$4,'Dry Flexure'!$V$10,'Dry Flexure'!$V$16,'Dry Flexure'!$V$22)</c:f>
              <c:numCache>
                <c:formatCode>0.00</c:formatCode>
                <c:ptCount val="4"/>
                <c:pt idx="0">
                  <c:v>692.185</c:v>
                </c:pt>
                <c:pt idx="1">
                  <c:v>665.686</c:v>
                </c:pt>
                <c:pt idx="2">
                  <c:v>653.178</c:v>
                </c:pt>
                <c:pt idx="3">
                  <c:v>689.3589999999994</c:v>
                </c:pt>
              </c:numCache>
            </c:numRef>
          </c:yVal>
          <c:smooth val="0"/>
        </c:ser>
        <c:ser>
          <c:idx val="1"/>
          <c:order val="1"/>
          <c:tx>
            <c:v>207 kPa</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poly"/>
            <c:order val="2"/>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Flexure'!$V$5,'Dry Flexure'!$V$11,'Dry Flexure'!$V$17,'Dry Flexure'!$V$23)</c:f>
              <c:numCache>
                <c:formatCode>0.00</c:formatCode>
                <c:ptCount val="4"/>
                <c:pt idx="0">
                  <c:v>784.384</c:v>
                </c:pt>
                <c:pt idx="1">
                  <c:v>781.011</c:v>
                </c:pt>
                <c:pt idx="2">
                  <c:v>733.732</c:v>
                </c:pt>
                <c:pt idx="3">
                  <c:v>720.3049999999994</c:v>
                </c:pt>
              </c:numCache>
            </c:numRef>
          </c:yVal>
          <c:smooth val="0"/>
        </c:ser>
        <c:ser>
          <c:idx val="2"/>
          <c:order val="2"/>
          <c:tx>
            <c:v>345 kPa</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poly"/>
            <c:order val="2"/>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Flexure'!$V$6,'Dry Flexure'!$V$12,'Dry Flexure'!$V$18,'Dry Flexure'!$V$24)</c:f>
              <c:numCache>
                <c:formatCode>0.00</c:formatCode>
                <c:ptCount val="4"/>
                <c:pt idx="0">
                  <c:v>722.972</c:v>
                </c:pt>
                <c:pt idx="1">
                  <c:v>690.294</c:v>
                </c:pt>
                <c:pt idx="2">
                  <c:v>774.239</c:v>
                </c:pt>
                <c:pt idx="3">
                  <c:v>741.8390000000001</c:v>
                </c:pt>
              </c:numCache>
            </c:numRef>
          </c:yVal>
          <c:smooth val="0"/>
        </c:ser>
        <c:ser>
          <c:idx val="3"/>
          <c:order val="3"/>
          <c:tx>
            <c:v>483 kPa</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poly"/>
            <c:order val="2"/>
            <c:dispRSqr val="0"/>
            <c:dispEq val="0"/>
          </c:trendline>
          <c:xVal>
            <c:numRef>
              <c:f>('Dry Flexure'!$A$8,'Dry Flexure'!$A$14,'Dry Flexure'!$A$20,'Dry Flexure'!$A$26)</c:f>
              <c:numCache>
                <c:formatCode>General</c:formatCode>
                <c:ptCount val="4"/>
                <c:pt idx="0">
                  <c:v>2.0</c:v>
                </c:pt>
                <c:pt idx="1">
                  <c:v>40.0</c:v>
                </c:pt>
                <c:pt idx="2">
                  <c:v>70.0</c:v>
                </c:pt>
                <c:pt idx="3">
                  <c:v>99.0</c:v>
                </c:pt>
              </c:numCache>
            </c:numRef>
          </c:xVal>
          <c:yVal>
            <c:numRef>
              <c:f>('Dry Flexure'!$V$7,'Dry Flexure'!$V$13,'Dry Flexure'!$V$19,'Dry Flexure'!$V$25)</c:f>
              <c:numCache>
                <c:formatCode>0.00</c:formatCode>
                <c:ptCount val="4"/>
                <c:pt idx="0">
                  <c:v>847.208</c:v>
                </c:pt>
                <c:pt idx="1">
                  <c:v>607.5559999999994</c:v>
                </c:pt>
                <c:pt idx="2">
                  <c:v>793.8259999999987</c:v>
                </c:pt>
                <c:pt idx="3">
                  <c:v>787.592</c:v>
                </c:pt>
              </c:numCache>
            </c:numRef>
          </c:yVal>
          <c:smooth val="0"/>
        </c:ser>
        <c:dLbls>
          <c:showLegendKey val="0"/>
          <c:showVal val="0"/>
          <c:showCatName val="0"/>
          <c:showSerName val="0"/>
          <c:showPercent val="0"/>
          <c:showBubbleSize val="0"/>
        </c:dLbls>
        <c:axId val="431433512"/>
        <c:axId val="431987656"/>
      </c:scatterChart>
      <c:valAx>
        <c:axId val="431433512"/>
        <c:scaling>
          <c:orientation val="minMax"/>
          <c:max val="100.0"/>
          <c:min val="0.0"/>
        </c:scaling>
        <c:delete val="0"/>
        <c:axPos val="b"/>
        <c:title>
          <c:tx>
            <c:rich>
              <a:bodyPr/>
              <a:lstStyle/>
              <a:p>
                <a:pPr>
                  <a:defRPr/>
                </a:pPr>
                <a:r>
                  <a:rPr lang="en-US"/>
                  <a:t>Relative</a:t>
                </a:r>
                <a:r>
                  <a:rPr lang="en-US" baseline="0"/>
                  <a:t> Humidity </a:t>
                </a:r>
                <a:r>
                  <a:rPr lang="en-US"/>
                  <a:t>(% RH)</a:t>
                </a:r>
              </a:p>
            </c:rich>
          </c:tx>
          <c:overlay val="0"/>
        </c:title>
        <c:numFmt formatCode="General" sourceLinked="1"/>
        <c:majorTickMark val="out"/>
        <c:minorTickMark val="in"/>
        <c:tickLblPos val="nextTo"/>
        <c:spPr>
          <a:ln w="12700" cmpd="sng">
            <a:solidFill>
              <a:srgbClr val="000000"/>
            </a:solidFill>
          </a:ln>
        </c:spPr>
        <c:crossAx val="431987656"/>
        <c:crosses val="autoZero"/>
        <c:crossBetween val="midCat"/>
        <c:majorUnit val="20.0"/>
        <c:minorUnit val="5.0"/>
      </c:valAx>
      <c:valAx>
        <c:axId val="431987656"/>
        <c:scaling>
          <c:orientation val="minMax"/>
          <c:max val="1200.0"/>
          <c:min val="400.0"/>
        </c:scaling>
        <c:delete val="0"/>
        <c:axPos val="l"/>
        <c:title>
          <c:tx>
            <c:rich>
              <a:bodyPr rot="-5400000" vert="horz"/>
              <a:lstStyle/>
              <a:p>
                <a:pPr>
                  <a:defRPr/>
                </a:pPr>
                <a:r>
                  <a:rPr lang="en-US"/>
                  <a:t>Flexural Strength (MPa)</a:t>
                </a:r>
              </a:p>
            </c:rich>
          </c:tx>
          <c:overlay val="0"/>
        </c:title>
        <c:numFmt formatCode="0" sourceLinked="0"/>
        <c:majorTickMark val="out"/>
        <c:minorTickMark val="in"/>
        <c:tickLblPos val="nextTo"/>
        <c:spPr>
          <a:ln w="12700" cmpd="sng">
            <a:solidFill>
              <a:schemeClr val="tx1"/>
            </a:solidFill>
          </a:ln>
        </c:spPr>
        <c:crossAx val="431433512"/>
        <c:crosses val="autoZero"/>
        <c:crossBetween val="midCat"/>
        <c:majorUnit val="200.0"/>
        <c:minorUnit val="50.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682329082007183"/>
          <c:y val="0.0433466425616985"/>
          <c:w val="0.231197176463026"/>
          <c:h val="0.237456207291269"/>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34671147153372"/>
          <c:y val="0.0333333333333333"/>
          <c:w val="0.688812861603495"/>
          <c:h val="0.759599008457276"/>
        </c:manualLayout>
      </c:layout>
      <c:scatterChart>
        <c:scatterStyle val="lineMarker"/>
        <c:varyColors val="0"/>
        <c:ser>
          <c:idx val="0"/>
          <c:order val="0"/>
          <c:tx>
            <c:v>2% RH</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power"/>
            <c:dispRSqr val="0"/>
            <c:dispEq val="0"/>
          </c:trendline>
          <c:xVal>
            <c:numRef>
              <c:f>'Dry Flexure'!$A$4:$A$7</c:f>
              <c:numCache>
                <c:formatCode>General</c:formatCode>
                <c:ptCount val="4"/>
                <c:pt idx="0">
                  <c:v>68.9</c:v>
                </c:pt>
                <c:pt idx="1">
                  <c:v>206.8</c:v>
                </c:pt>
                <c:pt idx="2">
                  <c:v>344.7</c:v>
                </c:pt>
                <c:pt idx="3">
                  <c:v>482.6</c:v>
                </c:pt>
              </c:numCache>
            </c:numRef>
          </c:xVal>
          <c:yVal>
            <c:numRef>
              <c:f>'Dry Flexure'!$B$4:$B$7</c:f>
              <c:numCache>
                <c:formatCode>0.00</c:formatCode>
                <c:ptCount val="4"/>
                <c:pt idx="0">
                  <c:v>482.3179999999999</c:v>
                </c:pt>
                <c:pt idx="1">
                  <c:v>596.789</c:v>
                </c:pt>
                <c:pt idx="2">
                  <c:v>568.8659999999983</c:v>
                </c:pt>
                <c:pt idx="3">
                  <c:v>602.8499999999987</c:v>
                </c:pt>
              </c:numCache>
            </c:numRef>
          </c:yVal>
          <c:smooth val="0"/>
        </c:ser>
        <c:ser>
          <c:idx val="1"/>
          <c:order val="1"/>
          <c:tx>
            <c:v>40% RH</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power"/>
            <c:dispRSqr val="0"/>
            <c:dispEq val="0"/>
          </c:trendline>
          <c:xVal>
            <c:numRef>
              <c:f>'Dry Flexure'!$A$10:$A$13</c:f>
              <c:numCache>
                <c:formatCode>General</c:formatCode>
                <c:ptCount val="4"/>
                <c:pt idx="0">
                  <c:v>68.9</c:v>
                </c:pt>
                <c:pt idx="1">
                  <c:v>206.8</c:v>
                </c:pt>
                <c:pt idx="2">
                  <c:v>344.7</c:v>
                </c:pt>
                <c:pt idx="3">
                  <c:v>482.6</c:v>
                </c:pt>
              </c:numCache>
            </c:numRef>
          </c:xVal>
          <c:yVal>
            <c:numRef>
              <c:f>'Dry Flexure'!$B$10:$B$13</c:f>
              <c:numCache>
                <c:formatCode>0.00</c:formatCode>
                <c:ptCount val="4"/>
                <c:pt idx="0">
                  <c:v>463.2819999999989</c:v>
                </c:pt>
                <c:pt idx="1">
                  <c:v>536.744</c:v>
                </c:pt>
                <c:pt idx="2">
                  <c:v>526.25</c:v>
                </c:pt>
                <c:pt idx="3">
                  <c:v>545.672</c:v>
                </c:pt>
              </c:numCache>
            </c:numRef>
          </c:yVal>
          <c:smooth val="0"/>
        </c:ser>
        <c:ser>
          <c:idx val="2"/>
          <c:order val="2"/>
          <c:tx>
            <c:v>70% RH</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power"/>
            <c:dispRSqr val="0"/>
            <c:dispEq val="0"/>
          </c:trendline>
          <c:xVal>
            <c:numRef>
              <c:f>'Dry Flexure'!$A$16:$A$19</c:f>
              <c:numCache>
                <c:formatCode>General</c:formatCode>
                <c:ptCount val="4"/>
                <c:pt idx="0">
                  <c:v>68.9</c:v>
                </c:pt>
                <c:pt idx="1">
                  <c:v>206.8</c:v>
                </c:pt>
                <c:pt idx="2">
                  <c:v>344.7</c:v>
                </c:pt>
                <c:pt idx="3">
                  <c:v>482.6</c:v>
                </c:pt>
              </c:numCache>
            </c:numRef>
          </c:xVal>
          <c:yVal>
            <c:numRef>
              <c:f>'Dry Flexure'!$B$16:$B$19</c:f>
              <c:numCache>
                <c:formatCode>0.00</c:formatCode>
                <c:ptCount val="4"/>
                <c:pt idx="0">
                  <c:v>425.038</c:v>
                </c:pt>
                <c:pt idx="1">
                  <c:v>488.6139999999999</c:v>
                </c:pt>
                <c:pt idx="2">
                  <c:v>507.714</c:v>
                </c:pt>
                <c:pt idx="3">
                  <c:v>524.814</c:v>
                </c:pt>
              </c:numCache>
            </c:numRef>
          </c:yVal>
          <c:smooth val="0"/>
        </c:ser>
        <c:ser>
          <c:idx val="3"/>
          <c:order val="3"/>
          <c:tx>
            <c:v>99% RH</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power"/>
            <c:dispRSqr val="0"/>
            <c:dispEq val="0"/>
          </c:trendline>
          <c:xVal>
            <c:numRef>
              <c:f>'Dry Flexure'!$A$22:$A$25</c:f>
              <c:numCache>
                <c:formatCode>General</c:formatCode>
                <c:ptCount val="4"/>
                <c:pt idx="0">
                  <c:v>68.9</c:v>
                </c:pt>
                <c:pt idx="1">
                  <c:v>206.8</c:v>
                </c:pt>
                <c:pt idx="2">
                  <c:v>344.7</c:v>
                </c:pt>
                <c:pt idx="3">
                  <c:v>482.6</c:v>
                </c:pt>
              </c:numCache>
            </c:numRef>
          </c:xVal>
          <c:yVal>
            <c:numRef>
              <c:f>'Dry Flexure'!$B$22:$B$25</c:f>
              <c:numCache>
                <c:formatCode>0.00</c:formatCode>
                <c:ptCount val="4"/>
                <c:pt idx="0">
                  <c:v>450.956</c:v>
                </c:pt>
                <c:pt idx="1">
                  <c:v>521.8229999999984</c:v>
                </c:pt>
                <c:pt idx="2">
                  <c:v>542.244</c:v>
                </c:pt>
                <c:pt idx="3">
                  <c:v>550.102</c:v>
                </c:pt>
              </c:numCache>
            </c:numRef>
          </c:yVal>
          <c:smooth val="0"/>
        </c:ser>
        <c:dLbls>
          <c:showLegendKey val="0"/>
          <c:showVal val="0"/>
          <c:showCatName val="0"/>
          <c:showSerName val="0"/>
          <c:showPercent val="0"/>
          <c:showBubbleSize val="0"/>
        </c:dLbls>
        <c:axId val="431888312"/>
        <c:axId val="431712760"/>
      </c:scatterChart>
      <c:valAx>
        <c:axId val="431888312"/>
        <c:scaling>
          <c:orientation val="minMax"/>
          <c:max val="525.0"/>
          <c:min val="0.0"/>
        </c:scaling>
        <c:delete val="0"/>
        <c:axPos val="b"/>
        <c:title>
          <c:tx>
            <c:rich>
              <a:bodyPr/>
              <a:lstStyle/>
              <a:p>
                <a:pPr>
                  <a:defRPr/>
                </a:pPr>
                <a:r>
                  <a:rPr lang="en-US"/>
                  <a:t>Fabrication Pressure (kPa)</a:t>
                </a:r>
              </a:p>
            </c:rich>
          </c:tx>
          <c:overlay val="0"/>
        </c:title>
        <c:numFmt formatCode="General" sourceLinked="1"/>
        <c:majorTickMark val="out"/>
        <c:minorTickMark val="in"/>
        <c:tickLblPos val="nextTo"/>
        <c:spPr>
          <a:ln w="12700" cmpd="sng">
            <a:solidFill>
              <a:srgbClr val="000000"/>
            </a:solidFill>
          </a:ln>
        </c:spPr>
        <c:crossAx val="431712760"/>
        <c:crosses val="autoZero"/>
        <c:crossBetween val="midCat"/>
        <c:majorUnit val="100.0"/>
        <c:minorUnit val="25.0"/>
      </c:valAx>
      <c:valAx>
        <c:axId val="431712760"/>
        <c:scaling>
          <c:orientation val="minMax"/>
          <c:max val="1200.0"/>
          <c:min val="400.0"/>
        </c:scaling>
        <c:delete val="0"/>
        <c:axPos val="l"/>
        <c:title>
          <c:tx>
            <c:rich>
              <a:bodyPr rot="-5400000" vert="horz"/>
              <a:lstStyle/>
              <a:p>
                <a:pPr>
                  <a:defRPr/>
                </a:pPr>
                <a:r>
                  <a:rPr lang="en-US"/>
                  <a:t>Flexural Strength </a:t>
                </a:r>
                <a:r>
                  <a:rPr lang="en-US" baseline="0"/>
                  <a:t>(MPa)</a:t>
                </a:r>
                <a:endParaRPr lang="en-US"/>
              </a:p>
            </c:rich>
          </c:tx>
          <c:overlay val="0"/>
        </c:title>
        <c:numFmt formatCode="0" sourceLinked="0"/>
        <c:majorTickMark val="out"/>
        <c:minorTickMark val="in"/>
        <c:tickLblPos val="nextTo"/>
        <c:spPr>
          <a:ln w="12700" cmpd="sng">
            <a:solidFill>
              <a:schemeClr val="tx1"/>
            </a:solidFill>
          </a:ln>
        </c:spPr>
        <c:crossAx val="431888312"/>
        <c:crosses val="autoZero"/>
        <c:crossBetween val="midCat"/>
        <c:majorUnit val="200.0"/>
        <c:minorUnit val="50.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42763319273409"/>
          <c:y val="0.0994034549822338"/>
          <c:w val="0.234221142489425"/>
          <c:h val="0.23736230859784"/>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34670864849831"/>
          <c:y val="0.0333333333333333"/>
          <c:w val="0.688812746817242"/>
          <c:h val="0.759599008457276"/>
        </c:manualLayout>
      </c:layout>
      <c:scatterChart>
        <c:scatterStyle val="lineMarker"/>
        <c:varyColors val="0"/>
        <c:ser>
          <c:idx val="0"/>
          <c:order val="0"/>
          <c:tx>
            <c:v>2% RH</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power"/>
            <c:dispRSqr val="0"/>
            <c:dispEq val="0"/>
          </c:trendline>
          <c:xVal>
            <c:numRef>
              <c:f>'Dry Flexure'!$A$4:$A$7</c:f>
              <c:numCache>
                <c:formatCode>General</c:formatCode>
                <c:ptCount val="4"/>
                <c:pt idx="0">
                  <c:v>68.9</c:v>
                </c:pt>
                <c:pt idx="1">
                  <c:v>206.8</c:v>
                </c:pt>
                <c:pt idx="2">
                  <c:v>344.7</c:v>
                </c:pt>
                <c:pt idx="3">
                  <c:v>482.6</c:v>
                </c:pt>
              </c:numCache>
            </c:numRef>
          </c:xVal>
          <c:yVal>
            <c:numRef>
              <c:f>'Dry Flexure'!$L$4:$L$7</c:f>
              <c:numCache>
                <c:formatCode>0.00</c:formatCode>
                <c:ptCount val="4"/>
                <c:pt idx="0">
                  <c:v>721.9409999999987</c:v>
                </c:pt>
                <c:pt idx="1">
                  <c:v>763.1559999999994</c:v>
                </c:pt>
                <c:pt idx="2">
                  <c:v>797.8579999999976</c:v>
                </c:pt>
                <c:pt idx="3">
                  <c:v>818.0509999999994</c:v>
                </c:pt>
              </c:numCache>
            </c:numRef>
          </c:yVal>
          <c:smooth val="0"/>
        </c:ser>
        <c:ser>
          <c:idx val="1"/>
          <c:order val="1"/>
          <c:tx>
            <c:v>40% RH</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power"/>
            <c:dispRSqr val="0"/>
            <c:dispEq val="0"/>
          </c:trendline>
          <c:xVal>
            <c:numRef>
              <c:f>'Dry Flexure'!$A$10:$A$13</c:f>
              <c:numCache>
                <c:formatCode>General</c:formatCode>
                <c:ptCount val="4"/>
                <c:pt idx="0">
                  <c:v>68.9</c:v>
                </c:pt>
                <c:pt idx="1">
                  <c:v>206.8</c:v>
                </c:pt>
                <c:pt idx="2">
                  <c:v>344.7</c:v>
                </c:pt>
                <c:pt idx="3">
                  <c:v>482.6</c:v>
                </c:pt>
              </c:numCache>
            </c:numRef>
          </c:xVal>
          <c:yVal>
            <c:numRef>
              <c:f>'Dry Flexure'!$L$10:$L$13</c:f>
              <c:numCache>
                <c:formatCode>0.00</c:formatCode>
                <c:ptCount val="4"/>
                <c:pt idx="0">
                  <c:v>670.771</c:v>
                </c:pt>
                <c:pt idx="1">
                  <c:v>868.074</c:v>
                </c:pt>
                <c:pt idx="2">
                  <c:v>779.784</c:v>
                </c:pt>
                <c:pt idx="3">
                  <c:v>967.3259999999987</c:v>
                </c:pt>
              </c:numCache>
            </c:numRef>
          </c:yVal>
          <c:smooth val="0"/>
        </c:ser>
        <c:ser>
          <c:idx val="2"/>
          <c:order val="2"/>
          <c:tx>
            <c:v>70% RH</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power"/>
            <c:dispRSqr val="0"/>
            <c:dispEq val="0"/>
          </c:trendline>
          <c:xVal>
            <c:numRef>
              <c:f>'Dry Flexure'!$A$16:$A$19</c:f>
              <c:numCache>
                <c:formatCode>General</c:formatCode>
                <c:ptCount val="4"/>
                <c:pt idx="0">
                  <c:v>68.9</c:v>
                </c:pt>
                <c:pt idx="1">
                  <c:v>206.8</c:v>
                </c:pt>
                <c:pt idx="2">
                  <c:v>344.7</c:v>
                </c:pt>
                <c:pt idx="3">
                  <c:v>482.6</c:v>
                </c:pt>
              </c:numCache>
            </c:numRef>
          </c:xVal>
          <c:yVal>
            <c:numRef>
              <c:f>'Dry Flexure'!$L$16:$L$19</c:f>
              <c:numCache>
                <c:formatCode>0.00</c:formatCode>
                <c:ptCount val="4"/>
                <c:pt idx="0">
                  <c:v>619.124</c:v>
                </c:pt>
                <c:pt idx="1">
                  <c:v>773.8359999999986</c:v>
                </c:pt>
                <c:pt idx="2">
                  <c:v>852.993</c:v>
                </c:pt>
                <c:pt idx="3">
                  <c:v>872.991</c:v>
                </c:pt>
              </c:numCache>
            </c:numRef>
          </c:yVal>
          <c:smooth val="0"/>
        </c:ser>
        <c:ser>
          <c:idx val="3"/>
          <c:order val="3"/>
          <c:tx>
            <c:v>99% RH</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power"/>
            <c:dispRSqr val="0"/>
            <c:dispEq val="0"/>
          </c:trendline>
          <c:xVal>
            <c:numRef>
              <c:f>'Dry Flexure'!$A$22:$A$25</c:f>
              <c:numCache>
                <c:formatCode>General</c:formatCode>
                <c:ptCount val="4"/>
                <c:pt idx="0">
                  <c:v>68.9</c:v>
                </c:pt>
                <c:pt idx="1">
                  <c:v>206.8</c:v>
                </c:pt>
                <c:pt idx="2">
                  <c:v>344.7</c:v>
                </c:pt>
                <c:pt idx="3">
                  <c:v>482.6</c:v>
                </c:pt>
              </c:numCache>
            </c:numRef>
          </c:xVal>
          <c:yVal>
            <c:numRef>
              <c:f>'Dry Flexure'!$L$22:$L$25</c:f>
              <c:numCache>
                <c:formatCode>0.00</c:formatCode>
                <c:ptCount val="4"/>
                <c:pt idx="0">
                  <c:v>562.192</c:v>
                </c:pt>
                <c:pt idx="1">
                  <c:v>683.8969999999994</c:v>
                </c:pt>
                <c:pt idx="2">
                  <c:v>741.683</c:v>
                </c:pt>
                <c:pt idx="3">
                  <c:v>772.769</c:v>
                </c:pt>
              </c:numCache>
            </c:numRef>
          </c:yVal>
          <c:smooth val="0"/>
        </c:ser>
        <c:dLbls>
          <c:showLegendKey val="0"/>
          <c:showVal val="0"/>
          <c:showCatName val="0"/>
          <c:showSerName val="0"/>
          <c:showPercent val="0"/>
          <c:showBubbleSize val="0"/>
        </c:dLbls>
        <c:axId val="431331288"/>
        <c:axId val="431336920"/>
      </c:scatterChart>
      <c:valAx>
        <c:axId val="431331288"/>
        <c:scaling>
          <c:orientation val="minMax"/>
          <c:max val="525.0"/>
          <c:min val="0.0"/>
        </c:scaling>
        <c:delete val="0"/>
        <c:axPos val="b"/>
        <c:title>
          <c:tx>
            <c:rich>
              <a:bodyPr/>
              <a:lstStyle/>
              <a:p>
                <a:pPr>
                  <a:defRPr/>
                </a:pPr>
                <a:r>
                  <a:rPr lang="en-US"/>
                  <a:t>Fabrication Pressure (kPa)</a:t>
                </a:r>
              </a:p>
            </c:rich>
          </c:tx>
          <c:overlay val="0"/>
        </c:title>
        <c:numFmt formatCode="General" sourceLinked="1"/>
        <c:majorTickMark val="out"/>
        <c:minorTickMark val="in"/>
        <c:tickLblPos val="nextTo"/>
        <c:spPr>
          <a:ln w="12700" cmpd="sng">
            <a:solidFill>
              <a:srgbClr val="000000"/>
            </a:solidFill>
          </a:ln>
        </c:spPr>
        <c:crossAx val="431336920"/>
        <c:crosses val="autoZero"/>
        <c:crossBetween val="midCat"/>
        <c:majorUnit val="100.0"/>
        <c:minorUnit val="25.0"/>
      </c:valAx>
      <c:valAx>
        <c:axId val="431336920"/>
        <c:scaling>
          <c:orientation val="minMax"/>
          <c:max val="1200.0"/>
          <c:min val="400.0"/>
        </c:scaling>
        <c:delete val="0"/>
        <c:axPos val="l"/>
        <c:title>
          <c:tx>
            <c:rich>
              <a:bodyPr rot="-5400000" vert="horz"/>
              <a:lstStyle/>
              <a:p>
                <a:pPr>
                  <a:defRPr/>
                </a:pPr>
                <a:r>
                  <a:rPr lang="en-US"/>
                  <a:t>Flexural Strength (MPa)</a:t>
                </a:r>
              </a:p>
            </c:rich>
          </c:tx>
          <c:overlay val="0"/>
        </c:title>
        <c:numFmt formatCode="0" sourceLinked="0"/>
        <c:majorTickMark val="out"/>
        <c:minorTickMark val="in"/>
        <c:tickLblPos val="nextTo"/>
        <c:spPr>
          <a:ln w="12700" cmpd="sng">
            <a:solidFill>
              <a:schemeClr val="tx1"/>
            </a:solidFill>
          </a:ln>
        </c:spPr>
        <c:crossAx val="431331288"/>
        <c:crosses val="autoZero"/>
        <c:crossBetween val="midCat"/>
        <c:majorUnit val="200.0"/>
        <c:minorUnit val="50.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47447633984922"/>
          <c:y val="0.0994034549822338"/>
          <c:w val="0.234221142489425"/>
          <c:h val="0.23736230859784"/>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234671147153372"/>
          <c:y val="0.0333333333333333"/>
          <c:w val="0.688812861603495"/>
          <c:h val="0.759599008457276"/>
        </c:manualLayout>
      </c:layout>
      <c:scatterChart>
        <c:scatterStyle val="lineMarker"/>
        <c:varyColors val="0"/>
        <c:ser>
          <c:idx val="0"/>
          <c:order val="0"/>
          <c:tx>
            <c:v>2% RH</c:v>
          </c:tx>
          <c:spPr>
            <a:ln w="47625">
              <a:noFill/>
            </a:ln>
            <a:effectLst/>
          </c:spPr>
          <c:marker>
            <c:symbol val="square"/>
            <c:size val="7"/>
            <c:spPr>
              <a:solidFill>
                <a:srgbClr val="0070C0"/>
              </a:solidFill>
              <a:ln w="12700">
                <a:solidFill>
                  <a:schemeClr val="tx1"/>
                </a:solidFill>
              </a:ln>
              <a:effectLst/>
            </c:spPr>
          </c:marker>
          <c:trendline>
            <c:spPr>
              <a:ln w="12700">
                <a:solidFill>
                  <a:srgbClr val="0070C0"/>
                </a:solidFill>
                <a:prstDash val="dash"/>
              </a:ln>
            </c:spPr>
            <c:trendlineType val="power"/>
            <c:dispRSqr val="0"/>
            <c:dispEq val="0"/>
          </c:trendline>
          <c:xVal>
            <c:numRef>
              <c:f>'Dry Flexure'!$A$4:$A$7</c:f>
              <c:numCache>
                <c:formatCode>General</c:formatCode>
                <c:ptCount val="4"/>
                <c:pt idx="0">
                  <c:v>68.9</c:v>
                </c:pt>
                <c:pt idx="1">
                  <c:v>206.8</c:v>
                </c:pt>
                <c:pt idx="2">
                  <c:v>344.7</c:v>
                </c:pt>
                <c:pt idx="3">
                  <c:v>482.6</c:v>
                </c:pt>
              </c:numCache>
            </c:numRef>
          </c:xVal>
          <c:yVal>
            <c:numRef>
              <c:f>'Dry Flexure'!$V$4:$V$7</c:f>
              <c:numCache>
                <c:formatCode>0.00</c:formatCode>
                <c:ptCount val="4"/>
                <c:pt idx="0">
                  <c:v>692.185</c:v>
                </c:pt>
                <c:pt idx="1">
                  <c:v>784.384</c:v>
                </c:pt>
                <c:pt idx="2">
                  <c:v>722.972</c:v>
                </c:pt>
                <c:pt idx="3">
                  <c:v>847.208</c:v>
                </c:pt>
              </c:numCache>
            </c:numRef>
          </c:yVal>
          <c:smooth val="0"/>
        </c:ser>
        <c:ser>
          <c:idx val="1"/>
          <c:order val="1"/>
          <c:tx>
            <c:v>40% RH</c:v>
          </c:tx>
          <c:spPr>
            <a:ln w="47625">
              <a:noFill/>
            </a:ln>
            <a:effectLst/>
          </c:spPr>
          <c:marker>
            <c:symbol val="triangle"/>
            <c:size val="7"/>
            <c:spPr>
              <a:solidFill>
                <a:srgbClr val="C00000"/>
              </a:solidFill>
              <a:ln w="12700">
                <a:solidFill>
                  <a:schemeClr val="tx1"/>
                </a:solidFill>
              </a:ln>
              <a:effectLst/>
            </c:spPr>
          </c:marker>
          <c:trendline>
            <c:spPr>
              <a:ln w="12700">
                <a:solidFill>
                  <a:srgbClr val="C00000"/>
                </a:solidFill>
                <a:prstDash val="dash"/>
              </a:ln>
            </c:spPr>
            <c:trendlineType val="power"/>
            <c:dispRSqr val="0"/>
            <c:dispEq val="0"/>
          </c:trendline>
          <c:xVal>
            <c:numRef>
              <c:f>'Dry Flexure'!$A$10:$A$13</c:f>
              <c:numCache>
                <c:formatCode>General</c:formatCode>
                <c:ptCount val="4"/>
                <c:pt idx="0">
                  <c:v>68.9</c:v>
                </c:pt>
                <c:pt idx="1">
                  <c:v>206.8</c:v>
                </c:pt>
                <c:pt idx="2">
                  <c:v>344.7</c:v>
                </c:pt>
                <c:pt idx="3">
                  <c:v>482.6</c:v>
                </c:pt>
              </c:numCache>
            </c:numRef>
          </c:xVal>
          <c:yVal>
            <c:numRef>
              <c:f>'Dry Flexure'!$V$10:$V$13</c:f>
              <c:numCache>
                <c:formatCode>0.00</c:formatCode>
                <c:ptCount val="4"/>
                <c:pt idx="0">
                  <c:v>665.686</c:v>
                </c:pt>
                <c:pt idx="1">
                  <c:v>781.011</c:v>
                </c:pt>
                <c:pt idx="2">
                  <c:v>690.294</c:v>
                </c:pt>
                <c:pt idx="3">
                  <c:v>607.5559999999994</c:v>
                </c:pt>
              </c:numCache>
            </c:numRef>
          </c:yVal>
          <c:smooth val="0"/>
        </c:ser>
        <c:ser>
          <c:idx val="2"/>
          <c:order val="2"/>
          <c:tx>
            <c:v>70% RH</c:v>
          </c:tx>
          <c:spPr>
            <a:ln w="47625">
              <a:noFill/>
            </a:ln>
            <a:effectLst/>
          </c:spPr>
          <c:marker>
            <c:symbol val="circle"/>
            <c:size val="7"/>
            <c:spPr>
              <a:solidFill>
                <a:srgbClr val="00B050"/>
              </a:solidFill>
              <a:ln w="12700">
                <a:solidFill>
                  <a:schemeClr val="tx1"/>
                </a:solidFill>
              </a:ln>
              <a:effectLst/>
            </c:spPr>
          </c:marker>
          <c:trendline>
            <c:spPr>
              <a:ln w="12700">
                <a:solidFill>
                  <a:srgbClr val="00B050"/>
                </a:solidFill>
                <a:prstDash val="dash"/>
              </a:ln>
            </c:spPr>
            <c:trendlineType val="power"/>
            <c:dispRSqr val="0"/>
            <c:dispEq val="0"/>
          </c:trendline>
          <c:xVal>
            <c:numRef>
              <c:f>'Dry Flexure'!$A$16:$A$19</c:f>
              <c:numCache>
                <c:formatCode>General</c:formatCode>
                <c:ptCount val="4"/>
                <c:pt idx="0">
                  <c:v>68.9</c:v>
                </c:pt>
                <c:pt idx="1">
                  <c:v>206.8</c:v>
                </c:pt>
                <c:pt idx="2">
                  <c:v>344.7</c:v>
                </c:pt>
                <c:pt idx="3">
                  <c:v>482.6</c:v>
                </c:pt>
              </c:numCache>
            </c:numRef>
          </c:xVal>
          <c:yVal>
            <c:numRef>
              <c:f>'Dry Flexure'!$V$16:$V$19</c:f>
              <c:numCache>
                <c:formatCode>0.00</c:formatCode>
                <c:ptCount val="4"/>
                <c:pt idx="0">
                  <c:v>653.178</c:v>
                </c:pt>
                <c:pt idx="1">
                  <c:v>733.732</c:v>
                </c:pt>
                <c:pt idx="2">
                  <c:v>774.239</c:v>
                </c:pt>
                <c:pt idx="3">
                  <c:v>793.8259999999987</c:v>
                </c:pt>
              </c:numCache>
            </c:numRef>
          </c:yVal>
          <c:smooth val="0"/>
        </c:ser>
        <c:ser>
          <c:idx val="3"/>
          <c:order val="3"/>
          <c:tx>
            <c:v>99% RH</c:v>
          </c:tx>
          <c:spPr>
            <a:ln w="47625">
              <a:noFill/>
            </a:ln>
            <a:effectLst/>
          </c:spPr>
          <c:marker>
            <c:symbol val="star"/>
            <c:size val="9"/>
            <c:spPr>
              <a:ln w="19050">
                <a:solidFill>
                  <a:srgbClr val="7030A0"/>
                </a:solidFill>
              </a:ln>
              <a:effectLst/>
            </c:spPr>
          </c:marker>
          <c:trendline>
            <c:spPr>
              <a:ln w="12700">
                <a:solidFill>
                  <a:srgbClr val="7030A0"/>
                </a:solidFill>
                <a:prstDash val="dash"/>
              </a:ln>
            </c:spPr>
            <c:trendlineType val="power"/>
            <c:dispRSqr val="0"/>
            <c:dispEq val="0"/>
          </c:trendline>
          <c:xVal>
            <c:numRef>
              <c:f>'Dry Flexure'!$A$22:$A$25</c:f>
              <c:numCache>
                <c:formatCode>General</c:formatCode>
                <c:ptCount val="4"/>
                <c:pt idx="0">
                  <c:v>68.9</c:v>
                </c:pt>
                <c:pt idx="1">
                  <c:v>206.8</c:v>
                </c:pt>
                <c:pt idx="2">
                  <c:v>344.7</c:v>
                </c:pt>
                <c:pt idx="3">
                  <c:v>482.6</c:v>
                </c:pt>
              </c:numCache>
            </c:numRef>
          </c:xVal>
          <c:yVal>
            <c:numRef>
              <c:f>'Dry Flexure'!$V$22:$V$25</c:f>
              <c:numCache>
                <c:formatCode>0.00</c:formatCode>
                <c:ptCount val="4"/>
                <c:pt idx="0">
                  <c:v>689.3589999999994</c:v>
                </c:pt>
                <c:pt idx="1">
                  <c:v>720.3049999999994</c:v>
                </c:pt>
                <c:pt idx="2">
                  <c:v>741.8390000000001</c:v>
                </c:pt>
                <c:pt idx="3">
                  <c:v>787.592</c:v>
                </c:pt>
              </c:numCache>
            </c:numRef>
          </c:yVal>
          <c:smooth val="0"/>
        </c:ser>
        <c:dLbls>
          <c:showLegendKey val="0"/>
          <c:showVal val="0"/>
          <c:showCatName val="0"/>
          <c:showSerName val="0"/>
          <c:showPercent val="0"/>
          <c:showBubbleSize val="0"/>
        </c:dLbls>
        <c:axId val="431264136"/>
        <c:axId val="431269768"/>
      </c:scatterChart>
      <c:valAx>
        <c:axId val="431264136"/>
        <c:scaling>
          <c:orientation val="minMax"/>
          <c:max val="525.0"/>
          <c:min val="0.0"/>
        </c:scaling>
        <c:delete val="0"/>
        <c:axPos val="b"/>
        <c:title>
          <c:tx>
            <c:rich>
              <a:bodyPr/>
              <a:lstStyle/>
              <a:p>
                <a:pPr>
                  <a:defRPr/>
                </a:pPr>
                <a:r>
                  <a:rPr lang="en-US"/>
                  <a:t>Fabrication Pressure (kPa)</a:t>
                </a:r>
              </a:p>
            </c:rich>
          </c:tx>
          <c:overlay val="0"/>
        </c:title>
        <c:numFmt formatCode="General" sourceLinked="1"/>
        <c:majorTickMark val="out"/>
        <c:minorTickMark val="in"/>
        <c:tickLblPos val="nextTo"/>
        <c:spPr>
          <a:ln w="12700" cmpd="sng">
            <a:solidFill>
              <a:srgbClr val="000000"/>
            </a:solidFill>
          </a:ln>
        </c:spPr>
        <c:crossAx val="431269768"/>
        <c:crosses val="autoZero"/>
        <c:crossBetween val="midCat"/>
        <c:majorUnit val="100.0"/>
        <c:minorUnit val="25.0"/>
      </c:valAx>
      <c:valAx>
        <c:axId val="431269768"/>
        <c:scaling>
          <c:orientation val="minMax"/>
          <c:max val="1200.0"/>
          <c:min val="400.0"/>
        </c:scaling>
        <c:delete val="0"/>
        <c:axPos val="l"/>
        <c:title>
          <c:tx>
            <c:rich>
              <a:bodyPr rot="-5400000" vert="horz"/>
              <a:lstStyle/>
              <a:p>
                <a:pPr>
                  <a:defRPr/>
                </a:pPr>
                <a:r>
                  <a:rPr lang="en-US"/>
                  <a:t>Flexural Strength (MPa)</a:t>
                </a:r>
              </a:p>
            </c:rich>
          </c:tx>
          <c:overlay val="0"/>
        </c:title>
        <c:numFmt formatCode="0" sourceLinked="0"/>
        <c:majorTickMark val="out"/>
        <c:minorTickMark val="in"/>
        <c:tickLblPos val="nextTo"/>
        <c:spPr>
          <a:ln w="12700" cmpd="sng">
            <a:solidFill>
              <a:schemeClr val="tx1"/>
            </a:solidFill>
          </a:ln>
        </c:spPr>
        <c:crossAx val="431264136"/>
        <c:crosses val="autoZero"/>
        <c:crossBetween val="midCat"/>
        <c:majorUnit val="200.0"/>
        <c:minorUnit val="50.0"/>
      </c:valAx>
      <c:spPr>
        <a:ln w="12700" cmpd="sng">
          <a:solidFill>
            <a:srgbClr val="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47447911575554"/>
          <c:y val="0.0994034549822338"/>
          <c:w val="0.234221142489425"/>
          <c:h val="0.237411304082018"/>
        </c:manualLayout>
      </c:layout>
      <c:overlay val="1"/>
      <c:spPr>
        <a:noFill/>
      </c:spPr>
      <c:txPr>
        <a:bodyPr/>
        <a:lstStyle/>
        <a:p>
          <a:pPr>
            <a:defRPr sz="1000"/>
          </a:pPr>
          <a:endParaRPr lang="en-US"/>
        </a:p>
      </c:txPr>
    </c:legend>
    <c:plotVisOnly val="1"/>
    <c:dispBlanksAs val="gap"/>
    <c:showDLblsOverMax val="0"/>
  </c:chart>
  <c:spPr>
    <a:ln>
      <a:noFill/>
    </a:ln>
  </c:spPr>
  <c:txPr>
    <a:bodyPr/>
    <a:lstStyle/>
    <a:p>
      <a:pPr>
        <a:defRPr sz="1200">
          <a:latin typeface="Times New Roman"/>
          <a:cs typeface="Times New Roman"/>
        </a:defRPr>
      </a:pPr>
      <a:endParaRPr lang="en-US"/>
    </a:p>
  </c:txPr>
  <c:externalData r:id="rId1">
    <c:autoUpdate val="0"/>
  </c:externalData>
  <c:userShapes r:id="rId2"/>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3711019173451"/>
          <c:y val="0.0333333333333333"/>
          <c:w val="0.750570903213369"/>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square"/>
            <c:size val="5"/>
            <c:spPr>
              <a:solidFill>
                <a:srgbClr val="0070C0">
                  <a:alpha val="50000"/>
                </a:srgbClr>
              </a:solidFill>
              <a:ln w="12700">
                <a:solidFill>
                  <a:schemeClr val="tx1"/>
                </a:solidFill>
              </a:ln>
            </c:spPr>
          </c:marker>
          <c:errBars>
            <c:errDir val="y"/>
            <c:errBarType val="both"/>
            <c:errValType val="cust"/>
            <c:noEndCap val="0"/>
            <c:plus>
              <c:numRef>
                <c:f>'BMI-Absorption-10psi'!$C$4:$C$29</c:f>
                <c:numCache>
                  <c:formatCode>General</c:formatCode>
                  <c:ptCount val="26"/>
                  <c:pt idx="0">
                    <c:v>0.107</c:v>
                  </c:pt>
                  <c:pt idx="1">
                    <c:v>0.13</c:v>
                  </c:pt>
                  <c:pt idx="2">
                    <c:v>0.262</c:v>
                  </c:pt>
                  <c:pt idx="3">
                    <c:v>0.443</c:v>
                  </c:pt>
                  <c:pt idx="4">
                    <c:v>0.625</c:v>
                  </c:pt>
                  <c:pt idx="5">
                    <c:v>0.722</c:v>
                  </c:pt>
                  <c:pt idx="6">
                    <c:v>0.766</c:v>
                  </c:pt>
                  <c:pt idx="7">
                    <c:v>0.795</c:v>
                  </c:pt>
                  <c:pt idx="8">
                    <c:v>0.795</c:v>
                  </c:pt>
                  <c:pt idx="9">
                    <c:v>0.797</c:v>
                  </c:pt>
                  <c:pt idx="10">
                    <c:v>0.808</c:v>
                  </c:pt>
                  <c:pt idx="11">
                    <c:v>0.791</c:v>
                  </c:pt>
                  <c:pt idx="12">
                    <c:v>0.778</c:v>
                  </c:pt>
                  <c:pt idx="13">
                    <c:v>0.781</c:v>
                  </c:pt>
                  <c:pt idx="14">
                    <c:v>0.794</c:v>
                  </c:pt>
                  <c:pt idx="15">
                    <c:v>0.801</c:v>
                  </c:pt>
                  <c:pt idx="16">
                    <c:v>0.812</c:v>
                  </c:pt>
                  <c:pt idx="17">
                    <c:v>0.811</c:v>
                  </c:pt>
                  <c:pt idx="18">
                    <c:v>0.8</c:v>
                  </c:pt>
                  <c:pt idx="19">
                    <c:v>0.801</c:v>
                  </c:pt>
                  <c:pt idx="20">
                    <c:v>0.8</c:v>
                  </c:pt>
                  <c:pt idx="21">
                    <c:v>0.802</c:v>
                  </c:pt>
                  <c:pt idx="22">
                    <c:v>0.796</c:v>
                  </c:pt>
                  <c:pt idx="23">
                    <c:v>0.811</c:v>
                  </c:pt>
                  <c:pt idx="24">
                    <c:v>0.799</c:v>
                  </c:pt>
                  <c:pt idx="25">
                    <c:v>0.785</c:v>
                  </c:pt>
                </c:numCache>
              </c:numRef>
            </c:plus>
            <c:minus>
              <c:numRef>
                <c:f>'BMI-Absorption-10psi'!$C$4:$C$29</c:f>
                <c:numCache>
                  <c:formatCode>General</c:formatCode>
                  <c:ptCount val="26"/>
                  <c:pt idx="0">
                    <c:v>0.107</c:v>
                  </c:pt>
                  <c:pt idx="1">
                    <c:v>0.13</c:v>
                  </c:pt>
                  <c:pt idx="2">
                    <c:v>0.262</c:v>
                  </c:pt>
                  <c:pt idx="3">
                    <c:v>0.443</c:v>
                  </c:pt>
                  <c:pt idx="4">
                    <c:v>0.625</c:v>
                  </c:pt>
                  <c:pt idx="5">
                    <c:v>0.722</c:v>
                  </c:pt>
                  <c:pt idx="6">
                    <c:v>0.766</c:v>
                  </c:pt>
                  <c:pt idx="7">
                    <c:v>0.795</c:v>
                  </c:pt>
                  <c:pt idx="8">
                    <c:v>0.795</c:v>
                  </c:pt>
                  <c:pt idx="9">
                    <c:v>0.797</c:v>
                  </c:pt>
                  <c:pt idx="10">
                    <c:v>0.808</c:v>
                  </c:pt>
                  <c:pt idx="11">
                    <c:v>0.791</c:v>
                  </c:pt>
                  <c:pt idx="12">
                    <c:v>0.778</c:v>
                  </c:pt>
                  <c:pt idx="13">
                    <c:v>0.781</c:v>
                  </c:pt>
                  <c:pt idx="14">
                    <c:v>0.794</c:v>
                  </c:pt>
                  <c:pt idx="15">
                    <c:v>0.801</c:v>
                  </c:pt>
                  <c:pt idx="16">
                    <c:v>0.812</c:v>
                  </c:pt>
                  <c:pt idx="17">
                    <c:v>0.811</c:v>
                  </c:pt>
                  <c:pt idx="18">
                    <c:v>0.8</c:v>
                  </c:pt>
                  <c:pt idx="19">
                    <c:v>0.801</c:v>
                  </c:pt>
                  <c:pt idx="20">
                    <c:v>0.8</c:v>
                  </c:pt>
                  <c:pt idx="21">
                    <c:v>0.802</c:v>
                  </c:pt>
                  <c:pt idx="22">
                    <c:v>0.796</c:v>
                  </c:pt>
                  <c:pt idx="23">
                    <c:v>0.811</c:v>
                  </c:pt>
                  <c:pt idx="24">
                    <c:v>0.799</c:v>
                  </c:pt>
                  <c:pt idx="25">
                    <c:v>0.785</c:v>
                  </c:pt>
                </c:numCache>
              </c:numRef>
            </c:minus>
            <c:spPr>
              <a:ln w="12700">
                <a:solidFill>
                  <a:srgbClr val="0070C0"/>
                </a:solidFill>
              </a:ln>
            </c:spPr>
          </c:errBars>
          <c:xVal>
            <c:numRef>
              <c:f>'BMI-Absorption-10psi'!$A$4:$A$34</c:f>
              <c:numCache>
                <c:formatCode>General</c:formatCode>
                <c:ptCount val="31"/>
                <c:pt idx="0">
                  <c:v>1.45</c:v>
                </c:pt>
                <c:pt idx="1">
                  <c:v>2.22</c:v>
                </c:pt>
                <c:pt idx="2">
                  <c:v>5.22</c:v>
                </c:pt>
                <c:pt idx="3">
                  <c:v>8.5</c:v>
                </c:pt>
                <c:pt idx="4">
                  <c:v>13.88</c:v>
                </c:pt>
                <c:pt idx="5">
                  <c:v>19.66</c:v>
                </c:pt>
                <c:pt idx="6">
                  <c:v>25.49</c:v>
                </c:pt>
                <c:pt idx="7">
                  <c:v>31.39</c:v>
                </c:pt>
                <c:pt idx="8">
                  <c:v>37.34</c:v>
                </c:pt>
                <c:pt idx="9">
                  <c:v>42.7</c:v>
                </c:pt>
                <c:pt idx="10">
                  <c:v>48.48</c:v>
                </c:pt>
                <c:pt idx="11">
                  <c:v>53.89</c:v>
                </c:pt>
                <c:pt idx="12">
                  <c:v>59.42</c:v>
                </c:pt>
                <c:pt idx="13">
                  <c:v>66.6</c:v>
                </c:pt>
                <c:pt idx="14">
                  <c:v>71.33</c:v>
                </c:pt>
                <c:pt idx="15">
                  <c:v>76.99</c:v>
                </c:pt>
                <c:pt idx="16">
                  <c:v>82.25</c:v>
                </c:pt>
                <c:pt idx="17">
                  <c:v>88.72</c:v>
                </c:pt>
                <c:pt idx="18">
                  <c:v>93.7</c:v>
                </c:pt>
                <c:pt idx="19">
                  <c:v>98.93</c:v>
                </c:pt>
                <c:pt idx="20">
                  <c:v>105.41</c:v>
                </c:pt>
                <c:pt idx="21">
                  <c:v>111.49</c:v>
                </c:pt>
                <c:pt idx="22">
                  <c:v>116.64</c:v>
                </c:pt>
                <c:pt idx="23">
                  <c:v>121.68</c:v>
                </c:pt>
                <c:pt idx="24">
                  <c:v>127.94</c:v>
                </c:pt>
                <c:pt idx="25">
                  <c:v>133.33</c:v>
                </c:pt>
                <c:pt idx="30">
                  <c:v>138.54</c:v>
                </c:pt>
              </c:numCache>
            </c:numRef>
          </c:xVal>
          <c:yVal>
            <c:numRef>
              <c:f>'BMI-Absorption-10psi'!$B$4:$B$34</c:f>
              <c:numCache>
                <c:formatCode>General</c:formatCode>
                <c:ptCount val="31"/>
                <c:pt idx="0">
                  <c:v>0.3625</c:v>
                </c:pt>
                <c:pt idx="1">
                  <c:v>0.4303</c:v>
                </c:pt>
                <c:pt idx="2">
                  <c:v>0.7592</c:v>
                </c:pt>
                <c:pt idx="3">
                  <c:v>1.0642</c:v>
                </c:pt>
                <c:pt idx="4">
                  <c:v>1.3768</c:v>
                </c:pt>
                <c:pt idx="5">
                  <c:v>1.589</c:v>
                </c:pt>
                <c:pt idx="6">
                  <c:v>1.6893</c:v>
                </c:pt>
                <c:pt idx="7">
                  <c:v>1.8011</c:v>
                </c:pt>
                <c:pt idx="8">
                  <c:v>1.8648</c:v>
                </c:pt>
                <c:pt idx="9">
                  <c:v>1.921</c:v>
                </c:pt>
                <c:pt idx="10">
                  <c:v>1.9774</c:v>
                </c:pt>
                <c:pt idx="11">
                  <c:v>2.0176</c:v>
                </c:pt>
                <c:pt idx="12">
                  <c:v>2.0442</c:v>
                </c:pt>
                <c:pt idx="13">
                  <c:v>2.0537</c:v>
                </c:pt>
                <c:pt idx="14">
                  <c:v>2.0881</c:v>
                </c:pt>
                <c:pt idx="15">
                  <c:v>2.1533</c:v>
                </c:pt>
                <c:pt idx="16">
                  <c:v>2.2735</c:v>
                </c:pt>
                <c:pt idx="17">
                  <c:v>2.336399999999998</c:v>
                </c:pt>
                <c:pt idx="18">
                  <c:v>2.406699999999998</c:v>
                </c:pt>
                <c:pt idx="19">
                  <c:v>2.4607</c:v>
                </c:pt>
                <c:pt idx="20">
                  <c:v>2.5377</c:v>
                </c:pt>
                <c:pt idx="21">
                  <c:v>2.6162</c:v>
                </c:pt>
                <c:pt idx="22">
                  <c:v>2.6313</c:v>
                </c:pt>
                <c:pt idx="23">
                  <c:v>2.6694</c:v>
                </c:pt>
                <c:pt idx="24">
                  <c:v>2.6628</c:v>
                </c:pt>
                <c:pt idx="25">
                  <c:v>2.6555</c:v>
                </c:pt>
              </c:numCache>
            </c:numRef>
          </c:yVal>
          <c:smooth val="0"/>
        </c:ser>
        <c:ser>
          <c:idx val="1"/>
          <c:order val="2"/>
          <c:tx>
            <c:v>40% RH</c:v>
          </c:tx>
          <c:spPr>
            <a:ln w="28575">
              <a:noFill/>
            </a:ln>
          </c:spPr>
          <c:marker>
            <c:symbol val="square"/>
            <c:size val="5"/>
            <c:spPr>
              <a:solidFill>
                <a:srgbClr val="C00000">
                  <a:alpha val="50000"/>
                </a:srgbClr>
              </a:solidFill>
              <a:ln w="12700">
                <a:solidFill>
                  <a:sysClr val="windowText" lastClr="000000"/>
                </a:solidFill>
              </a:ln>
            </c:spPr>
          </c:marker>
          <c:errBars>
            <c:errDir val="y"/>
            <c:errBarType val="both"/>
            <c:errValType val="cust"/>
            <c:noEndCap val="0"/>
            <c:plus>
              <c:numRef>
                <c:f>'BMI-Absorption-10psi'!$I$4:$I$29</c:f>
                <c:numCache>
                  <c:formatCode>General</c:formatCode>
                  <c:ptCount val="26"/>
                  <c:pt idx="0">
                    <c:v>0.176</c:v>
                  </c:pt>
                  <c:pt idx="1">
                    <c:v>0.294</c:v>
                  </c:pt>
                  <c:pt idx="2">
                    <c:v>0.562</c:v>
                  </c:pt>
                  <c:pt idx="3">
                    <c:v>0.75</c:v>
                  </c:pt>
                  <c:pt idx="4">
                    <c:v>0.996</c:v>
                  </c:pt>
                  <c:pt idx="5">
                    <c:v>1.12</c:v>
                  </c:pt>
                  <c:pt idx="6">
                    <c:v>1.175</c:v>
                  </c:pt>
                  <c:pt idx="7">
                    <c:v>1.147</c:v>
                  </c:pt>
                  <c:pt idx="8">
                    <c:v>1.227</c:v>
                  </c:pt>
                  <c:pt idx="9">
                    <c:v>1.321</c:v>
                  </c:pt>
                  <c:pt idx="10">
                    <c:v>1.342</c:v>
                  </c:pt>
                  <c:pt idx="11">
                    <c:v>1.398</c:v>
                  </c:pt>
                  <c:pt idx="12">
                    <c:v>1.488</c:v>
                  </c:pt>
                  <c:pt idx="13">
                    <c:v>1.56</c:v>
                  </c:pt>
                  <c:pt idx="14">
                    <c:v>1.629</c:v>
                  </c:pt>
                  <c:pt idx="15">
                    <c:v>1.635</c:v>
                  </c:pt>
                  <c:pt idx="16">
                    <c:v>1.67</c:v>
                  </c:pt>
                  <c:pt idx="17">
                    <c:v>1.673</c:v>
                  </c:pt>
                  <c:pt idx="18">
                    <c:v>1.714</c:v>
                  </c:pt>
                  <c:pt idx="19">
                    <c:v>1.708</c:v>
                  </c:pt>
                  <c:pt idx="20">
                    <c:v>1.725</c:v>
                  </c:pt>
                  <c:pt idx="21">
                    <c:v>1.739</c:v>
                  </c:pt>
                  <c:pt idx="22">
                    <c:v>1.747</c:v>
                  </c:pt>
                  <c:pt idx="23">
                    <c:v>1.744</c:v>
                  </c:pt>
                  <c:pt idx="24">
                    <c:v>1.754</c:v>
                  </c:pt>
                  <c:pt idx="25">
                    <c:v>1.755</c:v>
                  </c:pt>
                </c:numCache>
              </c:numRef>
            </c:plus>
            <c:minus>
              <c:numRef>
                <c:f>'BMI-Absorption-10psi'!$I$4:$I$29</c:f>
                <c:numCache>
                  <c:formatCode>General</c:formatCode>
                  <c:ptCount val="26"/>
                  <c:pt idx="0">
                    <c:v>0.176</c:v>
                  </c:pt>
                  <c:pt idx="1">
                    <c:v>0.294</c:v>
                  </c:pt>
                  <c:pt idx="2">
                    <c:v>0.562</c:v>
                  </c:pt>
                  <c:pt idx="3">
                    <c:v>0.75</c:v>
                  </c:pt>
                  <c:pt idx="4">
                    <c:v>0.996</c:v>
                  </c:pt>
                  <c:pt idx="5">
                    <c:v>1.12</c:v>
                  </c:pt>
                  <c:pt idx="6">
                    <c:v>1.175</c:v>
                  </c:pt>
                  <c:pt idx="7">
                    <c:v>1.147</c:v>
                  </c:pt>
                  <c:pt idx="8">
                    <c:v>1.227</c:v>
                  </c:pt>
                  <c:pt idx="9">
                    <c:v>1.321</c:v>
                  </c:pt>
                  <c:pt idx="10">
                    <c:v>1.342</c:v>
                  </c:pt>
                  <c:pt idx="11">
                    <c:v>1.398</c:v>
                  </c:pt>
                  <c:pt idx="12">
                    <c:v>1.488</c:v>
                  </c:pt>
                  <c:pt idx="13">
                    <c:v>1.56</c:v>
                  </c:pt>
                  <c:pt idx="14">
                    <c:v>1.629</c:v>
                  </c:pt>
                  <c:pt idx="15">
                    <c:v>1.635</c:v>
                  </c:pt>
                  <c:pt idx="16">
                    <c:v>1.67</c:v>
                  </c:pt>
                  <c:pt idx="17">
                    <c:v>1.673</c:v>
                  </c:pt>
                  <c:pt idx="18">
                    <c:v>1.714</c:v>
                  </c:pt>
                  <c:pt idx="19">
                    <c:v>1.708</c:v>
                  </c:pt>
                  <c:pt idx="20">
                    <c:v>1.725</c:v>
                  </c:pt>
                  <c:pt idx="21">
                    <c:v>1.739</c:v>
                  </c:pt>
                  <c:pt idx="22">
                    <c:v>1.747</c:v>
                  </c:pt>
                  <c:pt idx="23">
                    <c:v>1.744</c:v>
                  </c:pt>
                  <c:pt idx="24">
                    <c:v>1.754</c:v>
                  </c:pt>
                  <c:pt idx="25">
                    <c:v>1.755</c:v>
                  </c:pt>
                </c:numCache>
              </c:numRef>
            </c:minus>
            <c:spPr>
              <a:ln w="12700">
                <a:solidFill>
                  <a:srgbClr val="C00000"/>
                </a:solidFill>
              </a:ln>
            </c:spPr>
          </c:errBars>
          <c:xVal>
            <c:numRef>
              <c:f>'BMI-Absorption-10psi'!$G$4:$G$34</c:f>
              <c:numCache>
                <c:formatCode>General</c:formatCode>
                <c:ptCount val="31"/>
                <c:pt idx="0">
                  <c:v>1.5</c:v>
                </c:pt>
                <c:pt idx="1">
                  <c:v>2.25</c:v>
                </c:pt>
                <c:pt idx="2">
                  <c:v>5.23</c:v>
                </c:pt>
                <c:pt idx="3">
                  <c:v>8.51</c:v>
                </c:pt>
                <c:pt idx="4">
                  <c:v>13.88</c:v>
                </c:pt>
                <c:pt idx="5">
                  <c:v>19.66</c:v>
                </c:pt>
                <c:pt idx="6">
                  <c:v>25.5</c:v>
                </c:pt>
                <c:pt idx="7">
                  <c:v>31.39</c:v>
                </c:pt>
                <c:pt idx="8">
                  <c:v>37.34</c:v>
                </c:pt>
                <c:pt idx="9">
                  <c:v>42.7</c:v>
                </c:pt>
                <c:pt idx="10">
                  <c:v>48.48</c:v>
                </c:pt>
                <c:pt idx="11">
                  <c:v>53.89</c:v>
                </c:pt>
                <c:pt idx="12">
                  <c:v>59.42</c:v>
                </c:pt>
                <c:pt idx="13">
                  <c:v>66.6</c:v>
                </c:pt>
                <c:pt idx="14">
                  <c:v>71.33</c:v>
                </c:pt>
                <c:pt idx="15">
                  <c:v>76.99</c:v>
                </c:pt>
                <c:pt idx="16">
                  <c:v>82.25</c:v>
                </c:pt>
                <c:pt idx="17">
                  <c:v>88.72</c:v>
                </c:pt>
                <c:pt idx="18">
                  <c:v>93.7</c:v>
                </c:pt>
                <c:pt idx="19">
                  <c:v>98.93</c:v>
                </c:pt>
                <c:pt idx="20">
                  <c:v>105.41</c:v>
                </c:pt>
                <c:pt idx="21">
                  <c:v>111.49</c:v>
                </c:pt>
                <c:pt idx="22">
                  <c:v>116.64</c:v>
                </c:pt>
                <c:pt idx="23">
                  <c:v>121.68</c:v>
                </c:pt>
                <c:pt idx="24">
                  <c:v>127.94</c:v>
                </c:pt>
                <c:pt idx="25">
                  <c:v>133.33</c:v>
                </c:pt>
              </c:numCache>
            </c:numRef>
          </c:xVal>
          <c:yVal>
            <c:numRef>
              <c:f>'BMI-Absorption-10psi'!$H$4:$H$34</c:f>
              <c:numCache>
                <c:formatCode>General</c:formatCode>
                <c:ptCount val="31"/>
                <c:pt idx="0">
                  <c:v>0.7608</c:v>
                </c:pt>
                <c:pt idx="1">
                  <c:v>1.036</c:v>
                </c:pt>
                <c:pt idx="2">
                  <c:v>1.9492</c:v>
                </c:pt>
                <c:pt idx="3">
                  <c:v>2.7458</c:v>
                </c:pt>
                <c:pt idx="4">
                  <c:v>3.675</c:v>
                </c:pt>
                <c:pt idx="5">
                  <c:v>4.1818</c:v>
                </c:pt>
                <c:pt idx="6">
                  <c:v>4.395499999999997</c:v>
                </c:pt>
                <c:pt idx="7">
                  <c:v>4.4872</c:v>
                </c:pt>
                <c:pt idx="8">
                  <c:v>4.647399999999997</c:v>
                </c:pt>
                <c:pt idx="9">
                  <c:v>4.7893</c:v>
                </c:pt>
                <c:pt idx="10">
                  <c:v>4.9489</c:v>
                </c:pt>
                <c:pt idx="11">
                  <c:v>5.0461</c:v>
                </c:pt>
                <c:pt idx="12">
                  <c:v>5.152999999999989</c:v>
                </c:pt>
                <c:pt idx="13">
                  <c:v>5.265099999999999</c:v>
                </c:pt>
                <c:pt idx="14">
                  <c:v>5.317899999999986</c:v>
                </c:pt>
                <c:pt idx="15">
                  <c:v>5.3957</c:v>
                </c:pt>
                <c:pt idx="16">
                  <c:v>5.5823</c:v>
                </c:pt>
                <c:pt idx="17">
                  <c:v>5.6815</c:v>
                </c:pt>
                <c:pt idx="18">
                  <c:v>5.7996</c:v>
                </c:pt>
                <c:pt idx="19">
                  <c:v>5.9095</c:v>
                </c:pt>
                <c:pt idx="20">
                  <c:v>5.9633</c:v>
                </c:pt>
                <c:pt idx="21">
                  <c:v>6.0123</c:v>
                </c:pt>
                <c:pt idx="22">
                  <c:v>6.0567</c:v>
                </c:pt>
                <c:pt idx="23">
                  <c:v>6.0722</c:v>
                </c:pt>
                <c:pt idx="24">
                  <c:v>6.115899999999995</c:v>
                </c:pt>
                <c:pt idx="25">
                  <c:v>6.1065</c:v>
                </c:pt>
              </c:numCache>
            </c:numRef>
          </c:yVal>
          <c:smooth val="0"/>
        </c:ser>
        <c:ser>
          <c:idx val="2"/>
          <c:order val="3"/>
          <c:tx>
            <c:v>70% RH</c:v>
          </c:tx>
          <c:spPr>
            <a:ln w="28575">
              <a:noFill/>
            </a:ln>
          </c:spPr>
          <c:marker>
            <c:symbol val="square"/>
            <c:size val="5"/>
            <c:spPr>
              <a:solidFill>
                <a:srgbClr val="00B050">
                  <a:alpha val="50000"/>
                </a:srgbClr>
              </a:solidFill>
              <a:ln w="12700">
                <a:solidFill>
                  <a:sysClr val="windowText" lastClr="000000"/>
                </a:solidFill>
              </a:ln>
            </c:spPr>
          </c:marker>
          <c:errBars>
            <c:errDir val="y"/>
            <c:errBarType val="both"/>
            <c:errValType val="cust"/>
            <c:noEndCap val="0"/>
            <c:plus>
              <c:numRef>
                <c:f>'BMI-Absorption-10psi'!$O$4:$O$29</c:f>
                <c:numCache>
                  <c:formatCode>General</c:formatCode>
                  <c:ptCount val="26"/>
                  <c:pt idx="0">
                    <c:v>0.105</c:v>
                  </c:pt>
                  <c:pt idx="1">
                    <c:v>0.162</c:v>
                  </c:pt>
                  <c:pt idx="2">
                    <c:v>0.187</c:v>
                  </c:pt>
                  <c:pt idx="3">
                    <c:v>0.195</c:v>
                  </c:pt>
                  <c:pt idx="4">
                    <c:v>0.281</c:v>
                  </c:pt>
                  <c:pt idx="5">
                    <c:v>0.351</c:v>
                  </c:pt>
                  <c:pt idx="6">
                    <c:v>0.376</c:v>
                  </c:pt>
                  <c:pt idx="7">
                    <c:v>0.385</c:v>
                  </c:pt>
                  <c:pt idx="8">
                    <c:v>0.468</c:v>
                  </c:pt>
                  <c:pt idx="9">
                    <c:v>0.533</c:v>
                  </c:pt>
                  <c:pt idx="10">
                    <c:v>0.554</c:v>
                  </c:pt>
                  <c:pt idx="11">
                    <c:v>0.59</c:v>
                  </c:pt>
                  <c:pt idx="12">
                    <c:v>0.664</c:v>
                  </c:pt>
                  <c:pt idx="13">
                    <c:v>0.668</c:v>
                  </c:pt>
                  <c:pt idx="14">
                    <c:v>0.713</c:v>
                  </c:pt>
                  <c:pt idx="15">
                    <c:v>0.701</c:v>
                  </c:pt>
                  <c:pt idx="16">
                    <c:v>0.743</c:v>
                  </c:pt>
                  <c:pt idx="17">
                    <c:v>0.716</c:v>
                  </c:pt>
                  <c:pt idx="18">
                    <c:v>0.757</c:v>
                  </c:pt>
                  <c:pt idx="19">
                    <c:v>0.766</c:v>
                  </c:pt>
                  <c:pt idx="20">
                    <c:v>0.764</c:v>
                  </c:pt>
                  <c:pt idx="21">
                    <c:v>0.788</c:v>
                  </c:pt>
                  <c:pt idx="22">
                    <c:v>0.773</c:v>
                  </c:pt>
                  <c:pt idx="23">
                    <c:v>0.796</c:v>
                  </c:pt>
                  <c:pt idx="24">
                    <c:v>0.801</c:v>
                  </c:pt>
                  <c:pt idx="25">
                    <c:v>0.809</c:v>
                  </c:pt>
                </c:numCache>
              </c:numRef>
            </c:plus>
            <c:minus>
              <c:numRef>
                <c:f>'BMI-Absorption-10psi'!$O$4:$O$29</c:f>
                <c:numCache>
                  <c:formatCode>General</c:formatCode>
                  <c:ptCount val="26"/>
                  <c:pt idx="0">
                    <c:v>0.105</c:v>
                  </c:pt>
                  <c:pt idx="1">
                    <c:v>0.162</c:v>
                  </c:pt>
                  <c:pt idx="2">
                    <c:v>0.187</c:v>
                  </c:pt>
                  <c:pt idx="3">
                    <c:v>0.195</c:v>
                  </c:pt>
                  <c:pt idx="4">
                    <c:v>0.281</c:v>
                  </c:pt>
                  <c:pt idx="5">
                    <c:v>0.351</c:v>
                  </c:pt>
                  <c:pt idx="6">
                    <c:v>0.376</c:v>
                  </c:pt>
                  <c:pt idx="7">
                    <c:v>0.385</c:v>
                  </c:pt>
                  <c:pt idx="8">
                    <c:v>0.468</c:v>
                  </c:pt>
                  <c:pt idx="9">
                    <c:v>0.533</c:v>
                  </c:pt>
                  <c:pt idx="10">
                    <c:v>0.554</c:v>
                  </c:pt>
                  <c:pt idx="11">
                    <c:v>0.59</c:v>
                  </c:pt>
                  <c:pt idx="12">
                    <c:v>0.664</c:v>
                  </c:pt>
                  <c:pt idx="13">
                    <c:v>0.668</c:v>
                  </c:pt>
                  <c:pt idx="14">
                    <c:v>0.713</c:v>
                  </c:pt>
                  <c:pt idx="15">
                    <c:v>0.701</c:v>
                  </c:pt>
                  <c:pt idx="16">
                    <c:v>0.743</c:v>
                  </c:pt>
                  <c:pt idx="17">
                    <c:v>0.716</c:v>
                  </c:pt>
                  <c:pt idx="18">
                    <c:v>0.757</c:v>
                  </c:pt>
                  <c:pt idx="19">
                    <c:v>0.766</c:v>
                  </c:pt>
                  <c:pt idx="20">
                    <c:v>0.764</c:v>
                  </c:pt>
                  <c:pt idx="21">
                    <c:v>0.788</c:v>
                  </c:pt>
                  <c:pt idx="22">
                    <c:v>0.773</c:v>
                  </c:pt>
                  <c:pt idx="23">
                    <c:v>0.796</c:v>
                  </c:pt>
                  <c:pt idx="24">
                    <c:v>0.801</c:v>
                  </c:pt>
                  <c:pt idx="25">
                    <c:v>0.809</c:v>
                  </c:pt>
                </c:numCache>
              </c:numRef>
            </c:minus>
            <c:spPr>
              <a:ln w="12700">
                <a:solidFill>
                  <a:srgbClr val="00B050"/>
                </a:solidFill>
              </a:ln>
            </c:spPr>
          </c:errBars>
          <c:xVal>
            <c:numRef>
              <c:f>'BMI-Absorption-10psi'!$M$4:$M$34</c:f>
              <c:numCache>
                <c:formatCode>General</c:formatCode>
                <c:ptCount val="31"/>
                <c:pt idx="0">
                  <c:v>1.55</c:v>
                </c:pt>
                <c:pt idx="1">
                  <c:v>2.28</c:v>
                </c:pt>
                <c:pt idx="2">
                  <c:v>5.24</c:v>
                </c:pt>
                <c:pt idx="3">
                  <c:v>8.52</c:v>
                </c:pt>
                <c:pt idx="4">
                  <c:v>13.89</c:v>
                </c:pt>
                <c:pt idx="5">
                  <c:v>19.67000000000001</c:v>
                </c:pt>
                <c:pt idx="6">
                  <c:v>25.5</c:v>
                </c:pt>
                <c:pt idx="7">
                  <c:v>31.4</c:v>
                </c:pt>
                <c:pt idx="8">
                  <c:v>37.35</c:v>
                </c:pt>
                <c:pt idx="9">
                  <c:v>42.7</c:v>
                </c:pt>
                <c:pt idx="10">
                  <c:v>48.49</c:v>
                </c:pt>
                <c:pt idx="11">
                  <c:v>53.89</c:v>
                </c:pt>
                <c:pt idx="12">
                  <c:v>59.42</c:v>
                </c:pt>
                <c:pt idx="13">
                  <c:v>66.6</c:v>
                </c:pt>
                <c:pt idx="14">
                  <c:v>71.33</c:v>
                </c:pt>
                <c:pt idx="15">
                  <c:v>76.99</c:v>
                </c:pt>
                <c:pt idx="16">
                  <c:v>82.25</c:v>
                </c:pt>
                <c:pt idx="17">
                  <c:v>88.72</c:v>
                </c:pt>
                <c:pt idx="18">
                  <c:v>93.71</c:v>
                </c:pt>
                <c:pt idx="19">
                  <c:v>98.93</c:v>
                </c:pt>
                <c:pt idx="20">
                  <c:v>105.41</c:v>
                </c:pt>
                <c:pt idx="21">
                  <c:v>111.5</c:v>
                </c:pt>
                <c:pt idx="22">
                  <c:v>116.64</c:v>
                </c:pt>
                <c:pt idx="23">
                  <c:v>121.68</c:v>
                </c:pt>
                <c:pt idx="24">
                  <c:v>127.94</c:v>
                </c:pt>
                <c:pt idx="25">
                  <c:v>133.33</c:v>
                </c:pt>
              </c:numCache>
            </c:numRef>
          </c:xVal>
          <c:yVal>
            <c:numRef>
              <c:f>'BMI-Absorption-10psi'!$N$4:$N$34</c:f>
              <c:numCache>
                <c:formatCode>General</c:formatCode>
                <c:ptCount val="31"/>
                <c:pt idx="0">
                  <c:v>1.2596</c:v>
                </c:pt>
                <c:pt idx="1">
                  <c:v>1.624</c:v>
                </c:pt>
                <c:pt idx="2">
                  <c:v>2.788</c:v>
                </c:pt>
                <c:pt idx="3">
                  <c:v>3.853899999999998</c:v>
                </c:pt>
                <c:pt idx="4">
                  <c:v>5.0004</c:v>
                </c:pt>
                <c:pt idx="5">
                  <c:v>5.699499999999999</c:v>
                </c:pt>
                <c:pt idx="6">
                  <c:v>5.9037</c:v>
                </c:pt>
                <c:pt idx="7">
                  <c:v>6.102099999999997</c:v>
                </c:pt>
                <c:pt idx="8">
                  <c:v>6.477</c:v>
                </c:pt>
                <c:pt idx="9">
                  <c:v>6.657099999999985</c:v>
                </c:pt>
                <c:pt idx="10">
                  <c:v>6.8997</c:v>
                </c:pt>
                <c:pt idx="11">
                  <c:v>7.116999999999996</c:v>
                </c:pt>
                <c:pt idx="12">
                  <c:v>7.311999999999998</c:v>
                </c:pt>
                <c:pt idx="13">
                  <c:v>7.5538</c:v>
                </c:pt>
                <c:pt idx="14">
                  <c:v>7.697199999999978</c:v>
                </c:pt>
                <c:pt idx="15">
                  <c:v>7.757499999999998</c:v>
                </c:pt>
                <c:pt idx="16">
                  <c:v>7.855899999999996</c:v>
                </c:pt>
                <c:pt idx="17">
                  <c:v>7.9398</c:v>
                </c:pt>
                <c:pt idx="18">
                  <c:v>7.9709</c:v>
                </c:pt>
                <c:pt idx="19">
                  <c:v>8.0296</c:v>
                </c:pt>
                <c:pt idx="20">
                  <c:v>8.056000000000002</c:v>
                </c:pt>
                <c:pt idx="21">
                  <c:v>8.276700000000003</c:v>
                </c:pt>
                <c:pt idx="22">
                  <c:v>8.3584</c:v>
                </c:pt>
                <c:pt idx="23">
                  <c:v>8.4312</c:v>
                </c:pt>
                <c:pt idx="24">
                  <c:v>8.5014</c:v>
                </c:pt>
                <c:pt idx="25">
                  <c:v>8.5064</c:v>
                </c:pt>
              </c:numCache>
            </c:numRef>
          </c:yVal>
          <c:smooth val="0"/>
        </c:ser>
        <c:ser>
          <c:idx val="3"/>
          <c:order val="4"/>
          <c:tx>
            <c:v>99% RH</c:v>
          </c:tx>
          <c:spPr>
            <a:ln w="28575">
              <a:noFill/>
            </a:ln>
          </c:spPr>
          <c:marker>
            <c:symbol val="square"/>
            <c:size val="5"/>
            <c:spPr>
              <a:solidFill>
                <a:srgbClr val="7030A0">
                  <a:alpha val="50000"/>
                </a:srgbClr>
              </a:solidFill>
              <a:ln w="12700">
                <a:solidFill>
                  <a:sysClr val="windowText" lastClr="000000"/>
                </a:solidFill>
              </a:ln>
            </c:spPr>
          </c:marker>
          <c:errBars>
            <c:errDir val="y"/>
            <c:errBarType val="both"/>
            <c:errValType val="cust"/>
            <c:noEndCap val="0"/>
            <c:plus>
              <c:numRef>
                <c:f>'BMI-Absorption-10psi'!$U$4:$U$29</c:f>
                <c:numCache>
                  <c:formatCode>General</c:formatCode>
                  <c:ptCount val="26"/>
                  <c:pt idx="0">
                    <c:v>0.072</c:v>
                  </c:pt>
                  <c:pt idx="1">
                    <c:v>0.138</c:v>
                  </c:pt>
                  <c:pt idx="2">
                    <c:v>0.227</c:v>
                  </c:pt>
                  <c:pt idx="3">
                    <c:v>0.234</c:v>
                  </c:pt>
                  <c:pt idx="4">
                    <c:v>0.355</c:v>
                  </c:pt>
                  <c:pt idx="5">
                    <c:v>0.429</c:v>
                  </c:pt>
                  <c:pt idx="6">
                    <c:v>0.464</c:v>
                  </c:pt>
                  <c:pt idx="7">
                    <c:v>0.504</c:v>
                  </c:pt>
                  <c:pt idx="8">
                    <c:v>0.526</c:v>
                  </c:pt>
                  <c:pt idx="9">
                    <c:v>0.588</c:v>
                  </c:pt>
                  <c:pt idx="10">
                    <c:v>0.545</c:v>
                  </c:pt>
                  <c:pt idx="11">
                    <c:v>0.592</c:v>
                  </c:pt>
                  <c:pt idx="12">
                    <c:v>0.678</c:v>
                  </c:pt>
                  <c:pt idx="13">
                    <c:v>0.707</c:v>
                  </c:pt>
                  <c:pt idx="14">
                    <c:v>0.759</c:v>
                  </c:pt>
                  <c:pt idx="15">
                    <c:v>0.752</c:v>
                  </c:pt>
                  <c:pt idx="16">
                    <c:v>0.772</c:v>
                  </c:pt>
                  <c:pt idx="17">
                    <c:v>0.764</c:v>
                  </c:pt>
                  <c:pt idx="18">
                    <c:v>0.826</c:v>
                  </c:pt>
                  <c:pt idx="19">
                    <c:v>0.799</c:v>
                  </c:pt>
                  <c:pt idx="20">
                    <c:v>0.789</c:v>
                  </c:pt>
                  <c:pt idx="21">
                    <c:v>0.815</c:v>
                  </c:pt>
                  <c:pt idx="22">
                    <c:v>0.81</c:v>
                  </c:pt>
                  <c:pt idx="23">
                    <c:v>0.838</c:v>
                  </c:pt>
                  <c:pt idx="24">
                    <c:v>0.828</c:v>
                  </c:pt>
                  <c:pt idx="25">
                    <c:v>0.851</c:v>
                  </c:pt>
                </c:numCache>
              </c:numRef>
            </c:plus>
            <c:minus>
              <c:numRef>
                <c:f>'BMI-Absorption-10psi'!$U$4:$U$29</c:f>
                <c:numCache>
                  <c:formatCode>General</c:formatCode>
                  <c:ptCount val="26"/>
                  <c:pt idx="0">
                    <c:v>0.072</c:v>
                  </c:pt>
                  <c:pt idx="1">
                    <c:v>0.138</c:v>
                  </c:pt>
                  <c:pt idx="2">
                    <c:v>0.227</c:v>
                  </c:pt>
                  <c:pt idx="3">
                    <c:v>0.234</c:v>
                  </c:pt>
                  <c:pt idx="4">
                    <c:v>0.355</c:v>
                  </c:pt>
                  <c:pt idx="5">
                    <c:v>0.429</c:v>
                  </c:pt>
                  <c:pt idx="6">
                    <c:v>0.464</c:v>
                  </c:pt>
                  <c:pt idx="7">
                    <c:v>0.504</c:v>
                  </c:pt>
                  <c:pt idx="8">
                    <c:v>0.526</c:v>
                  </c:pt>
                  <c:pt idx="9">
                    <c:v>0.588</c:v>
                  </c:pt>
                  <c:pt idx="10">
                    <c:v>0.545</c:v>
                  </c:pt>
                  <c:pt idx="11">
                    <c:v>0.592</c:v>
                  </c:pt>
                  <c:pt idx="12">
                    <c:v>0.678</c:v>
                  </c:pt>
                  <c:pt idx="13">
                    <c:v>0.707</c:v>
                  </c:pt>
                  <c:pt idx="14">
                    <c:v>0.759</c:v>
                  </c:pt>
                  <c:pt idx="15">
                    <c:v>0.752</c:v>
                  </c:pt>
                  <c:pt idx="16">
                    <c:v>0.772</c:v>
                  </c:pt>
                  <c:pt idx="17">
                    <c:v>0.764</c:v>
                  </c:pt>
                  <c:pt idx="18">
                    <c:v>0.826</c:v>
                  </c:pt>
                  <c:pt idx="19">
                    <c:v>0.799</c:v>
                  </c:pt>
                  <c:pt idx="20">
                    <c:v>0.789</c:v>
                  </c:pt>
                  <c:pt idx="21">
                    <c:v>0.815</c:v>
                  </c:pt>
                  <c:pt idx="22">
                    <c:v>0.81</c:v>
                  </c:pt>
                  <c:pt idx="23">
                    <c:v>0.838</c:v>
                  </c:pt>
                  <c:pt idx="24">
                    <c:v>0.828</c:v>
                  </c:pt>
                  <c:pt idx="25">
                    <c:v>0.851</c:v>
                  </c:pt>
                </c:numCache>
              </c:numRef>
            </c:minus>
            <c:spPr>
              <a:ln w="12700">
                <a:solidFill>
                  <a:srgbClr val="7030A0"/>
                </a:solidFill>
              </a:ln>
            </c:spPr>
          </c:errBars>
          <c:xVal>
            <c:numRef>
              <c:f>'BMI-Absorption-10psi'!$S$4:$S$34</c:f>
              <c:numCache>
                <c:formatCode>General</c:formatCode>
                <c:ptCount val="31"/>
                <c:pt idx="0">
                  <c:v>1.59</c:v>
                </c:pt>
                <c:pt idx="1">
                  <c:v>2.31</c:v>
                </c:pt>
                <c:pt idx="2">
                  <c:v>5.26</c:v>
                </c:pt>
                <c:pt idx="3">
                  <c:v>8.530000000000001</c:v>
                </c:pt>
                <c:pt idx="4">
                  <c:v>13.89</c:v>
                </c:pt>
                <c:pt idx="5">
                  <c:v>19.67000000000001</c:v>
                </c:pt>
                <c:pt idx="6">
                  <c:v>25.5</c:v>
                </c:pt>
                <c:pt idx="7">
                  <c:v>31.4</c:v>
                </c:pt>
                <c:pt idx="8">
                  <c:v>37.35</c:v>
                </c:pt>
                <c:pt idx="9">
                  <c:v>42.7</c:v>
                </c:pt>
                <c:pt idx="10">
                  <c:v>48.49</c:v>
                </c:pt>
                <c:pt idx="11">
                  <c:v>53.89</c:v>
                </c:pt>
                <c:pt idx="12">
                  <c:v>59.42</c:v>
                </c:pt>
                <c:pt idx="13">
                  <c:v>66.61</c:v>
                </c:pt>
                <c:pt idx="14">
                  <c:v>71.33</c:v>
                </c:pt>
                <c:pt idx="15">
                  <c:v>76.99</c:v>
                </c:pt>
                <c:pt idx="16">
                  <c:v>82.25</c:v>
                </c:pt>
                <c:pt idx="17">
                  <c:v>88.72</c:v>
                </c:pt>
                <c:pt idx="18">
                  <c:v>93.71</c:v>
                </c:pt>
                <c:pt idx="19">
                  <c:v>98.93</c:v>
                </c:pt>
                <c:pt idx="20">
                  <c:v>105.41</c:v>
                </c:pt>
                <c:pt idx="21">
                  <c:v>111.5</c:v>
                </c:pt>
                <c:pt idx="22">
                  <c:v>116.65</c:v>
                </c:pt>
                <c:pt idx="23">
                  <c:v>121.68</c:v>
                </c:pt>
                <c:pt idx="24">
                  <c:v>127.94</c:v>
                </c:pt>
                <c:pt idx="25">
                  <c:v>133.33</c:v>
                </c:pt>
              </c:numCache>
            </c:numRef>
          </c:xVal>
          <c:yVal>
            <c:numRef>
              <c:f>'BMI-Absorption-10psi'!$T$4:$T$34</c:f>
              <c:numCache>
                <c:formatCode>General</c:formatCode>
                <c:ptCount val="31"/>
                <c:pt idx="0">
                  <c:v>1.4778</c:v>
                </c:pt>
                <c:pt idx="1">
                  <c:v>1.8447</c:v>
                </c:pt>
                <c:pt idx="2">
                  <c:v>3.0275</c:v>
                </c:pt>
                <c:pt idx="3">
                  <c:v>4.0291</c:v>
                </c:pt>
                <c:pt idx="4">
                  <c:v>5.2139</c:v>
                </c:pt>
                <c:pt idx="5">
                  <c:v>5.799</c:v>
                </c:pt>
                <c:pt idx="6">
                  <c:v>5.9046</c:v>
                </c:pt>
                <c:pt idx="7">
                  <c:v>6.0919</c:v>
                </c:pt>
                <c:pt idx="8">
                  <c:v>6.334</c:v>
                </c:pt>
                <c:pt idx="9">
                  <c:v>6.622199999999979</c:v>
                </c:pt>
                <c:pt idx="10">
                  <c:v>6.842499999999998</c:v>
                </c:pt>
                <c:pt idx="11">
                  <c:v>7.0444</c:v>
                </c:pt>
                <c:pt idx="12">
                  <c:v>7.2572</c:v>
                </c:pt>
                <c:pt idx="13">
                  <c:v>7.462899999999999</c:v>
                </c:pt>
                <c:pt idx="14">
                  <c:v>7.5381</c:v>
                </c:pt>
                <c:pt idx="15">
                  <c:v>7.593999999999999</c:v>
                </c:pt>
                <c:pt idx="16">
                  <c:v>7.7022</c:v>
                </c:pt>
                <c:pt idx="17">
                  <c:v>7.762399999999999</c:v>
                </c:pt>
                <c:pt idx="18">
                  <c:v>7.7974</c:v>
                </c:pt>
                <c:pt idx="19">
                  <c:v>7.8192</c:v>
                </c:pt>
                <c:pt idx="20">
                  <c:v>7.8018</c:v>
                </c:pt>
                <c:pt idx="21">
                  <c:v>7.892399999999998</c:v>
                </c:pt>
                <c:pt idx="22">
                  <c:v>7.9272</c:v>
                </c:pt>
                <c:pt idx="23">
                  <c:v>7.9899</c:v>
                </c:pt>
                <c:pt idx="24">
                  <c:v>8.054300000000001</c:v>
                </c:pt>
                <c:pt idx="25">
                  <c:v>8.050500000000006</c:v>
                </c:pt>
              </c:numCache>
            </c:numRef>
          </c:yVal>
          <c:smooth val="0"/>
        </c:ser>
        <c:ser>
          <c:idx val="9"/>
          <c:order val="5"/>
          <c:spPr>
            <a:ln w="12700">
              <a:solidFill>
                <a:sysClr val="windowText" lastClr="000000"/>
              </a:solidFill>
              <a:prstDash val="lgDash"/>
            </a:ln>
          </c:spPr>
          <c:marker>
            <c:symbol val="none"/>
          </c:marker>
          <c:dPt>
            <c:idx val="1"/>
            <c:bubble3D val="0"/>
            <c:spPr>
              <a:ln w="12700">
                <a:solidFill>
                  <a:schemeClr val="bg1">
                    <a:lumMod val="50000"/>
                  </a:schemeClr>
                </a:solidFill>
                <a:prstDash val="lgDash"/>
              </a:ln>
            </c:spPr>
          </c:dPt>
          <c:xVal>
            <c:numRef>
              <c:f>('BMI-Absorption-10psi'!$D$51,'BMI-Absorption-10psi'!$D$51)</c:f>
              <c:numCache>
                <c:formatCode>General</c:formatCode>
                <c:ptCount val="2"/>
                <c:pt idx="0">
                  <c:v>132.363</c:v>
                </c:pt>
                <c:pt idx="1">
                  <c:v>132.363</c:v>
                </c:pt>
              </c:numCache>
            </c:numRef>
          </c:xVal>
          <c:yVal>
            <c:numLit>
              <c:formatCode>General</c:formatCode>
              <c:ptCount val="2"/>
              <c:pt idx="0">
                <c:v>0.0</c:v>
              </c:pt>
              <c:pt idx="1">
                <c:v>12.0</c:v>
              </c:pt>
            </c:numLit>
          </c:yVal>
          <c:smooth val="0"/>
        </c:ser>
        <c:dLbls>
          <c:showLegendKey val="0"/>
          <c:showVal val="0"/>
          <c:showCatName val="0"/>
          <c:showSerName val="0"/>
          <c:showPercent val="0"/>
          <c:showBubbleSize val="0"/>
        </c:dLbls>
        <c:axId val="431165560"/>
        <c:axId val="431171512"/>
      </c:scatterChart>
      <c:valAx>
        <c:axId val="431165560"/>
        <c:scaling>
          <c:orientation val="minMax"/>
          <c:max val="15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431171512"/>
        <c:crosses val="autoZero"/>
        <c:crossBetween val="midCat"/>
        <c:minorUnit val="12.5"/>
      </c:valAx>
      <c:valAx>
        <c:axId val="431171512"/>
        <c:scaling>
          <c:orientation val="minMax"/>
          <c:max val="11.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431165560"/>
        <c:crosses val="autoZero"/>
        <c:crossBetween val="midCat"/>
        <c:majorUnit val="2.0"/>
        <c:minorUnit val="0.5"/>
      </c:valAx>
      <c:spPr>
        <a:ln w="19050">
          <a:solidFill>
            <a:sysClr val="windowText" lastClr="000000"/>
          </a:solidFill>
        </a:ln>
      </c:spPr>
    </c:plotArea>
    <c:legend>
      <c:legendPos val="r"/>
      <c:legendEntry>
        <c:idx val="0"/>
        <c:delete val="1"/>
      </c:legendEntry>
      <c:legendEntry>
        <c:idx val="5"/>
        <c:delete val="1"/>
      </c:legendEntry>
      <c:layout>
        <c:manualLayout>
          <c:xMode val="edge"/>
          <c:yMode val="edge"/>
          <c:x val="0.191148775894539"/>
          <c:y val="0.0937007874015748"/>
          <c:w val="0.235230659726856"/>
          <c:h val="0.197189413823272"/>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3711019173451"/>
          <c:y val="0.0333333333333333"/>
          <c:w val="0.750570903213369"/>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square"/>
            <c:size val="5"/>
            <c:spPr>
              <a:solidFill>
                <a:srgbClr val="0070C0">
                  <a:alpha val="50000"/>
                </a:srgbClr>
              </a:solidFill>
              <a:ln w="12700">
                <a:solidFill>
                  <a:schemeClr val="tx1"/>
                </a:solidFill>
              </a:ln>
            </c:spPr>
          </c:marker>
          <c:errBars>
            <c:errDir val="y"/>
            <c:errBarType val="both"/>
            <c:errValType val="cust"/>
            <c:noEndCap val="0"/>
            <c:plus>
              <c:numRef>
                <c:f>'BMI-Absorption-30psi'!$C$4:$C$29</c:f>
                <c:numCache>
                  <c:formatCode>General</c:formatCode>
                  <c:ptCount val="26"/>
                  <c:pt idx="0">
                    <c:v>0.062</c:v>
                  </c:pt>
                  <c:pt idx="1">
                    <c:v>0.064</c:v>
                  </c:pt>
                  <c:pt idx="2">
                    <c:v>0.143</c:v>
                  </c:pt>
                  <c:pt idx="3">
                    <c:v>0.228</c:v>
                  </c:pt>
                  <c:pt idx="4">
                    <c:v>0.282</c:v>
                  </c:pt>
                  <c:pt idx="5">
                    <c:v>0.304</c:v>
                  </c:pt>
                  <c:pt idx="6">
                    <c:v>0.307</c:v>
                  </c:pt>
                  <c:pt idx="7">
                    <c:v>0.325</c:v>
                  </c:pt>
                  <c:pt idx="8">
                    <c:v>0.34</c:v>
                  </c:pt>
                  <c:pt idx="9">
                    <c:v>0.373</c:v>
                  </c:pt>
                  <c:pt idx="10">
                    <c:v>0.403</c:v>
                  </c:pt>
                  <c:pt idx="11">
                    <c:v>0.399</c:v>
                  </c:pt>
                  <c:pt idx="12">
                    <c:v>0.378</c:v>
                  </c:pt>
                  <c:pt idx="13">
                    <c:v>0.354</c:v>
                  </c:pt>
                  <c:pt idx="14">
                    <c:v>0.365</c:v>
                  </c:pt>
                  <c:pt idx="15">
                    <c:v>0.36</c:v>
                  </c:pt>
                  <c:pt idx="16">
                    <c:v>0.358</c:v>
                  </c:pt>
                  <c:pt idx="17">
                    <c:v>0.346</c:v>
                  </c:pt>
                  <c:pt idx="18">
                    <c:v>0.34</c:v>
                  </c:pt>
                  <c:pt idx="19">
                    <c:v>0.337</c:v>
                  </c:pt>
                  <c:pt idx="20">
                    <c:v>0.336</c:v>
                  </c:pt>
                  <c:pt idx="21">
                    <c:v>0.327</c:v>
                  </c:pt>
                  <c:pt idx="22">
                    <c:v>0.323</c:v>
                  </c:pt>
                  <c:pt idx="23">
                    <c:v>0.326</c:v>
                  </c:pt>
                  <c:pt idx="24">
                    <c:v>0.329</c:v>
                  </c:pt>
                  <c:pt idx="25">
                    <c:v>0.327</c:v>
                  </c:pt>
                </c:numCache>
              </c:numRef>
            </c:plus>
            <c:minus>
              <c:numRef>
                <c:f>'BMI-Absorption-30psi'!$C$4:$C$29</c:f>
                <c:numCache>
                  <c:formatCode>General</c:formatCode>
                  <c:ptCount val="26"/>
                  <c:pt idx="0">
                    <c:v>0.062</c:v>
                  </c:pt>
                  <c:pt idx="1">
                    <c:v>0.064</c:v>
                  </c:pt>
                  <c:pt idx="2">
                    <c:v>0.143</c:v>
                  </c:pt>
                  <c:pt idx="3">
                    <c:v>0.228</c:v>
                  </c:pt>
                  <c:pt idx="4">
                    <c:v>0.282</c:v>
                  </c:pt>
                  <c:pt idx="5">
                    <c:v>0.304</c:v>
                  </c:pt>
                  <c:pt idx="6">
                    <c:v>0.307</c:v>
                  </c:pt>
                  <c:pt idx="7">
                    <c:v>0.325</c:v>
                  </c:pt>
                  <c:pt idx="8">
                    <c:v>0.34</c:v>
                  </c:pt>
                  <c:pt idx="9">
                    <c:v>0.373</c:v>
                  </c:pt>
                  <c:pt idx="10">
                    <c:v>0.403</c:v>
                  </c:pt>
                  <c:pt idx="11">
                    <c:v>0.399</c:v>
                  </c:pt>
                  <c:pt idx="12">
                    <c:v>0.378</c:v>
                  </c:pt>
                  <c:pt idx="13">
                    <c:v>0.354</c:v>
                  </c:pt>
                  <c:pt idx="14">
                    <c:v>0.365</c:v>
                  </c:pt>
                  <c:pt idx="15">
                    <c:v>0.36</c:v>
                  </c:pt>
                  <c:pt idx="16">
                    <c:v>0.358</c:v>
                  </c:pt>
                  <c:pt idx="17">
                    <c:v>0.346</c:v>
                  </c:pt>
                  <c:pt idx="18">
                    <c:v>0.34</c:v>
                  </c:pt>
                  <c:pt idx="19">
                    <c:v>0.337</c:v>
                  </c:pt>
                  <c:pt idx="20">
                    <c:v>0.336</c:v>
                  </c:pt>
                  <c:pt idx="21">
                    <c:v>0.327</c:v>
                  </c:pt>
                  <c:pt idx="22">
                    <c:v>0.323</c:v>
                  </c:pt>
                  <c:pt idx="23">
                    <c:v>0.326</c:v>
                  </c:pt>
                  <c:pt idx="24">
                    <c:v>0.329</c:v>
                  </c:pt>
                  <c:pt idx="25">
                    <c:v>0.327</c:v>
                  </c:pt>
                </c:numCache>
              </c:numRef>
            </c:minus>
            <c:spPr>
              <a:ln w="12700">
                <a:solidFill>
                  <a:srgbClr val="0070C0"/>
                </a:solidFill>
              </a:ln>
            </c:spPr>
          </c:errBars>
          <c:xVal>
            <c:numRef>
              <c:f>'BMI-Absorption-30psi'!$A$4:$A$34</c:f>
              <c:numCache>
                <c:formatCode>General</c:formatCode>
                <c:ptCount val="31"/>
                <c:pt idx="0">
                  <c:v>1.48</c:v>
                </c:pt>
                <c:pt idx="1">
                  <c:v>2.23</c:v>
                </c:pt>
                <c:pt idx="2">
                  <c:v>5.22</c:v>
                </c:pt>
                <c:pt idx="3">
                  <c:v>8.51</c:v>
                </c:pt>
                <c:pt idx="4">
                  <c:v>13.88</c:v>
                </c:pt>
                <c:pt idx="5">
                  <c:v>19.66</c:v>
                </c:pt>
                <c:pt idx="6">
                  <c:v>25.5</c:v>
                </c:pt>
                <c:pt idx="7">
                  <c:v>31.39</c:v>
                </c:pt>
                <c:pt idx="8">
                  <c:v>37.34</c:v>
                </c:pt>
                <c:pt idx="9">
                  <c:v>42.7</c:v>
                </c:pt>
                <c:pt idx="10">
                  <c:v>48.48</c:v>
                </c:pt>
                <c:pt idx="11">
                  <c:v>53.89</c:v>
                </c:pt>
                <c:pt idx="12">
                  <c:v>59.42</c:v>
                </c:pt>
                <c:pt idx="13">
                  <c:v>66.6</c:v>
                </c:pt>
                <c:pt idx="14">
                  <c:v>71.33</c:v>
                </c:pt>
                <c:pt idx="15">
                  <c:v>76.99</c:v>
                </c:pt>
                <c:pt idx="16">
                  <c:v>82.25</c:v>
                </c:pt>
                <c:pt idx="17">
                  <c:v>88.72</c:v>
                </c:pt>
                <c:pt idx="18">
                  <c:v>93.7</c:v>
                </c:pt>
                <c:pt idx="19">
                  <c:v>98.93</c:v>
                </c:pt>
                <c:pt idx="20">
                  <c:v>105.41</c:v>
                </c:pt>
                <c:pt idx="21">
                  <c:v>111.49</c:v>
                </c:pt>
                <c:pt idx="22">
                  <c:v>116.64</c:v>
                </c:pt>
                <c:pt idx="23">
                  <c:v>121.68</c:v>
                </c:pt>
                <c:pt idx="24">
                  <c:v>127.94</c:v>
                </c:pt>
                <c:pt idx="25">
                  <c:v>133.33</c:v>
                </c:pt>
                <c:pt idx="30">
                  <c:v>138.54</c:v>
                </c:pt>
              </c:numCache>
            </c:numRef>
          </c:xVal>
          <c:yVal>
            <c:numRef>
              <c:f>'BMI-Absorption-30psi'!$B$4:$B$34</c:f>
              <c:numCache>
                <c:formatCode>General</c:formatCode>
                <c:ptCount val="31"/>
                <c:pt idx="0">
                  <c:v>0.2502</c:v>
                </c:pt>
                <c:pt idx="1">
                  <c:v>0.2979</c:v>
                </c:pt>
                <c:pt idx="2">
                  <c:v>0.5062</c:v>
                </c:pt>
                <c:pt idx="3">
                  <c:v>0.6872</c:v>
                </c:pt>
                <c:pt idx="4">
                  <c:v>0.8617</c:v>
                </c:pt>
                <c:pt idx="5">
                  <c:v>0.9184</c:v>
                </c:pt>
                <c:pt idx="6">
                  <c:v>0.9764</c:v>
                </c:pt>
                <c:pt idx="7">
                  <c:v>1.0568</c:v>
                </c:pt>
                <c:pt idx="8">
                  <c:v>1.1453</c:v>
                </c:pt>
                <c:pt idx="9">
                  <c:v>1.2853</c:v>
                </c:pt>
                <c:pt idx="10">
                  <c:v>1.477</c:v>
                </c:pt>
                <c:pt idx="11">
                  <c:v>1.5119</c:v>
                </c:pt>
                <c:pt idx="12">
                  <c:v>1.5145</c:v>
                </c:pt>
                <c:pt idx="13">
                  <c:v>1.5119</c:v>
                </c:pt>
                <c:pt idx="14">
                  <c:v>1.546</c:v>
                </c:pt>
                <c:pt idx="15">
                  <c:v>1.5785</c:v>
                </c:pt>
                <c:pt idx="16">
                  <c:v>1.6187</c:v>
                </c:pt>
                <c:pt idx="17">
                  <c:v>1.6935</c:v>
                </c:pt>
                <c:pt idx="18">
                  <c:v>1.6983</c:v>
                </c:pt>
                <c:pt idx="19">
                  <c:v>1.7405</c:v>
                </c:pt>
                <c:pt idx="20">
                  <c:v>1.7564</c:v>
                </c:pt>
                <c:pt idx="21">
                  <c:v>1.7496</c:v>
                </c:pt>
                <c:pt idx="22">
                  <c:v>1.7592</c:v>
                </c:pt>
                <c:pt idx="23">
                  <c:v>1.7705</c:v>
                </c:pt>
                <c:pt idx="24">
                  <c:v>1.8049</c:v>
                </c:pt>
                <c:pt idx="25">
                  <c:v>1.8184</c:v>
                </c:pt>
              </c:numCache>
            </c:numRef>
          </c:yVal>
          <c:smooth val="0"/>
        </c:ser>
        <c:ser>
          <c:idx val="1"/>
          <c:order val="2"/>
          <c:tx>
            <c:v>40% RH</c:v>
          </c:tx>
          <c:spPr>
            <a:ln w="28575">
              <a:noFill/>
            </a:ln>
          </c:spPr>
          <c:marker>
            <c:symbol val="square"/>
            <c:size val="5"/>
            <c:spPr>
              <a:solidFill>
                <a:srgbClr val="C00000">
                  <a:alpha val="50000"/>
                </a:srgbClr>
              </a:solidFill>
              <a:ln w="12700">
                <a:solidFill>
                  <a:sysClr val="windowText" lastClr="000000"/>
                </a:solidFill>
              </a:ln>
            </c:spPr>
          </c:marker>
          <c:errBars>
            <c:errDir val="y"/>
            <c:errBarType val="both"/>
            <c:errValType val="cust"/>
            <c:noEndCap val="0"/>
            <c:plus>
              <c:numRef>
                <c:f>'BMI-Absorption-30psi'!$I$4:$I$29</c:f>
                <c:numCache>
                  <c:formatCode>General</c:formatCode>
                  <c:ptCount val="26"/>
                  <c:pt idx="0">
                    <c:v>0.146</c:v>
                  </c:pt>
                  <c:pt idx="1">
                    <c:v>0.226</c:v>
                  </c:pt>
                  <c:pt idx="2">
                    <c:v>0.49</c:v>
                  </c:pt>
                  <c:pt idx="3">
                    <c:v>0.706</c:v>
                  </c:pt>
                  <c:pt idx="4">
                    <c:v>0.927</c:v>
                  </c:pt>
                  <c:pt idx="5">
                    <c:v>0.993</c:v>
                  </c:pt>
                  <c:pt idx="6">
                    <c:v>1.012</c:v>
                  </c:pt>
                  <c:pt idx="7">
                    <c:v>1.022</c:v>
                  </c:pt>
                  <c:pt idx="8">
                    <c:v>1.047</c:v>
                  </c:pt>
                  <c:pt idx="9">
                    <c:v>1.049</c:v>
                  </c:pt>
                  <c:pt idx="10">
                    <c:v>1.048</c:v>
                  </c:pt>
                  <c:pt idx="11">
                    <c:v>1.053</c:v>
                  </c:pt>
                  <c:pt idx="12">
                    <c:v>1.071</c:v>
                  </c:pt>
                  <c:pt idx="13">
                    <c:v>1.058</c:v>
                  </c:pt>
                  <c:pt idx="14">
                    <c:v>1.064</c:v>
                  </c:pt>
                  <c:pt idx="15">
                    <c:v>1.047</c:v>
                  </c:pt>
                  <c:pt idx="16">
                    <c:v>1.063</c:v>
                  </c:pt>
                  <c:pt idx="17">
                    <c:v>1.057</c:v>
                  </c:pt>
                  <c:pt idx="18">
                    <c:v>1.049</c:v>
                  </c:pt>
                  <c:pt idx="19">
                    <c:v>1.051</c:v>
                  </c:pt>
                  <c:pt idx="20">
                    <c:v>1.057</c:v>
                  </c:pt>
                  <c:pt idx="21">
                    <c:v>1.064</c:v>
                  </c:pt>
                  <c:pt idx="22">
                    <c:v>1.049</c:v>
                  </c:pt>
                  <c:pt idx="23">
                    <c:v>1.048</c:v>
                  </c:pt>
                  <c:pt idx="24">
                    <c:v>1.042</c:v>
                  </c:pt>
                  <c:pt idx="25">
                    <c:v>1.05</c:v>
                  </c:pt>
                </c:numCache>
              </c:numRef>
            </c:plus>
            <c:minus>
              <c:numRef>
                <c:f>'BMI-Absorption-30psi'!$I$4:$I$29</c:f>
                <c:numCache>
                  <c:formatCode>General</c:formatCode>
                  <c:ptCount val="26"/>
                  <c:pt idx="0">
                    <c:v>0.146</c:v>
                  </c:pt>
                  <c:pt idx="1">
                    <c:v>0.226</c:v>
                  </c:pt>
                  <c:pt idx="2">
                    <c:v>0.49</c:v>
                  </c:pt>
                  <c:pt idx="3">
                    <c:v>0.706</c:v>
                  </c:pt>
                  <c:pt idx="4">
                    <c:v>0.927</c:v>
                  </c:pt>
                  <c:pt idx="5">
                    <c:v>0.993</c:v>
                  </c:pt>
                  <c:pt idx="6">
                    <c:v>1.012</c:v>
                  </c:pt>
                  <c:pt idx="7">
                    <c:v>1.022</c:v>
                  </c:pt>
                  <c:pt idx="8">
                    <c:v>1.047</c:v>
                  </c:pt>
                  <c:pt idx="9">
                    <c:v>1.049</c:v>
                  </c:pt>
                  <c:pt idx="10">
                    <c:v>1.048</c:v>
                  </c:pt>
                  <c:pt idx="11">
                    <c:v>1.053</c:v>
                  </c:pt>
                  <c:pt idx="12">
                    <c:v>1.071</c:v>
                  </c:pt>
                  <c:pt idx="13">
                    <c:v>1.058</c:v>
                  </c:pt>
                  <c:pt idx="14">
                    <c:v>1.064</c:v>
                  </c:pt>
                  <c:pt idx="15">
                    <c:v>1.047</c:v>
                  </c:pt>
                  <c:pt idx="16">
                    <c:v>1.063</c:v>
                  </c:pt>
                  <c:pt idx="17">
                    <c:v>1.057</c:v>
                  </c:pt>
                  <c:pt idx="18">
                    <c:v>1.049</c:v>
                  </c:pt>
                  <c:pt idx="19">
                    <c:v>1.051</c:v>
                  </c:pt>
                  <c:pt idx="20">
                    <c:v>1.057</c:v>
                  </c:pt>
                  <c:pt idx="21">
                    <c:v>1.064</c:v>
                  </c:pt>
                  <c:pt idx="22">
                    <c:v>1.049</c:v>
                  </c:pt>
                  <c:pt idx="23">
                    <c:v>1.048</c:v>
                  </c:pt>
                  <c:pt idx="24">
                    <c:v>1.042</c:v>
                  </c:pt>
                  <c:pt idx="25">
                    <c:v>1.05</c:v>
                  </c:pt>
                </c:numCache>
              </c:numRef>
            </c:minus>
            <c:spPr>
              <a:ln w="12700">
                <a:solidFill>
                  <a:srgbClr val="C00000"/>
                </a:solidFill>
              </a:ln>
            </c:spPr>
          </c:errBars>
          <c:xVal>
            <c:numRef>
              <c:f>'BMI-Absorption-30psi'!$G$4:$G$34</c:f>
              <c:numCache>
                <c:formatCode>General</c:formatCode>
                <c:ptCount val="31"/>
                <c:pt idx="0">
                  <c:v>1.53</c:v>
                </c:pt>
                <c:pt idx="1">
                  <c:v>2.27</c:v>
                </c:pt>
                <c:pt idx="2">
                  <c:v>5.24</c:v>
                </c:pt>
                <c:pt idx="3">
                  <c:v>8.52</c:v>
                </c:pt>
                <c:pt idx="4">
                  <c:v>13.88</c:v>
                </c:pt>
                <c:pt idx="5">
                  <c:v>19.67000000000001</c:v>
                </c:pt>
                <c:pt idx="6">
                  <c:v>25.5</c:v>
                </c:pt>
                <c:pt idx="7">
                  <c:v>31.39</c:v>
                </c:pt>
                <c:pt idx="8">
                  <c:v>37.35</c:v>
                </c:pt>
                <c:pt idx="9">
                  <c:v>42.7</c:v>
                </c:pt>
                <c:pt idx="10">
                  <c:v>48.49</c:v>
                </c:pt>
                <c:pt idx="11">
                  <c:v>53.89</c:v>
                </c:pt>
                <c:pt idx="12">
                  <c:v>59.42</c:v>
                </c:pt>
                <c:pt idx="13">
                  <c:v>66.6</c:v>
                </c:pt>
                <c:pt idx="14">
                  <c:v>71.33</c:v>
                </c:pt>
                <c:pt idx="15">
                  <c:v>76.99</c:v>
                </c:pt>
                <c:pt idx="16">
                  <c:v>82.25</c:v>
                </c:pt>
                <c:pt idx="17">
                  <c:v>88.72</c:v>
                </c:pt>
                <c:pt idx="18">
                  <c:v>93.7</c:v>
                </c:pt>
                <c:pt idx="19">
                  <c:v>98.93</c:v>
                </c:pt>
                <c:pt idx="20">
                  <c:v>105.41</c:v>
                </c:pt>
                <c:pt idx="21">
                  <c:v>111.5</c:v>
                </c:pt>
                <c:pt idx="22">
                  <c:v>116.64</c:v>
                </c:pt>
                <c:pt idx="23">
                  <c:v>121.68</c:v>
                </c:pt>
                <c:pt idx="24">
                  <c:v>127.94</c:v>
                </c:pt>
                <c:pt idx="25">
                  <c:v>133.33</c:v>
                </c:pt>
              </c:numCache>
            </c:numRef>
          </c:xVal>
          <c:yVal>
            <c:numRef>
              <c:f>'BMI-Absorption-30psi'!$H$4:$H$34</c:f>
              <c:numCache>
                <c:formatCode>General</c:formatCode>
                <c:ptCount val="31"/>
                <c:pt idx="0">
                  <c:v>0.3925</c:v>
                </c:pt>
                <c:pt idx="1">
                  <c:v>0.5122</c:v>
                </c:pt>
                <c:pt idx="2">
                  <c:v>1.0016</c:v>
                </c:pt>
                <c:pt idx="3">
                  <c:v>1.4069</c:v>
                </c:pt>
                <c:pt idx="4">
                  <c:v>1.7401</c:v>
                </c:pt>
                <c:pt idx="5">
                  <c:v>1.8598</c:v>
                </c:pt>
                <c:pt idx="6">
                  <c:v>1.978</c:v>
                </c:pt>
                <c:pt idx="7">
                  <c:v>2.1253</c:v>
                </c:pt>
                <c:pt idx="8">
                  <c:v>2.1867</c:v>
                </c:pt>
                <c:pt idx="9">
                  <c:v>2.256</c:v>
                </c:pt>
                <c:pt idx="10">
                  <c:v>2.346299999999998</c:v>
                </c:pt>
                <c:pt idx="11">
                  <c:v>2.3855</c:v>
                </c:pt>
                <c:pt idx="12">
                  <c:v>2.4112</c:v>
                </c:pt>
                <c:pt idx="13">
                  <c:v>2.4676</c:v>
                </c:pt>
                <c:pt idx="14">
                  <c:v>2.4857</c:v>
                </c:pt>
                <c:pt idx="15">
                  <c:v>2.5322</c:v>
                </c:pt>
                <c:pt idx="16">
                  <c:v>2.636799999999999</c:v>
                </c:pt>
                <c:pt idx="17">
                  <c:v>2.6712</c:v>
                </c:pt>
                <c:pt idx="18">
                  <c:v>2.6833</c:v>
                </c:pt>
                <c:pt idx="19">
                  <c:v>2.7842</c:v>
                </c:pt>
                <c:pt idx="20">
                  <c:v>2.856799999999998</c:v>
                </c:pt>
                <c:pt idx="21">
                  <c:v>2.9443</c:v>
                </c:pt>
                <c:pt idx="22">
                  <c:v>2.995</c:v>
                </c:pt>
                <c:pt idx="23">
                  <c:v>3.0203</c:v>
                </c:pt>
                <c:pt idx="24">
                  <c:v>3.0897</c:v>
                </c:pt>
                <c:pt idx="25">
                  <c:v>3.0714</c:v>
                </c:pt>
              </c:numCache>
            </c:numRef>
          </c:yVal>
          <c:smooth val="0"/>
        </c:ser>
        <c:ser>
          <c:idx val="2"/>
          <c:order val="3"/>
          <c:tx>
            <c:v>70% RH</c:v>
          </c:tx>
          <c:spPr>
            <a:ln w="28575">
              <a:noFill/>
            </a:ln>
          </c:spPr>
          <c:marker>
            <c:symbol val="square"/>
            <c:size val="5"/>
            <c:spPr>
              <a:solidFill>
                <a:srgbClr val="00B050">
                  <a:alpha val="50000"/>
                </a:srgbClr>
              </a:solidFill>
              <a:ln w="12700">
                <a:solidFill>
                  <a:sysClr val="windowText" lastClr="000000"/>
                </a:solidFill>
              </a:ln>
            </c:spPr>
          </c:marker>
          <c:errBars>
            <c:errDir val="y"/>
            <c:errBarType val="both"/>
            <c:errValType val="cust"/>
            <c:noEndCap val="0"/>
            <c:plus>
              <c:numRef>
                <c:f>'BMI-Absorption-30psi'!$O$4:$O$29</c:f>
                <c:numCache>
                  <c:formatCode>General</c:formatCode>
                  <c:ptCount val="26"/>
                  <c:pt idx="0">
                    <c:v>0.021</c:v>
                  </c:pt>
                  <c:pt idx="1">
                    <c:v>0.047</c:v>
                  </c:pt>
                  <c:pt idx="2">
                    <c:v>0.099</c:v>
                  </c:pt>
                  <c:pt idx="3">
                    <c:v>0.131</c:v>
                  </c:pt>
                  <c:pt idx="4">
                    <c:v>0.224</c:v>
                  </c:pt>
                  <c:pt idx="5">
                    <c:v>0.281</c:v>
                  </c:pt>
                  <c:pt idx="6">
                    <c:v>0.318</c:v>
                  </c:pt>
                  <c:pt idx="7">
                    <c:v>0.337</c:v>
                  </c:pt>
                  <c:pt idx="8">
                    <c:v>0.345</c:v>
                  </c:pt>
                  <c:pt idx="9">
                    <c:v>0.403</c:v>
                  </c:pt>
                  <c:pt idx="10">
                    <c:v>0.372</c:v>
                  </c:pt>
                  <c:pt idx="11">
                    <c:v>0.386</c:v>
                  </c:pt>
                  <c:pt idx="12">
                    <c:v>0.458</c:v>
                  </c:pt>
                  <c:pt idx="13">
                    <c:v>0.435</c:v>
                  </c:pt>
                  <c:pt idx="14">
                    <c:v>0.454</c:v>
                  </c:pt>
                  <c:pt idx="15">
                    <c:v>0.435</c:v>
                  </c:pt>
                  <c:pt idx="16">
                    <c:v>0.456</c:v>
                  </c:pt>
                  <c:pt idx="17">
                    <c:v>0.433</c:v>
                  </c:pt>
                  <c:pt idx="18">
                    <c:v>0.479</c:v>
                  </c:pt>
                  <c:pt idx="19">
                    <c:v>0.443</c:v>
                  </c:pt>
                  <c:pt idx="20">
                    <c:v>0.433</c:v>
                  </c:pt>
                  <c:pt idx="21">
                    <c:v>0.463</c:v>
                  </c:pt>
                  <c:pt idx="22">
                    <c:v>0.457</c:v>
                  </c:pt>
                  <c:pt idx="23">
                    <c:v>0.451</c:v>
                  </c:pt>
                  <c:pt idx="24">
                    <c:v>0.452</c:v>
                  </c:pt>
                  <c:pt idx="25">
                    <c:v>0.472</c:v>
                  </c:pt>
                </c:numCache>
              </c:numRef>
            </c:plus>
            <c:minus>
              <c:numRef>
                <c:f>'BMI-Absorption-30psi'!$O$4:$O$29</c:f>
                <c:numCache>
                  <c:formatCode>General</c:formatCode>
                  <c:ptCount val="26"/>
                  <c:pt idx="0">
                    <c:v>0.021</c:v>
                  </c:pt>
                  <c:pt idx="1">
                    <c:v>0.047</c:v>
                  </c:pt>
                  <c:pt idx="2">
                    <c:v>0.099</c:v>
                  </c:pt>
                  <c:pt idx="3">
                    <c:v>0.131</c:v>
                  </c:pt>
                  <c:pt idx="4">
                    <c:v>0.224</c:v>
                  </c:pt>
                  <c:pt idx="5">
                    <c:v>0.281</c:v>
                  </c:pt>
                  <c:pt idx="6">
                    <c:v>0.318</c:v>
                  </c:pt>
                  <c:pt idx="7">
                    <c:v>0.337</c:v>
                  </c:pt>
                  <c:pt idx="8">
                    <c:v>0.345</c:v>
                  </c:pt>
                  <c:pt idx="9">
                    <c:v>0.403</c:v>
                  </c:pt>
                  <c:pt idx="10">
                    <c:v>0.372</c:v>
                  </c:pt>
                  <c:pt idx="11">
                    <c:v>0.386</c:v>
                  </c:pt>
                  <c:pt idx="12">
                    <c:v>0.458</c:v>
                  </c:pt>
                  <c:pt idx="13">
                    <c:v>0.435</c:v>
                  </c:pt>
                  <c:pt idx="14">
                    <c:v>0.454</c:v>
                  </c:pt>
                  <c:pt idx="15">
                    <c:v>0.435</c:v>
                  </c:pt>
                  <c:pt idx="16">
                    <c:v>0.456</c:v>
                  </c:pt>
                  <c:pt idx="17">
                    <c:v>0.433</c:v>
                  </c:pt>
                  <c:pt idx="18">
                    <c:v>0.479</c:v>
                  </c:pt>
                  <c:pt idx="19">
                    <c:v>0.443</c:v>
                  </c:pt>
                  <c:pt idx="20">
                    <c:v>0.433</c:v>
                  </c:pt>
                  <c:pt idx="21">
                    <c:v>0.463</c:v>
                  </c:pt>
                  <c:pt idx="22">
                    <c:v>0.457</c:v>
                  </c:pt>
                  <c:pt idx="23">
                    <c:v>0.451</c:v>
                  </c:pt>
                  <c:pt idx="24">
                    <c:v>0.452</c:v>
                  </c:pt>
                  <c:pt idx="25">
                    <c:v>0.472</c:v>
                  </c:pt>
                </c:numCache>
              </c:numRef>
            </c:minus>
            <c:spPr>
              <a:ln w="12700">
                <a:solidFill>
                  <a:srgbClr val="00B050"/>
                </a:solidFill>
              </a:ln>
            </c:spPr>
          </c:errBars>
          <c:xVal>
            <c:numRef>
              <c:f>'BMI-Absorption-30psi'!$M$4:$M$34</c:f>
              <c:numCache>
                <c:formatCode>General</c:formatCode>
                <c:ptCount val="31"/>
                <c:pt idx="0">
                  <c:v>1.57</c:v>
                </c:pt>
                <c:pt idx="1">
                  <c:v>2.29</c:v>
                </c:pt>
                <c:pt idx="2">
                  <c:v>5.25</c:v>
                </c:pt>
                <c:pt idx="3">
                  <c:v>8.52</c:v>
                </c:pt>
                <c:pt idx="4">
                  <c:v>13.89</c:v>
                </c:pt>
                <c:pt idx="5">
                  <c:v>19.67000000000001</c:v>
                </c:pt>
                <c:pt idx="6">
                  <c:v>25.5</c:v>
                </c:pt>
                <c:pt idx="7">
                  <c:v>31.4</c:v>
                </c:pt>
                <c:pt idx="8">
                  <c:v>37.35</c:v>
                </c:pt>
                <c:pt idx="9">
                  <c:v>42.7</c:v>
                </c:pt>
                <c:pt idx="10">
                  <c:v>48.49</c:v>
                </c:pt>
                <c:pt idx="11">
                  <c:v>53.9</c:v>
                </c:pt>
                <c:pt idx="12">
                  <c:v>59.42</c:v>
                </c:pt>
                <c:pt idx="13">
                  <c:v>66.61</c:v>
                </c:pt>
                <c:pt idx="14">
                  <c:v>71.33</c:v>
                </c:pt>
                <c:pt idx="15">
                  <c:v>76.99</c:v>
                </c:pt>
                <c:pt idx="16">
                  <c:v>82.25</c:v>
                </c:pt>
                <c:pt idx="17">
                  <c:v>88.72</c:v>
                </c:pt>
                <c:pt idx="18">
                  <c:v>93.71</c:v>
                </c:pt>
                <c:pt idx="19">
                  <c:v>98.94</c:v>
                </c:pt>
                <c:pt idx="20">
                  <c:v>105.41</c:v>
                </c:pt>
                <c:pt idx="21">
                  <c:v>111.5</c:v>
                </c:pt>
                <c:pt idx="22">
                  <c:v>116.64</c:v>
                </c:pt>
                <c:pt idx="23">
                  <c:v>121.68</c:v>
                </c:pt>
                <c:pt idx="24">
                  <c:v>127.94</c:v>
                </c:pt>
                <c:pt idx="25">
                  <c:v>133.33</c:v>
                </c:pt>
              </c:numCache>
            </c:numRef>
          </c:xVal>
          <c:yVal>
            <c:numRef>
              <c:f>'BMI-Absorption-30psi'!$N$4:$N$34</c:f>
              <c:numCache>
                <c:formatCode>General</c:formatCode>
                <c:ptCount val="31"/>
                <c:pt idx="0">
                  <c:v>0.9256</c:v>
                </c:pt>
                <c:pt idx="1">
                  <c:v>1.1842</c:v>
                </c:pt>
                <c:pt idx="2">
                  <c:v>2.1839</c:v>
                </c:pt>
                <c:pt idx="3">
                  <c:v>3.0841</c:v>
                </c:pt>
                <c:pt idx="4">
                  <c:v>3.9596</c:v>
                </c:pt>
                <c:pt idx="5">
                  <c:v>4.2815</c:v>
                </c:pt>
                <c:pt idx="6">
                  <c:v>4.4298</c:v>
                </c:pt>
                <c:pt idx="7">
                  <c:v>4.4999</c:v>
                </c:pt>
                <c:pt idx="8">
                  <c:v>4.6014</c:v>
                </c:pt>
                <c:pt idx="9">
                  <c:v>4.752</c:v>
                </c:pt>
                <c:pt idx="10">
                  <c:v>4.855899999999996</c:v>
                </c:pt>
                <c:pt idx="11">
                  <c:v>4.9319</c:v>
                </c:pt>
                <c:pt idx="12">
                  <c:v>5.0568</c:v>
                </c:pt>
                <c:pt idx="13">
                  <c:v>5.097099999999997</c:v>
                </c:pt>
                <c:pt idx="14">
                  <c:v>5.128499999999987</c:v>
                </c:pt>
                <c:pt idx="15">
                  <c:v>5.2184</c:v>
                </c:pt>
                <c:pt idx="16">
                  <c:v>5.314799999999995</c:v>
                </c:pt>
                <c:pt idx="17">
                  <c:v>5.390899999999998</c:v>
                </c:pt>
                <c:pt idx="18">
                  <c:v>5.4713</c:v>
                </c:pt>
                <c:pt idx="19">
                  <c:v>5.5124</c:v>
                </c:pt>
                <c:pt idx="20">
                  <c:v>5.5348</c:v>
                </c:pt>
                <c:pt idx="21">
                  <c:v>5.5602</c:v>
                </c:pt>
                <c:pt idx="22">
                  <c:v>5.5613</c:v>
                </c:pt>
                <c:pt idx="23">
                  <c:v>5.617799999999986</c:v>
                </c:pt>
                <c:pt idx="24">
                  <c:v>5.656999999999995</c:v>
                </c:pt>
                <c:pt idx="25">
                  <c:v>5.7101</c:v>
                </c:pt>
              </c:numCache>
            </c:numRef>
          </c:yVal>
          <c:smooth val="0"/>
        </c:ser>
        <c:ser>
          <c:idx val="3"/>
          <c:order val="4"/>
          <c:tx>
            <c:v>99% RH</c:v>
          </c:tx>
          <c:spPr>
            <a:ln w="28575">
              <a:noFill/>
            </a:ln>
          </c:spPr>
          <c:marker>
            <c:symbol val="square"/>
            <c:size val="5"/>
            <c:spPr>
              <a:solidFill>
                <a:srgbClr val="7030A0">
                  <a:alpha val="50000"/>
                </a:srgbClr>
              </a:solidFill>
              <a:ln w="12700">
                <a:solidFill>
                  <a:sysClr val="windowText" lastClr="000000"/>
                </a:solidFill>
              </a:ln>
            </c:spPr>
          </c:marker>
          <c:errBars>
            <c:errDir val="y"/>
            <c:errBarType val="both"/>
            <c:errValType val="cust"/>
            <c:noEndCap val="0"/>
            <c:plus>
              <c:numRef>
                <c:f>'BMI-Absorption-30psi'!$U$4:$U$29</c:f>
                <c:numCache>
                  <c:formatCode>General</c:formatCode>
                  <c:ptCount val="26"/>
                  <c:pt idx="0">
                    <c:v>0.074</c:v>
                  </c:pt>
                  <c:pt idx="1">
                    <c:v>0.105</c:v>
                  </c:pt>
                  <c:pt idx="2">
                    <c:v>0.164</c:v>
                  </c:pt>
                  <c:pt idx="3">
                    <c:v>0.183</c:v>
                  </c:pt>
                  <c:pt idx="4">
                    <c:v>0.303</c:v>
                  </c:pt>
                  <c:pt idx="5">
                    <c:v>0.371</c:v>
                  </c:pt>
                  <c:pt idx="6">
                    <c:v>0.359</c:v>
                  </c:pt>
                  <c:pt idx="7">
                    <c:v>0.356</c:v>
                  </c:pt>
                  <c:pt idx="8">
                    <c:v>0.36</c:v>
                  </c:pt>
                  <c:pt idx="9">
                    <c:v>0.407</c:v>
                  </c:pt>
                  <c:pt idx="10">
                    <c:v>0.386</c:v>
                  </c:pt>
                  <c:pt idx="11">
                    <c:v>0.369</c:v>
                  </c:pt>
                  <c:pt idx="12">
                    <c:v>0.437</c:v>
                  </c:pt>
                  <c:pt idx="13">
                    <c:v>0.442</c:v>
                  </c:pt>
                  <c:pt idx="14">
                    <c:v>0.439</c:v>
                  </c:pt>
                  <c:pt idx="15">
                    <c:v>0.423</c:v>
                  </c:pt>
                  <c:pt idx="16">
                    <c:v>0.458</c:v>
                  </c:pt>
                  <c:pt idx="17">
                    <c:v>0.457</c:v>
                  </c:pt>
                  <c:pt idx="18">
                    <c:v>0.45</c:v>
                  </c:pt>
                  <c:pt idx="19">
                    <c:v>0.431</c:v>
                  </c:pt>
                  <c:pt idx="20">
                    <c:v>0.427</c:v>
                  </c:pt>
                  <c:pt idx="21">
                    <c:v>0.44</c:v>
                  </c:pt>
                  <c:pt idx="22">
                    <c:v>0.429</c:v>
                  </c:pt>
                  <c:pt idx="23">
                    <c:v>0.442</c:v>
                  </c:pt>
                  <c:pt idx="24">
                    <c:v>0.442</c:v>
                  </c:pt>
                  <c:pt idx="25">
                    <c:v>0.47</c:v>
                  </c:pt>
                </c:numCache>
              </c:numRef>
            </c:plus>
            <c:minus>
              <c:numRef>
                <c:f>'BMI-Absorption-30psi'!$U$4:$U$29</c:f>
                <c:numCache>
                  <c:formatCode>General</c:formatCode>
                  <c:ptCount val="26"/>
                  <c:pt idx="0">
                    <c:v>0.074</c:v>
                  </c:pt>
                  <c:pt idx="1">
                    <c:v>0.105</c:v>
                  </c:pt>
                  <c:pt idx="2">
                    <c:v>0.164</c:v>
                  </c:pt>
                  <c:pt idx="3">
                    <c:v>0.183</c:v>
                  </c:pt>
                  <c:pt idx="4">
                    <c:v>0.303</c:v>
                  </c:pt>
                  <c:pt idx="5">
                    <c:v>0.371</c:v>
                  </c:pt>
                  <c:pt idx="6">
                    <c:v>0.359</c:v>
                  </c:pt>
                  <c:pt idx="7">
                    <c:v>0.356</c:v>
                  </c:pt>
                  <c:pt idx="8">
                    <c:v>0.36</c:v>
                  </c:pt>
                  <c:pt idx="9">
                    <c:v>0.407</c:v>
                  </c:pt>
                  <c:pt idx="10">
                    <c:v>0.386</c:v>
                  </c:pt>
                  <c:pt idx="11">
                    <c:v>0.369</c:v>
                  </c:pt>
                  <c:pt idx="12">
                    <c:v>0.437</c:v>
                  </c:pt>
                  <c:pt idx="13">
                    <c:v>0.442</c:v>
                  </c:pt>
                  <c:pt idx="14">
                    <c:v>0.439</c:v>
                  </c:pt>
                  <c:pt idx="15">
                    <c:v>0.423</c:v>
                  </c:pt>
                  <c:pt idx="16">
                    <c:v>0.458</c:v>
                  </c:pt>
                  <c:pt idx="17">
                    <c:v>0.457</c:v>
                  </c:pt>
                  <c:pt idx="18">
                    <c:v>0.45</c:v>
                  </c:pt>
                  <c:pt idx="19">
                    <c:v>0.431</c:v>
                  </c:pt>
                  <c:pt idx="20">
                    <c:v>0.427</c:v>
                  </c:pt>
                  <c:pt idx="21">
                    <c:v>0.44</c:v>
                  </c:pt>
                  <c:pt idx="22">
                    <c:v>0.429</c:v>
                  </c:pt>
                  <c:pt idx="23">
                    <c:v>0.442</c:v>
                  </c:pt>
                  <c:pt idx="24">
                    <c:v>0.442</c:v>
                  </c:pt>
                  <c:pt idx="25">
                    <c:v>0.47</c:v>
                  </c:pt>
                </c:numCache>
              </c:numRef>
            </c:minus>
            <c:spPr>
              <a:ln w="12700">
                <a:solidFill>
                  <a:srgbClr val="7030A0"/>
                </a:solidFill>
              </a:ln>
            </c:spPr>
          </c:errBars>
          <c:xVal>
            <c:numRef>
              <c:f>'BMI-Absorption-30psi'!$S$4:$S$34</c:f>
              <c:numCache>
                <c:formatCode>General</c:formatCode>
                <c:ptCount val="31"/>
                <c:pt idx="0">
                  <c:v>1.6</c:v>
                </c:pt>
                <c:pt idx="1">
                  <c:v>2.319999999999998</c:v>
                </c:pt>
                <c:pt idx="2">
                  <c:v>5.26</c:v>
                </c:pt>
                <c:pt idx="3">
                  <c:v>8.530000000000001</c:v>
                </c:pt>
                <c:pt idx="4">
                  <c:v>13.9</c:v>
                </c:pt>
                <c:pt idx="5">
                  <c:v>19.68</c:v>
                </c:pt>
                <c:pt idx="6">
                  <c:v>25.5</c:v>
                </c:pt>
                <c:pt idx="7">
                  <c:v>31.4</c:v>
                </c:pt>
                <c:pt idx="8">
                  <c:v>37.35</c:v>
                </c:pt>
                <c:pt idx="9">
                  <c:v>42.7</c:v>
                </c:pt>
                <c:pt idx="10">
                  <c:v>48.49</c:v>
                </c:pt>
                <c:pt idx="11">
                  <c:v>53.9</c:v>
                </c:pt>
                <c:pt idx="12">
                  <c:v>59.42</c:v>
                </c:pt>
                <c:pt idx="13">
                  <c:v>66.61</c:v>
                </c:pt>
                <c:pt idx="14">
                  <c:v>71.34</c:v>
                </c:pt>
                <c:pt idx="15">
                  <c:v>76.99</c:v>
                </c:pt>
                <c:pt idx="16">
                  <c:v>82.26</c:v>
                </c:pt>
                <c:pt idx="17">
                  <c:v>88.72</c:v>
                </c:pt>
                <c:pt idx="18">
                  <c:v>93.71</c:v>
                </c:pt>
                <c:pt idx="19">
                  <c:v>98.94</c:v>
                </c:pt>
                <c:pt idx="20">
                  <c:v>105.41</c:v>
                </c:pt>
                <c:pt idx="21">
                  <c:v>111.5</c:v>
                </c:pt>
                <c:pt idx="22">
                  <c:v>116.65</c:v>
                </c:pt>
                <c:pt idx="23">
                  <c:v>121.69</c:v>
                </c:pt>
                <c:pt idx="24">
                  <c:v>127.94</c:v>
                </c:pt>
                <c:pt idx="25">
                  <c:v>133.33</c:v>
                </c:pt>
              </c:numCache>
            </c:numRef>
          </c:xVal>
          <c:yVal>
            <c:numRef>
              <c:f>'BMI-Absorption-30psi'!$T$4:$T$34</c:f>
              <c:numCache>
                <c:formatCode>General</c:formatCode>
                <c:ptCount val="31"/>
                <c:pt idx="0">
                  <c:v>0.9654</c:v>
                </c:pt>
                <c:pt idx="1">
                  <c:v>1.2184</c:v>
                </c:pt>
                <c:pt idx="2">
                  <c:v>2.1774</c:v>
                </c:pt>
                <c:pt idx="3">
                  <c:v>2.9632</c:v>
                </c:pt>
                <c:pt idx="4">
                  <c:v>3.6528</c:v>
                </c:pt>
                <c:pt idx="5">
                  <c:v>3.8732</c:v>
                </c:pt>
                <c:pt idx="6">
                  <c:v>3.9542</c:v>
                </c:pt>
                <c:pt idx="7">
                  <c:v>4.0417</c:v>
                </c:pt>
                <c:pt idx="8">
                  <c:v>4.155699999999999</c:v>
                </c:pt>
                <c:pt idx="9">
                  <c:v>4.2512</c:v>
                </c:pt>
                <c:pt idx="10">
                  <c:v>4.3854</c:v>
                </c:pt>
                <c:pt idx="11">
                  <c:v>4.4434</c:v>
                </c:pt>
                <c:pt idx="12">
                  <c:v>4.524899999999985</c:v>
                </c:pt>
                <c:pt idx="13">
                  <c:v>4.600799999999999</c:v>
                </c:pt>
                <c:pt idx="14">
                  <c:v>4.64</c:v>
                </c:pt>
                <c:pt idx="15">
                  <c:v>4.720899999999998</c:v>
                </c:pt>
                <c:pt idx="16">
                  <c:v>4.7882</c:v>
                </c:pt>
                <c:pt idx="17">
                  <c:v>4.8707</c:v>
                </c:pt>
                <c:pt idx="18">
                  <c:v>4.922099999999999</c:v>
                </c:pt>
                <c:pt idx="19">
                  <c:v>5.0087</c:v>
                </c:pt>
                <c:pt idx="20">
                  <c:v>5.0103</c:v>
                </c:pt>
                <c:pt idx="21">
                  <c:v>5.0382</c:v>
                </c:pt>
                <c:pt idx="22">
                  <c:v>5.060999999999995</c:v>
                </c:pt>
                <c:pt idx="23">
                  <c:v>5.0972</c:v>
                </c:pt>
                <c:pt idx="24">
                  <c:v>5.143999999999997</c:v>
                </c:pt>
                <c:pt idx="25">
                  <c:v>5.1533</c:v>
                </c:pt>
              </c:numCache>
            </c:numRef>
          </c:yVal>
          <c:smooth val="0"/>
        </c:ser>
        <c:ser>
          <c:idx val="9"/>
          <c:order val="5"/>
          <c:spPr>
            <a:ln w="12700">
              <a:solidFill>
                <a:sysClr val="windowText" lastClr="000000"/>
              </a:solidFill>
              <a:prstDash val="lgDash"/>
            </a:ln>
          </c:spPr>
          <c:marker>
            <c:symbol val="none"/>
          </c:marker>
          <c:dPt>
            <c:idx val="1"/>
            <c:bubble3D val="0"/>
            <c:spPr>
              <a:ln w="12700">
                <a:solidFill>
                  <a:schemeClr val="bg1">
                    <a:lumMod val="50000"/>
                  </a:schemeClr>
                </a:solidFill>
                <a:prstDash val="lgDash"/>
              </a:ln>
            </c:spPr>
          </c:dPt>
          <c:xVal>
            <c:numRef>
              <c:f>('BMI-Absorption-10psi'!$D$51,'BMI-Absorption-10psi'!$D$51)</c:f>
              <c:numCache>
                <c:formatCode>General</c:formatCode>
                <c:ptCount val="2"/>
                <c:pt idx="0">
                  <c:v>132.363</c:v>
                </c:pt>
                <c:pt idx="1">
                  <c:v>132.363</c:v>
                </c:pt>
              </c:numCache>
            </c:numRef>
          </c:xVal>
          <c:yVal>
            <c:numLit>
              <c:formatCode>General</c:formatCode>
              <c:ptCount val="2"/>
              <c:pt idx="0">
                <c:v>0.0</c:v>
              </c:pt>
              <c:pt idx="1">
                <c:v>12.0</c:v>
              </c:pt>
            </c:numLit>
          </c:yVal>
          <c:smooth val="0"/>
        </c:ser>
        <c:dLbls>
          <c:showLegendKey val="0"/>
          <c:showVal val="0"/>
          <c:showCatName val="0"/>
          <c:showSerName val="0"/>
          <c:showPercent val="0"/>
          <c:showBubbleSize val="0"/>
        </c:dLbls>
        <c:axId val="431041880"/>
        <c:axId val="431047832"/>
      </c:scatterChart>
      <c:valAx>
        <c:axId val="431041880"/>
        <c:scaling>
          <c:orientation val="minMax"/>
          <c:max val="15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431047832"/>
        <c:crosses val="autoZero"/>
        <c:crossBetween val="midCat"/>
        <c:minorUnit val="12.5"/>
      </c:valAx>
      <c:valAx>
        <c:axId val="431047832"/>
        <c:scaling>
          <c:orientation val="minMax"/>
          <c:max val="11.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431041880"/>
        <c:crosses val="autoZero"/>
        <c:crossBetween val="midCat"/>
        <c:majorUnit val="2.0"/>
        <c:minorUnit val="0.5"/>
      </c:valAx>
      <c:spPr>
        <a:ln w="19050">
          <a:solidFill>
            <a:sysClr val="windowText" lastClr="000000"/>
          </a:solidFill>
        </a:ln>
      </c:spPr>
    </c:plotArea>
    <c:legend>
      <c:legendPos val="r"/>
      <c:legendEntry>
        <c:idx val="0"/>
        <c:delete val="1"/>
      </c:legendEntry>
      <c:legendEntry>
        <c:idx val="5"/>
        <c:delete val="1"/>
      </c:legendEntry>
      <c:layout>
        <c:manualLayout>
          <c:xMode val="edge"/>
          <c:yMode val="edge"/>
          <c:x val="0.191148775894539"/>
          <c:y val="0.0958136482939632"/>
          <c:w val="0.235230659726856"/>
          <c:h val="0.198320209973753"/>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3711019173451"/>
          <c:y val="0.0333333333333333"/>
          <c:w val="0.750570903213369"/>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square"/>
            <c:size val="5"/>
            <c:spPr>
              <a:solidFill>
                <a:srgbClr val="0070C0">
                  <a:alpha val="50000"/>
                </a:srgbClr>
              </a:solidFill>
              <a:ln w="12700">
                <a:solidFill>
                  <a:schemeClr val="tx1"/>
                </a:solidFill>
              </a:ln>
            </c:spPr>
          </c:marker>
          <c:errBars>
            <c:errDir val="y"/>
            <c:errBarType val="both"/>
            <c:errValType val="cust"/>
            <c:noEndCap val="0"/>
            <c:plus>
              <c:numRef>
                <c:f>'BMI-Absorption-50psi'!$C$4:$C$29</c:f>
                <c:numCache>
                  <c:formatCode>General</c:formatCode>
                  <c:ptCount val="26"/>
                  <c:pt idx="0">
                    <c:v>0.017</c:v>
                  </c:pt>
                  <c:pt idx="1">
                    <c:v>0.019</c:v>
                  </c:pt>
                  <c:pt idx="2">
                    <c:v>0.042</c:v>
                  </c:pt>
                  <c:pt idx="3">
                    <c:v>0.041</c:v>
                  </c:pt>
                  <c:pt idx="4">
                    <c:v>0.064</c:v>
                  </c:pt>
                  <c:pt idx="5">
                    <c:v>0.065</c:v>
                  </c:pt>
                  <c:pt idx="6">
                    <c:v>0.072</c:v>
                  </c:pt>
                  <c:pt idx="7">
                    <c:v>0.081</c:v>
                  </c:pt>
                  <c:pt idx="8">
                    <c:v>0.095</c:v>
                  </c:pt>
                  <c:pt idx="9">
                    <c:v>0.091</c:v>
                  </c:pt>
                  <c:pt idx="10">
                    <c:v>0.09</c:v>
                  </c:pt>
                  <c:pt idx="11">
                    <c:v>0.1</c:v>
                  </c:pt>
                  <c:pt idx="12">
                    <c:v>0.107</c:v>
                  </c:pt>
                  <c:pt idx="13">
                    <c:v>0.096</c:v>
                  </c:pt>
                  <c:pt idx="14">
                    <c:v>0.09</c:v>
                  </c:pt>
                  <c:pt idx="15">
                    <c:v>0.095</c:v>
                  </c:pt>
                  <c:pt idx="16">
                    <c:v>0.087</c:v>
                  </c:pt>
                  <c:pt idx="17">
                    <c:v>0.086</c:v>
                  </c:pt>
                  <c:pt idx="18">
                    <c:v>0.088</c:v>
                  </c:pt>
                  <c:pt idx="19">
                    <c:v>0.075</c:v>
                  </c:pt>
                  <c:pt idx="20">
                    <c:v>0.093</c:v>
                  </c:pt>
                  <c:pt idx="21">
                    <c:v>0.088</c:v>
                  </c:pt>
                  <c:pt idx="22">
                    <c:v>0.076</c:v>
                  </c:pt>
                  <c:pt idx="23">
                    <c:v>0.075</c:v>
                  </c:pt>
                  <c:pt idx="24">
                    <c:v>0.091</c:v>
                  </c:pt>
                  <c:pt idx="25">
                    <c:v>0.08</c:v>
                  </c:pt>
                </c:numCache>
              </c:numRef>
            </c:plus>
            <c:minus>
              <c:numRef>
                <c:f>'BMI-Absorption-50psi'!$C$4:$C$29</c:f>
                <c:numCache>
                  <c:formatCode>General</c:formatCode>
                  <c:ptCount val="26"/>
                  <c:pt idx="0">
                    <c:v>0.017</c:v>
                  </c:pt>
                  <c:pt idx="1">
                    <c:v>0.019</c:v>
                  </c:pt>
                  <c:pt idx="2">
                    <c:v>0.042</c:v>
                  </c:pt>
                  <c:pt idx="3">
                    <c:v>0.041</c:v>
                  </c:pt>
                  <c:pt idx="4">
                    <c:v>0.064</c:v>
                  </c:pt>
                  <c:pt idx="5">
                    <c:v>0.065</c:v>
                  </c:pt>
                  <c:pt idx="6">
                    <c:v>0.072</c:v>
                  </c:pt>
                  <c:pt idx="7">
                    <c:v>0.081</c:v>
                  </c:pt>
                  <c:pt idx="8">
                    <c:v>0.095</c:v>
                  </c:pt>
                  <c:pt idx="9">
                    <c:v>0.091</c:v>
                  </c:pt>
                  <c:pt idx="10">
                    <c:v>0.09</c:v>
                  </c:pt>
                  <c:pt idx="11">
                    <c:v>0.1</c:v>
                  </c:pt>
                  <c:pt idx="12">
                    <c:v>0.107</c:v>
                  </c:pt>
                  <c:pt idx="13">
                    <c:v>0.096</c:v>
                  </c:pt>
                  <c:pt idx="14">
                    <c:v>0.09</c:v>
                  </c:pt>
                  <c:pt idx="15">
                    <c:v>0.095</c:v>
                  </c:pt>
                  <c:pt idx="16">
                    <c:v>0.087</c:v>
                  </c:pt>
                  <c:pt idx="17">
                    <c:v>0.086</c:v>
                  </c:pt>
                  <c:pt idx="18">
                    <c:v>0.088</c:v>
                  </c:pt>
                  <c:pt idx="19">
                    <c:v>0.075</c:v>
                  </c:pt>
                  <c:pt idx="20">
                    <c:v>0.093</c:v>
                  </c:pt>
                  <c:pt idx="21">
                    <c:v>0.088</c:v>
                  </c:pt>
                  <c:pt idx="22">
                    <c:v>0.076</c:v>
                  </c:pt>
                  <c:pt idx="23">
                    <c:v>0.075</c:v>
                  </c:pt>
                  <c:pt idx="24">
                    <c:v>0.091</c:v>
                  </c:pt>
                  <c:pt idx="25">
                    <c:v>0.08</c:v>
                  </c:pt>
                </c:numCache>
              </c:numRef>
            </c:minus>
            <c:spPr>
              <a:ln w="12700">
                <a:solidFill>
                  <a:srgbClr val="0070C0"/>
                </a:solidFill>
              </a:ln>
            </c:spPr>
          </c:errBars>
          <c:xVal>
            <c:numRef>
              <c:f>'BMI-Absorption-50psi'!$A$4:$A$34</c:f>
              <c:numCache>
                <c:formatCode>General</c:formatCode>
                <c:ptCount val="31"/>
                <c:pt idx="0">
                  <c:v>1.5</c:v>
                </c:pt>
                <c:pt idx="1">
                  <c:v>2.25</c:v>
                </c:pt>
                <c:pt idx="2">
                  <c:v>5.23</c:v>
                </c:pt>
                <c:pt idx="3">
                  <c:v>8.58</c:v>
                </c:pt>
                <c:pt idx="4">
                  <c:v>13.88</c:v>
                </c:pt>
                <c:pt idx="5">
                  <c:v>19.67000000000001</c:v>
                </c:pt>
                <c:pt idx="6">
                  <c:v>25.5</c:v>
                </c:pt>
                <c:pt idx="7">
                  <c:v>31.39</c:v>
                </c:pt>
                <c:pt idx="8">
                  <c:v>37.34</c:v>
                </c:pt>
                <c:pt idx="9">
                  <c:v>42.72</c:v>
                </c:pt>
                <c:pt idx="10">
                  <c:v>48.48</c:v>
                </c:pt>
                <c:pt idx="11">
                  <c:v>53.89</c:v>
                </c:pt>
                <c:pt idx="12">
                  <c:v>59.42</c:v>
                </c:pt>
                <c:pt idx="13">
                  <c:v>66.6</c:v>
                </c:pt>
                <c:pt idx="14">
                  <c:v>71.33</c:v>
                </c:pt>
                <c:pt idx="15">
                  <c:v>76.99</c:v>
                </c:pt>
                <c:pt idx="16">
                  <c:v>82.25</c:v>
                </c:pt>
                <c:pt idx="17">
                  <c:v>88.72</c:v>
                </c:pt>
                <c:pt idx="18">
                  <c:v>93.7</c:v>
                </c:pt>
                <c:pt idx="19">
                  <c:v>98.93</c:v>
                </c:pt>
                <c:pt idx="20">
                  <c:v>105.41</c:v>
                </c:pt>
                <c:pt idx="21">
                  <c:v>111.49</c:v>
                </c:pt>
                <c:pt idx="22">
                  <c:v>116.64</c:v>
                </c:pt>
                <c:pt idx="23">
                  <c:v>121.68</c:v>
                </c:pt>
                <c:pt idx="24">
                  <c:v>127.94</c:v>
                </c:pt>
                <c:pt idx="25">
                  <c:v>133.33</c:v>
                </c:pt>
                <c:pt idx="30">
                  <c:v>138.54</c:v>
                </c:pt>
              </c:numCache>
            </c:numRef>
          </c:xVal>
          <c:yVal>
            <c:numRef>
              <c:f>'BMI-Absorption-50psi'!$B$4:$B$34</c:f>
              <c:numCache>
                <c:formatCode>General</c:formatCode>
                <c:ptCount val="31"/>
                <c:pt idx="0">
                  <c:v>0.169</c:v>
                </c:pt>
                <c:pt idx="1">
                  <c:v>0.1974</c:v>
                </c:pt>
                <c:pt idx="2">
                  <c:v>0.2485</c:v>
                </c:pt>
                <c:pt idx="3">
                  <c:v>0.3124</c:v>
                </c:pt>
                <c:pt idx="4">
                  <c:v>0.3951</c:v>
                </c:pt>
                <c:pt idx="5">
                  <c:v>0.4424</c:v>
                </c:pt>
                <c:pt idx="6">
                  <c:v>0.4996</c:v>
                </c:pt>
                <c:pt idx="7">
                  <c:v>0.5995</c:v>
                </c:pt>
                <c:pt idx="8">
                  <c:v>0.6379</c:v>
                </c:pt>
                <c:pt idx="9">
                  <c:v>0.7059</c:v>
                </c:pt>
                <c:pt idx="10">
                  <c:v>0.7383</c:v>
                </c:pt>
                <c:pt idx="11">
                  <c:v>0.8109</c:v>
                </c:pt>
                <c:pt idx="12">
                  <c:v>0.866</c:v>
                </c:pt>
                <c:pt idx="13">
                  <c:v>0.8635</c:v>
                </c:pt>
                <c:pt idx="14">
                  <c:v>0.8877</c:v>
                </c:pt>
                <c:pt idx="15">
                  <c:v>0.9061</c:v>
                </c:pt>
                <c:pt idx="16">
                  <c:v>0.9459</c:v>
                </c:pt>
                <c:pt idx="17">
                  <c:v>0.9805</c:v>
                </c:pt>
                <c:pt idx="18">
                  <c:v>1.0152</c:v>
                </c:pt>
                <c:pt idx="19">
                  <c:v>1.053</c:v>
                </c:pt>
                <c:pt idx="20">
                  <c:v>1.095</c:v>
                </c:pt>
                <c:pt idx="21">
                  <c:v>1.1186</c:v>
                </c:pt>
                <c:pt idx="22">
                  <c:v>1.1298</c:v>
                </c:pt>
                <c:pt idx="23">
                  <c:v>1.1427</c:v>
                </c:pt>
                <c:pt idx="24">
                  <c:v>1.2336</c:v>
                </c:pt>
                <c:pt idx="25">
                  <c:v>1.2362</c:v>
                </c:pt>
              </c:numCache>
            </c:numRef>
          </c:yVal>
          <c:smooth val="0"/>
        </c:ser>
        <c:ser>
          <c:idx val="1"/>
          <c:order val="2"/>
          <c:tx>
            <c:v>40% RH</c:v>
          </c:tx>
          <c:spPr>
            <a:ln w="28575">
              <a:noFill/>
            </a:ln>
          </c:spPr>
          <c:marker>
            <c:symbol val="square"/>
            <c:size val="5"/>
            <c:spPr>
              <a:solidFill>
                <a:srgbClr val="C00000">
                  <a:alpha val="50000"/>
                </a:srgbClr>
              </a:solidFill>
              <a:ln w="12700">
                <a:solidFill>
                  <a:sysClr val="windowText" lastClr="000000"/>
                </a:solidFill>
              </a:ln>
            </c:spPr>
          </c:marker>
          <c:errBars>
            <c:errDir val="y"/>
            <c:errBarType val="both"/>
            <c:errValType val="cust"/>
            <c:noEndCap val="0"/>
            <c:plus>
              <c:numRef>
                <c:f>'BMI-Absorption-50psi'!$I$4:$I$29</c:f>
                <c:numCache>
                  <c:formatCode>General</c:formatCode>
                  <c:ptCount val="26"/>
                  <c:pt idx="0">
                    <c:v>0.184</c:v>
                  </c:pt>
                  <c:pt idx="1">
                    <c:v>0.263</c:v>
                  </c:pt>
                  <c:pt idx="2">
                    <c:v>0.531</c:v>
                  </c:pt>
                  <c:pt idx="3">
                    <c:v>0.732</c:v>
                  </c:pt>
                  <c:pt idx="4">
                    <c:v>0.915</c:v>
                  </c:pt>
                  <c:pt idx="5">
                    <c:v>0.975</c:v>
                  </c:pt>
                  <c:pt idx="6">
                    <c:v>0.985</c:v>
                  </c:pt>
                  <c:pt idx="7">
                    <c:v>0.977</c:v>
                  </c:pt>
                  <c:pt idx="8">
                    <c:v>1.009</c:v>
                  </c:pt>
                  <c:pt idx="9">
                    <c:v>1.041</c:v>
                  </c:pt>
                  <c:pt idx="10">
                    <c:v>1.052</c:v>
                  </c:pt>
                  <c:pt idx="11">
                    <c:v>1.051</c:v>
                  </c:pt>
                  <c:pt idx="12">
                    <c:v>1.074</c:v>
                  </c:pt>
                  <c:pt idx="13">
                    <c:v>1.068</c:v>
                  </c:pt>
                  <c:pt idx="14">
                    <c:v>1.07</c:v>
                  </c:pt>
                  <c:pt idx="15">
                    <c:v>1.052</c:v>
                  </c:pt>
                  <c:pt idx="16">
                    <c:v>1.051</c:v>
                  </c:pt>
                  <c:pt idx="17">
                    <c:v>1.052</c:v>
                  </c:pt>
                  <c:pt idx="18">
                    <c:v>1.047</c:v>
                  </c:pt>
                  <c:pt idx="19">
                    <c:v>1.047</c:v>
                  </c:pt>
                  <c:pt idx="20">
                    <c:v>1.041</c:v>
                  </c:pt>
                  <c:pt idx="21">
                    <c:v>1.04</c:v>
                  </c:pt>
                  <c:pt idx="22">
                    <c:v>1.024</c:v>
                  </c:pt>
                  <c:pt idx="23">
                    <c:v>1.023</c:v>
                  </c:pt>
                  <c:pt idx="24">
                    <c:v>1.027</c:v>
                  </c:pt>
                  <c:pt idx="25">
                    <c:v>1.043</c:v>
                  </c:pt>
                </c:numCache>
              </c:numRef>
            </c:plus>
            <c:minus>
              <c:numRef>
                <c:f>'BMI-Absorption-50psi'!$I$4:$I$29</c:f>
                <c:numCache>
                  <c:formatCode>General</c:formatCode>
                  <c:ptCount val="26"/>
                  <c:pt idx="0">
                    <c:v>0.184</c:v>
                  </c:pt>
                  <c:pt idx="1">
                    <c:v>0.263</c:v>
                  </c:pt>
                  <c:pt idx="2">
                    <c:v>0.531</c:v>
                  </c:pt>
                  <c:pt idx="3">
                    <c:v>0.732</c:v>
                  </c:pt>
                  <c:pt idx="4">
                    <c:v>0.915</c:v>
                  </c:pt>
                  <c:pt idx="5">
                    <c:v>0.975</c:v>
                  </c:pt>
                  <c:pt idx="6">
                    <c:v>0.985</c:v>
                  </c:pt>
                  <c:pt idx="7">
                    <c:v>0.977</c:v>
                  </c:pt>
                  <c:pt idx="8">
                    <c:v>1.009</c:v>
                  </c:pt>
                  <c:pt idx="9">
                    <c:v>1.041</c:v>
                  </c:pt>
                  <c:pt idx="10">
                    <c:v>1.052</c:v>
                  </c:pt>
                  <c:pt idx="11">
                    <c:v>1.051</c:v>
                  </c:pt>
                  <c:pt idx="12">
                    <c:v>1.074</c:v>
                  </c:pt>
                  <c:pt idx="13">
                    <c:v>1.068</c:v>
                  </c:pt>
                  <c:pt idx="14">
                    <c:v>1.07</c:v>
                  </c:pt>
                  <c:pt idx="15">
                    <c:v>1.052</c:v>
                  </c:pt>
                  <c:pt idx="16">
                    <c:v>1.051</c:v>
                  </c:pt>
                  <c:pt idx="17">
                    <c:v>1.052</c:v>
                  </c:pt>
                  <c:pt idx="18">
                    <c:v>1.047</c:v>
                  </c:pt>
                  <c:pt idx="19">
                    <c:v>1.047</c:v>
                  </c:pt>
                  <c:pt idx="20">
                    <c:v>1.041</c:v>
                  </c:pt>
                  <c:pt idx="21">
                    <c:v>1.04</c:v>
                  </c:pt>
                  <c:pt idx="22">
                    <c:v>1.024</c:v>
                  </c:pt>
                  <c:pt idx="23">
                    <c:v>1.023</c:v>
                  </c:pt>
                  <c:pt idx="24">
                    <c:v>1.027</c:v>
                  </c:pt>
                  <c:pt idx="25">
                    <c:v>1.043</c:v>
                  </c:pt>
                </c:numCache>
              </c:numRef>
            </c:minus>
            <c:spPr>
              <a:ln w="12700">
                <a:solidFill>
                  <a:srgbClr val="C00000"/>
                </a:solidFill>
              </a:ln>
            </c:spPr>
          </c:errBars>
          <c:xVal>
            <c:numRef>
              <c:f>'BMI-Absorption-50psi'!$G$4:$G$34</c:f>
              <c:numCache>
                <c:formatCode>General</c:formatCode>
                <c:ptCount val="31"/>
                <c:pt idx="0">
                  <c:v>1.54</c:v>
                </c:pt>
                <c:pt idx="1">
                  <c:v>2.28</c:v>
                </c:pt>
                <c:pt idx="2">
                  <c:v>5.24</c:v>
                </c:pt>
                <c:pt idx="3">
                  <c:v>8.59</c:v>
                </c:pt>
                <c:pt idx="4">
                  <c:v>13.89</c:v>
                </c:pt>
                <c:pt idx="5">
                  <c:v>19.67000000000001</c:v>
                </c:pt>
                <c:pt idx="6">
                  <c:v>25.5</c:v>
                </c:pt>
                <c:pt idx="7">
                  <c:v>31.39</c:v>
                </c:pt>
                <c:pt idx="8">
                  <c:v>37.35</c:v>
                </c:pt>
                <c:pt idx="9">
                  <c:v>42.72</c:v>
                </c:pt>
                <c:pt idx="10">
                  <c:v>48.49</c:v>
                </c:pt>
                <c:pt idx="11">
                  <c:v>53.9</c:v>
                </c:pt>
                <c:pt idx="12">
                  <c:v>59.42</c:v>
                </c:pt>
                <c:pt idx="13">
                  <c:v>66.61</c:v>
                </c:pt>
                <c:pt idx="14">
                  <c:v>71.33</c:v>
                </c:pt>
                <c:pt idx="15">
                  <c:v>76.99</c:v>
                </c:pt>
                <c:pt idx="16">
                  <c:v>82.26</c:v>
                </c:pt>
                <c:pt idx="17">
                  <c:v>88.72</c:v>
                </c:pt>
                <c:pt idx="18">
                  <c:v>93.7</c:v>
                </c:pt>
                <c:pt idx="19">
                  <c:v>98.93</c:v>
                </c:pt>
                <c:pt idx="20">
                  <c:v>105.41</c:v>
                </c:pt>
                <c:pt idx="21">
                  <c:v>111.5</c:v>
                </c:pt>
                <c:pt idx="22">
                  <c:v>116.64</c:v>
                </c:pt>
                <c:pt idx="23">
                  <c:v>121.68</c:v>
                </c:pt>
                <c:pt idx="24">
                  <c:v>127.94</c:v>
                </c:pt>
                <c:pt idx="25">
                  <c:v>133.33</c:v>
                </c:pt>
              </c:numCache>
            </c:numRef>
          </c:xVal>
          <c:yVal>
            <c:numRef>
              <c:f>'BMI-Absorption-50psi'!$H$4:$H$34</c:f>
              <c:numCache>
                <c:formatCode>General</c:formatCode>
                <c:ptCount val="31"/>
                <c:pt idx="0">
                  <c:v>0.5164</c:v>
                </c:pt>
                <c:pt idx="1">
                  <c:v>0.6776</c:v>
                </c:pt>
                <c:pt idx="2">
                  <c:v>1.2964</c:v>
                </c:pt>
                <c:pt idx="3">
                  <c:v>1.7926</c:v>
                </c:pt>
                <c:pt idx="4">
                  <c:v>2.1343</c:v>
                </c:pt>
                <c:pt idx="5">
                  <c:v>2.2218</c:v>
                </c:pt>
                <c:pt idx="6">
                  <c:v>2.329499999999999</c:v>
                </c:pt>
                <c:pt idx="7">
                  <c:v>2.4238</c:v>
                </c:pt>
                <c:pt idx="8">
                  <c:v>2.4882</c:v>
                </c:pt>
                <c:pt idx="9">
                  <c:v>2.6572</c:v>
                </c:pt>
                <c:pt idx="10">
                  <c:v>2.7874</c:v>
                </c:pt>
                <c:pt idx="11">
                  <c:v>2.862699999999998</c:v>
                </c:pt>
                <c:pt idx="12">
                  <c:v>2.9626</c:v>
                </c:pt>
                <c:pt idx="13">
                  <c:v>3.0301</c:v>
                </c:pt>
                <c:pt idx="14">
                  <c:v>3.0644</c:v>
                </c:pt>
                <c:pt idx="15">
                  <c:v>3.1082</c:v>
                </c:pt>
                <c:pt idx="16">
                  <c:v>3.1679</c:v>
                </c:pt>
                <c:pt idx="17">
                  <c:v>3.2081</c:v>
                </c:pt>
                <c:pt idx="18">
                  <c:v>3.23</c:v>
                </c:pt>
                <c:pt idx="19">
                  <c:v>3.2698</c:v>
                </c:pt>
                <c:pt idx="20">
                  <c:v>3.2783</c:v>
                </c:pt>
                <c:pt idx="21">
                  <c:v>3.2948</c:v>
                </c:pt>
                <c:pt idx="22">
                  <c:v>3.2846</c:v>
                </c:pt>
                <c:pt idx="23">
                  <c:v>3.2909</c:v>
                </c:pt>
                <c:pt idx="24">
                  <c:v>3.33689999999998</c:v>
                </c:pt>
                <c:pt idx="25">
                  <c:v>3.3201</c:v>
                </c:pt>
              </c:numCache>
            </c:numRef>
          </c:yVal>
          <c:smooth val="0"/>
        </c:ser>
        <c:ser>
          <c:idx val="2"/>
          <c:order val="3"/>
          <c:tx>
            <c:v>70% RH</c:v>
          </c:tx>
          <c:spPr>
            <a:ln w="28575">
              <a:noFill/>
            </a:ln>
          </c:spPr>
          <c:marker>
            <c:symbol val="square"/>
            <c:size val="5"/>
            <c:spPr>
              <a:solidFill>
                <a:srgbClr val="00B050">
                  <a:alpha val="50000"/>
                </a:srgbClr>
              </a:solidFill>
              <a:ln w="12700">
                <a:solidFill>
                  <a:sysClr val="windowText" lastClr="000000"/>
                </a:solidFill>
              </a:ln>
            </c:spPr>
          </c:marker>
          <c:errBars>
            <c:errDir val="y"/>
            <c:errBarType val="both"/>
            <c:errValType val="cust"/>
            <c:noEndCap val="0"/>
            <c:plus>
              <c:numRef>
                <c:f>'BMI-Absorption-50psi'!$O$4:$O$29</c:f>
                <c:numCache>
                  <c:formatCode>General</c:formatCode>
                  <c:ptCount val="26"/>
                  <c:pt idx="0">
                    <c:v>0.048</c:v>
                  </c:pt>
                  <c:pt idx="1">
                    <c:v>0.082</c:v>
                  </c:pt>
                  <c:pt idx="2">
                    <c:v>0.117</c:v>
                  </c:pt>
                  <c:pt idx="3">
                    <c:v>0.158</c:v>
                  </c:pt>
                  <c:pt idx="4">
                    <c:v>0.235</c:v>
                  </c:pt>
                  <c:pt idx="5">
                    <c:v>0.299</c:v>
                  </c:pt>
                  <c:pt idx="6">
                    <c:v>0.297</c:v>
                  </c:pt>
                  <c:pt idx="7">
                    <c:v>0.282</c:v>
                  </c:pt>
                  <c:pt idx="8">
                    <c:v>0.307</c:v>
                  </c:pt>
                  <c:pt idx="9">
                    <c:v>0.343</c:v>
                  </c:pt>
                  <c:pt idx="10">
                    <c:v>0.347</c:v>
                  </c:pt>
                  <c:pt idx="11">
                    <c:v>0.341</c:v>
                  </c:pt>
                  <c:pt idx="12">
                    <c:v>0.368</c:v>
                  </c:pt>
                  <c:pt idx="13">
                    <c:v>0.346</c:v>
                  </c:pt>
                  <c:pt idx="14">
                    <c:v>0.375</c:v>
                  </c:pt>
                  <c:pt idx="15">
                    <c:v>0.354</c:v>
                  </c:pt>
                  <c:pt idx="16">
                    <c:v>0.358</c:v>
                  </c:pt>
                  <c:pt idx="17">
                    <c:v>0.349</c:v>
                  </c:pt>
                  <c:pt idx="18">
                    <c:v>0.365</c:v>
                  </c:pt>
                  <c:pt idx="19">
                    <c:v>0.346</c:v>
                  </c:pt>
                  <c:pt idx="20">
                    <c:v>0.348</c:v>
                  </c:pt>
                  <c:pt idx="21">
                    <c:v>0.359</c:v>
                  </c:pt>
                  <c:pt idx="22">
                    <c:v>0.349</c:v>
                  </c:pt>
                  <c:pt idx="23">
                    <c:v>0.359</c:v>
                  </c:pt>
                  <c:pt idx="24">
                    <c:v>0.344</c:v>
                  </c:pt>
                  <c:pt idx="25">
                    <c:v>0.358</c:v>
                  </c:pt>
                </c:numCache>
              </c:numRef>
            </c:plus>
            <c:minus>
              <c:numRef>
                <c:f>'BMI-Absorption-50psi'!$O$4:$O$29</c:f>
                <c:numCache>
                  <c:formatCode>General</c:formatCode>
                  <c:ptCount val="26"/>
                  <c:pt idx="0">
                    <c:v>0.048</c:v>
                  </c:pt>
                  <c:pt idx="1">
                    <c:v>0.082</c:v>
                  </c:pt>
                  <c:pt idx="2">
                    <c:v>0.117</c:v>
                  </c:pt>
                  <c:pt idx="3">
                    <c:v>0.158</c:v>
                  </c:pt>
                  <c:pt idx="4">
                    <c:v>0.235</c:v>
                  </c:pt>
                  <c:pt idx="5">
                    <c:v>0.299</c:v>
                  </c:pt>
                  <c:pt idx="6">
                    <c:v>0.297</c:v>
                  </c:pt>
                  <c:pt idx="7">
                    <c:v>0.282</c:v>
                  </c:pt>
                  <c:pt idx="8">
                    <c:v>0.307</c:v>
                  </c:pt>
                  <c:pt idx="9">
                    <c:v>0.343</c:v>
                  </c:pt>
                  <c:pt idx="10">
                    <c:v>0.347</c:v>
                  </c:pt>
                  <c:pt idx="11">
                    <c:v>0.341</c:v>
                  </c:pt>
                  <c:pt idx="12">
                    <c:v>0.368</c:v>
                  </c:pt>
                  <c:pt idx="13">
                    <c:v>0.346</c:v>
                  </c:pt>
                  <c:pt idx="14">
                    <c:v>0.375</c:v>
                  </c:pt>
                  <c:pt idx="15">
                    <c:v>0.354</c:v>
                  </c:pt>
                  <c:pt idx="16">
                    <c:v>0.358</c:v>
                  </c:pt>
                  <c:pt idx="17">
                    <c:v>0.349</c:v>
                  </c:pt>
                  <c:pt idx="18">
                    <c:v>0.365</c:v>
                  </c:pt>
                  <c:pt idx="19">
                    <c:v>0.346</c:v>
                  </c:pt>
                  <c:pt idx="20">
                    <c:v>0.348</c:v>
                  </c:pt>
                  <c:pt idx="21">
                    <c:v>0.359</c:v>
                  </c:pt>
                  <c:pt idx="22">
                    <c:v>0.349</c:v>
                  </c:pt>
                  <c:pt idx="23">
                    <c:v>0.359</c:v>
                  </c:pt>
                  <c:pt idx="24">
                    <c:v>0.344</c:v>
                  </c:pt>
                  <c:pt idx="25">
                    <c:v>0.358</c:v>
                  </c:pt>
                </c:numCache>
              </c:numRef>
            </c:minus>
            <c:spPr>
              <a:ln w="12700">
                <a:solidFill>
                  <a:srgbClr val="00B050"/>
                </a:solidFill>
              </a:ln>
            </c:spPr>
          </c:errBars>
          <c:xVal>
            <c:numRef>
              <c:f>'BMI-Absorption-50psi'!$M$4:$M$34</c:f>
              <c:numCache>
                <c:formatCode>General</c:formatCode>
                <c:ptCount val="31"/>
                <c:pt idx="0">
                  <c:v>1.59</c:v>
                </c:pt>
                <c:pt idx="1">
                  <c:v>2.31</c:v>
                </c:pt>
                <c:pt idx="2">
                  <c:v>5.25</c:v>
                </c:pt>
                <c:pt idx="3">
                  <c:v>8.6</c:v>
                </c:pt>
                <c:pt idx="4">
                  <c:v>13.89</c:v>
                </c:pt>
                <c:pt idx="5">
                  <c:v>19.68</c:v>
                </c:pt>
                <c:pt idx="6">
                  <c:v>25.5</c:v>
                </c:pt>
                <c:pt idx="7">
                  <c:v>31.4</c:v>
                </c:pt>
                <c:pt idx="8">
                  <c:v>37.35</c:v>
                </c:pt>
                <c:pt idx="9">
                  <c:v>42.73</c:v>
                </c:pt>
                <c:pt idx="10">
                  <c:v>48.49</c:v>
                </c:pt>
                <c:pt idx="11">
                  <c:v>53.9</c:v>
                </c:pt>
                <c:pt idx="12">
                  <c:v>59.42</c:v>
                </c:pt>
                <c:pt idx="13">
                  <c:v>66.61</c:v>
                </c:pt>
                <c:pt idx="14">
                  <c:v>71.34</c:v>
                </c:pt>
                <c:pt idx="15">
                  <c:v>76.99</c:v>
                </c:pt>
                <c:pt idx="16">
                  <c:v>82.26</c:v>
                </c:pt>
                <c:pt idx="17">
                  <c:v>88.72</c:v>
                </c:pt>
                <c:pt idx="18">
                  <c:v>93.71</c:v>
                </c:pt>
                <c:pt idx="19">
                  <c:v>98.94</c:v>
                </c:pt>
                <c:pt idx="20">
                  <c:v>105.41</c:v>
                </c:pt>
                <c:pt idx="21">
                  <c:v>111.5</c:v>
                </c:pt>
                <c:pt idx="22">
                  <c:v>116.64</c:v>
                </c:pt>
                <c:pt idx="23">
                  <c:v>121.68</c:v>
                </c:pt>
                <c:pt idx="24">
                  <c:v>127.94</c:v>
                </c:pt>
                <c:pt idx="25">
                  <c:v>133.33</c:v>
                </c:pt>
              </c:numCache>
            </c:numRef>
          </c:xVal>
          <c:yVal>
            <c:numRef>
              <c:f>'BMI-Absorption-50psi'!$N$4:$N$34</c:f>
              <c:numCache>
                <c:formatCode>General</c:formatCode>
                <c:ptCount val="31"/>
                <c:pt idx="0">
                  <c:v>0.9502</c:v>
                </c:pt>
                <c:pt idx="1">
                  <c:v>1.1853</c:v>
                </c:pt>
                <c:pt idx="2">
                  <c:v>2.1442</c:v>
                </c:pt>
                <c:pt idx="3">
                  <c:v>2.9517</c:v>
                </c:pt>
                <c:pt idx="4">
                  <c:v>3.554</c:v>
                </c:pt>
                <c:pt idx="5">
                  <c:v>3.7028</c:v>
                </c:pt>
                <c:pt idx="6">
                  <c:v>3.7866</c:v>
                </c:pt>
                <c:pt idx="7">
                  <c:v>3.894</c:v>
                </c:pt>
                <c:pt idx="8">
                  <c:v>4.0426</c:v>
                </c:pt>
                <c:pt idx="9">
                  <c:v>4.1711</c:v>
                </c:pt>
                <c:pt idx="10">
                  <c:v>4.2873</c:v>
                </c:pt>
                <c:pt idx="11">
                  <c:v>4.3385</c:v>
                </c:pt>
                <c:pt idx="12">
                  <c:v>4.4164</c:v>
                </c:pt>
                <c:pt idx="13">
                  <c:v>4.52</c:v>
                </c:pt>
                <c:pt idx="14">
                  <c:v>4.522399999999998</c:v>
                </c:pt>
                <c:pt idx="15">
                  <c:v>4.5583</c:v>
                </c:pt>
                <c:pt idx="16">
                  <c:v>4.6004</c:v>
                </c:pt>
                <c:pt idx="17">
                  <c:v>4.663099999999995</c:v>
                </c:pt>
                <c:pt idx="18">
                  <c:v>4.689199999999999</c:v>
                </c:pt>
                <c:pt idx="19">
                  <c:v>4.724099999999995</c:v>
                </c:pt>
                <c:pt idx="20">
                  <c:v>4.7524</c:v>
                </c:pt>
                <c:pt idx="21">
                  <c:v>4.7741</c:v>
                </c:pt>
                <c:pt idx="22">
                  <c:v>4.8097</c:v>
                </c:pt>
                <c:pt idx="23">
                  <c:v>4.810799999999999</c:v>
                </c:pt>
                <c:pt idx="24">
                  <c:v>4.8483</c:v>
                </c:pt>
                <c:pt idx="25">
                  <c:v>4.8031</c:v>
                </c:pt>
              </c:numCache>
            </c:numRef>
          </c:yVal>
          <c:smooth val="0"/>
        </c:ser>
        <c:ser>
          <c:idx val="3"/>
          <c:order val="4"/>
          <c:tx>
            <c:v>99% RH</c:v>
          </c:tx>
          <c:spPr>
            <a:ln w="28575">
              <a:noFill/>
            </a:ln>
          </c:spPr>
          <c:marker>
            <c:symbol val="square"/>
            <c:size val="5"/>
            <c:spPr>
              <a:solidFill>
                <a:srgbClr val="7030A0">
                  <a:alpha val="50000"/>
                </a:srgbClr>
              </a:solidFill>
              <a:ln w="12700">
                <a:solidFill>
                  <a:sysClr val="windowText" lastClr="000000"/>
                </a:solidFill>
              </a:ln>
            </c:spPr>
          </c:marker>
          <c:errBars>
            <c:errDir val="y"/>
            <c:errBarType val="both"/>
            <c:errValType val="cust"/>
            <c:noEndCap val="0"/>
            <c:plus>
              <c:numRef>
                <c:f>'BMI-Absorption-50psi'!$U$4:$U$29</c:f>
                <c:numCache>
                  <c:formatCode>General</c:formatCode>
                  <c:ptCount val="26"/>
                  <c:pt idx="0">
                    <c:v>0.053</c:v>
                  </c:pt>
                  <c:pt idx="1">
                    <c:v>0.074</c:v>
                  </c:pt>
                  <c:pt idx="2">
                    <c:v>0.111</c:v>
                  </c:pt>
                  <c:pt idx="3">
                    <c:v>0.13</c:v>
                  </c:pt>
                  <c:pt idx="4">
                    <c:v>0.266</c:v>
                  </c:pt>
                  <c:pt idx="5">
                    <c:v>0.333</c:v>
                  </c:pt>
                  <c:pt idx="6">
                    <c:v>0.305</c:v>
                  </c:pt>
                  <c:pt idx="7">
                    <c:v>0.299</c:v>
                  </c:pt>
                  <c:pt idx="8">
                    <c:v>0.291</c:v>
                  </c:pt>
                  <c:pt idx="9">
                    <c:v>0.363</c:v>
                  </c:pt>
                  <c:pt idx="10">
                    <c:v>0.345</c:v>
                  </c:pt>
                  <c:pt idx="11">
                    <c:v>0.351</c:v>
                  </c:pt>
                  <c:pt idx="12">
                    <c:v>0.404</c:v>
                  </c:pt>
                  <c:pt idx="13">
                    <c:v>0.355</c:v>
                  </c:pt>
                  <c:pt idx="14">
                    <c:v>0.396</c:v>
                  </c:pt>
                  <c:pt idx="15">
                    <c:v>0.381</c:v>
                  </c:pt>
                  <c:pt idx="16">
                    <c:v>0.381</c:v>
                  </c:pt>
                  <c:pt idx="17">
                    <c:v>0.405</c:v>
                  </c:pt>
                  <c:pt idx="18">
                    <c:v>0.394</c:v>
                  </c:pt>
                  <c:pt idx="19">
                    <c:v>0.374</c:v>
                  </c:pt>
                  <c:pt idx="20">
                    <c:v>0.367</c:v>
                  </c:pt>
                  <c:pt idx="21">
                    <c:v>0.401</c:v>
                  </c:pt>
                  <c:pt idx="22">
                    <c:v>0.372</c:v>
                  </c:pt>
                  <c:pt idx="23">
                    <c:v>0.375</c:v>
                  </c:pt>
                  <c:pt idx="24">
                    <c:v>0.379</c:v>
                  </c:pt>
                  <c:pt idx="25">
                    <c:v>0.399</c:v>
                  </c:pt>
                </c:numCache>
              </c:numRef>
            </c:plus>
            <c:minus>
              <c:numRef>
                <c:f>'BMI-Absorption-50psi'!$U$4:$U$29</c:f>
                <c:numCache>
                  <c:formatCode>General</c:formatCode>
                  <c:ptCount val="26"/>
                  <c:pt idx="0">
                    <c:v>0.053</c:v>
                  </c:pt>
                  <c:pt idx="1">
                    <c:v>0.074</c:v>
                  </c:pt>
                  <c:pt idx="2">
                    <c:v>0.111</c:v>
                  </c:pt>
                  <c:pt idx="3">
                    <c:v>0.13</c:v>
                  </c:pt>
                  <c:pt idx="4">
                    <c:v>0.266</c:v>
                  </c:pt>
                  <c:pt idx="5">
                    <c:v>0.333</c:v>
                  </c:pt>
                  <c:pt idx="6">
                    <c:v>0.305</c:v>
                  </c:pt>
                  <c:pt idx="7">
                    <c:v>0.299</c:v>
                  </c:pt>
                  <c:pt idx="8">
                    <c:v>0.291</c:v>
                  </c:pt>
                  <c:pt idx="9">
                    <c:v>0.363</c:v>
                  </c:pt>
                  <c:pt idx="10">
                    <c:v>0.345</c:v>
                  </c:pt>
                  <c:pt idx="11">
                    <c:v>0.351</c:v>
                  </c:pt>
                  <c:pt idx="12">
                    <c:v>0.404</c:v>
                  </c:pt>
                  <c:pt idx="13">
                    <c:v>0.355</c:v>
                  </c:pt>
                  <c:pt idx="14">
                    <c:v>0.396</c:v>
                  </c:pt>
                  <c:pt idx="15">
                    <c:v>0.381</c:v>
                  </c:pt>
                  <c:pt idx="16">
                    <c:v>0.381</c:v>
                  </c:pt>
                  <c:pt idx="17">
                    <c:v>0.405</c:v>
                  </c:pt>
                  <c:pt idx="18">
                    <c:v>0.394</c:v>
                  </c:pt>
                  <c:pt idx="19">
                    <c:v>0.374</c:v>
                  </c:pt>
                  <c:pt idx="20">
                    <c:v>0.367</c:v>
                  </c:pt>
                  <c:pt idx="21">
                    <c:v>0.401</c:v>
                  </c:pt>
                  <c:pt idx="22">
                    <c:v>0.372</c:v>
                  </c:pt>
                  <c:pt idx="23">
                    <c:v>0.375</c:v>
                  </c:pt>
                  <c:pt idx="24">
                    <c:v>0.379</c:v>
                  </c:pt>
                  <c:pt idx="25">
                    <c:v>0.399</c:v>
                  </c:pt>
                </c:numCache>
              </c:numRef>
            </c:minus>
            <c:spPr>
              <a:ln w="12700">
                <a:solidFill>
                  <a:srgbClr val="7030A0"/>
                </a:solidFill>
              </a:ln>
            </c:spPr>
          </c:errBars>
          <c:xVal>
            <c:numRef>
              <c:f>'BMI-Absorption-50psi'!$S$4:$S$34</c:f>
              <c:numCache>
                <c:formatCode>General</c:formatCode>
                <c:ptCount val="31"/>
                <c:pt idx="0">
                  <c:v>1.62</c:v>
                </c:pt>
                <c:pt idx="1">
                  <c:v>2.33</c:v>
                </c:pt>
                <c:pt idx="2">
                  <c:v>5.27</c:v>
                </c:pt>
                <c:pt idx="3">
                  <c:v>8.61</c:v>
                </c:pt>
                <c:pt idx="4">
                  <c:v>13.9</c:v>
                </c:pt>
                <c:pt idx="5">
                  <c:v>19.68</c:v>
                </c:pt>
                <c:pt idx="6">
                  <c:v>25.51</c:v>
                </c:pt>
                <c:pt idx="7">
                  <c:v>31.4</c:v>
                </c:pt>
                <c:pt idx="8">
                  <c:v>37.35</c:v>
                </c:pt>
                <c:pt idx="9">
                  <c:v>42.73</c:v>
                </c:pt>
                <c:pt idx="10">
                  <c:v>48.49</c:v>
                </c:pt>
                <c:pt idx="11">
                  <c:v>53.9</c:v>
                </c:pt>
                <c:pt idx="12">
                  <c:v>59.42</c:v>
                </c:pt>
                <c:pt idx="13">
                  <c:v>66.61</c:v>
                </c:pt>
                <c:pt idx="14">
                  <c:v>71.34</c:v>
                </c:pt>
                <c:pt idx="15">
                  <c:v>76.99</c:v>
                </c:pt>
                <c:pt idx="16">
                  <c:v>82.26</c:v>
                </c:pt>
                <c:pt idx="17">
                  <c:v>88.72</c:v>
                </c:pt>
                <c:pt idx="18">
                  <c:v>93.71</c:v>
                </c:pt>
                <c:pt idx="19">
                  <c:v>98.94</c:v>
                </c:pt>
                <c:pt idx="20">
                  <c:v>105.42</c:v>
                </c:pt>
                <c:pt idx="21">
                  <c:v>111.5</c:v>
                </c:pt>
                <c:pt idx="22">
                  <c:v>116.65</c:v>
                </c:pt>
                <c:pt idx="23">
                  <c:v>121.69</c:v>
                </c:pt>
                <c:pt idx="24">
                  <c:v>127.94</c:v>
                </c:pt>
                <c:pt idx="25">
                  <c:v>133.33</c:v>
                </c:pt>
              </c:numCache>
            </c:numRef>
          </c:xVal>
          <c:yVal>
            <c:numRef>
              <c:f>'BMI-Absorption-50psi'!$T$4:$T$34</c:f>
              <c:numCache>
                <c:formatCode>General</c:formatCode>
                <c:ptCount val="31"/>
                <c:pt idx="0">
                  <c:v>0.8612</c:v>
                </c:pt>
                <c:pt idx="1">
                  <c:v>1.0738</c:v>
                </c:pt>
                <c:pt idx="2">
                  <c:v>1.9056</c:v>
                </c:pt>
                <c:pt idx="3">
                  <c:v>2.616699999999997</c:v>
                </c:pt>
                <c:pt idx="4">
                  <c:v>3.1838</c:v>
                </c:pt>
                <c:pt idx="5">
                  <c:v>3.3853</c:v>
                </c:pt>
                <c:pt idx="6">
                  <c:v>3.4718</c:v>
                </c:pt>
                <c:pt idx="7">
                  <c:v>3.5958</c:v>
                </c:pt>
                <c:pt idx="8">
                  <c:v>3.7198</c:v>
                </c:pt>
                <c:pt idx="9">
                  <c:v>3.8414</c:v>
                </c:pt>
                <c:pt idx="10">
                  <c:v>3.9561</c:v>
                </c:pt>
                <c:pt idx="11">
                  <c:v>3.982699999999999</c:v>
                </c:pt>
                <c:pt idx="12">
                  <c:v>4.027799999999996</c:v>
                </c:pt>
                <c:pt idx="13">
                  <c:v>4.0693</c:v>
                </c:pt>
                <c:pt idx="14">
                  <c:v>4.110799999999998</c:v>
                </c:pt>
                <c:pt idx="15">
                  <c:v>4.121</c:v>
                </c:pt>
                <c:pt idx="16">
                  <c:v>4.190499999999997</c:v>
                </c:pt>
                <c:pt idx="17">
                  <c:v>4.222799999999999</c:v>
                </c:pt>
                <c:pt idx="18">
                  <c:v>4.2386</c:v>
                </c:pt>
                <c:pt idx="19">
                  <c:v>4.2956</c:v>
                </c:pt>
                <c:pt idx="20">
                  <c:v>4.3218</c:v>
                </c:pt>
                <c:pt idx="21">
                  <c:v>4.3462</c:v>
                </c:pt>
                <c:pt idx="22">
                  <c:v>4.3789</c:v>
                </c:pt>
                <c:pt idx="23">
                  <c:v>4.394499999999986</c:v>
                </c:pt>
                <c:pt idx="24">
                  <c:v>4.4416</c:v>
                </c:pt>
                <c:pt idx="25">
                  <c:v>4.4168</c:v>
                </c:pt>
              </c:numCache>
            </c:numRef>
          </c:yVal>
          <c:smooth val="0"/>
        </c:ser>
        <c:ser>
          <c:idx val="9"/>
          <c:order val="5"/>
          <c:spPr>
            <a:ln w="12700">
              <a:solidFill>
                <a:sysClr val="windowText" lastClr="000000"/>
              </a:solidFill>
              <a:prstDash val="lgDash"/>
            </a:ln>
          </c:spPr>
          <c:marker>
            <c:symbol val="none"/>
          </c:marker>
          <c:dPt>
            <c:idx val="1"/>
            <c:bubble3D val="0"/>
            <c:spPr>
              <a:ln w="12700">
                <a:solidFill>
                  <a:schemeClr val="bg1">
                    <a:lumMod val="50000"/>
                  </a:schemeClr>
                </a:solidFill>
                <a:prstDash val="lgDash"/>
              </a:ln>
            </c:spPr>
          </c:dPt>
          <c:xVal>
            <c:numRef>
              <c:f>('BMI-Absorption-10psi'!$D$51,'BMI-Absorption-10psi'!$D$51)</c:f>
              <c:numCache>
                <c:formatCode>General</c:formatCode>
                <c:ptCount val="2"/>
                <c:pt idx="0">
                  <c:v>132.363</c:v>
                </c:pt>
                <c:pt idx="1">
                  <c:v>132.363</c:v>
                </c:pt>
              </c:numCache>
            </c:numRef>
          </c:xVal>
          <c:yVal>
            <c:numLit>
              <c:formatCode>General</c:formatCode>
              <c:ptCount val="2"/>
              <c:pt idx="0">
                <c:v>0.0</c:v>
              </c:pt>
              <c:pt idx="1">
                <c:v>12.0</c:v>
              </c:pt>
            </c:numLit>
          </c:yVal>
          <c:smooth val="0"/>
        </c:ser>
        <c:dLbls>
          <c:showLegendKey val="0"/>
          <c:showVal val="0"/>
          <c:showCatName val="0"/>
          <c:showSerName val="0"/>
          <c:showPercent val="0"/>
          <c:showBubbleSize val="0"/>
        </c:dLbls>
        <c:axId val="424180872"/>
        <c:axId val="424163816"/>
      </c:scatterChart>
      <c:valAx>
        <c:axId val="424180872"/>
        <c:scaling>
          <c:orientation val="minMax"/>
          <c:max val="15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424163816"/>
        <c:crosses val="autoZero"/>
        <c:crossBetween val="midCat"/>
        <c:minorUnit val="12.5"/>
      </c:valAx>
      <c:valAx>
        <c:axId val="424163816"/>
        <c:scaling>
          <c:orientation val="minMax"/>
          <c:max val="11.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424180872"/>
        <c:crosses val="autoZero"/>
        <c:crossBetween val="midCat"/>
        <c:majorUnit val="2.0"/>
        <c:minorUnit val="0.5"/>
      </c:valAx>
      <c:spPr>
        <a:ln w="19050">
          <a:solidFill>
            <a:sysClr val="windowText" lastClr="000000"/>
          </a:solidFill>
        </a:ln>
      </c:spPr>
    </c:plotArea>
    <c:legend>
      <c:legendPos val="r"/>
      <c:legendEntry>
        <c:idx val="0"/>
        <c:delete val="1"/>
      </c:legendEntry>
      <c:legendEntry>
        <c:idx val="5"/>
        <c:delete val="1"/>
      </c:legendEntry>
      <c:layout>
        <c:manualLayout>
          <c:xMode val="edge"/>
          <c:yMode val="edge"/>
          <c:x val="0.191148775894539"/>
          <c:y val="0.0958136482939632"/>
          <c:w val="0.235230659726856"/>
          <c:h val="0.198320209973753"/>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3711019173451"/>
          <c:y val="0.0333333333333333"/>
          <c:w val="0.750570903213369"/>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square"/>
            <c:size val="5"/>
            <c:spPr>
              <a:solidFill>
                <a:srgbClr val="0070C0">
                  <a:alpha val="50000"/>
                </a:srgbClr>
              </a:solidFill>
              <a:ln w="12700">
                <a:solidFill>
                  <a:schemeClr val="tx1"/>
                </a:solidFill>
              </a:ln>
            </c:spPr>
          </c:marker>
          <c:errBars>
            <c:errDir val="y"/>
            <c:errBarType val="both"/>
            <c:errValType val="cust"/>
            <c:noEndCap val="0"/>
            <c:plus>
              <c:numRef>
                <c:f>'BMI-Absorption-70psi'!$C$4:$C$29</c:f>
                <c:numCache>
                  <c:formatCode>General</c:formatCode>
                  <c:ptCount val="26"/>
                  <c:pt idx="0">
                    <c:v>0.024</c:v>
                  </c:pt>
                  <c:pt idx="1">
                    <c:v>0.021</c:v>
                  </c:pt>
                  <c:pt idx="2">
                    <c:v>0.033</c:v>
                  </c:pt>
                  <c:pt idx="3">
                    <c:v>0.056</c:v>
                  </c:pt>
                  <c:pt idx="4">
                    <c:v>0.052</c:v>
                  </c:pt>
                  <c:pt idx="5">
                    <c:v>0.064</c:v>
                  </c:pt>
                  <c:pt idx="6">
                    <c:v>0.057</c:v>
                  </c:pt>
                  <c:pt idx="7">
                    <c:v>0.084</c:v>
                  </c:pt>
                  <c:pt idx="8">
                    <c:v>0.082</c:v>
                  </c:pt>
                  <c:pt idx="9">
                    <c:v>0.091</c:v>
                  </c:pt>
                  <c:pt idx="10">
                    <c:v>0.086</c:v>
                  </c:pt>
                  <c:pt idx="11">
                    <c:v>0.099</c:v>
                  </c:pt>
                  <c:pt idx="12">
                    <c:v>0.095</c:v>
                  </c:pt>
                  <c:pt idx="13">
                    <c:v>0.077</c:v>
                  </c:pt>
                  <c:pt idx="14">
                    <c:v>0.098</c:v>
                  </c:pt>
                  <c:pt idx="15">
                    <c:v>0.084</c:v>
                  </c:pt>
                  <c:pt idx="16">
                    <c:v>0.087</c:v>
                  </c:pt>
                  <c:pt idx="17">
                    <c:v>0.081</c:v>
                  </c:pt>
                  <c:pt idx="18">
                    <c:v>0.086</c:v>
                  </c:pt>
                  <c:pt idx="19">
                    <c:v>0.081</c:v>
                  </c:pt>
                  <c:pt idx="20">
                    <c:v>0.077</c:v>
                  </c:pt>
                  <c:pt idx="21">
                    <c:v>0.072</c:v>
                  </c:pt>
                  <c:pt idx="22">
                    <c:v>0.077</c:v>
                  </c:pt>
                  <c:pt idx="23">
                    <c:v>0.074</c:v>
                  </c:pt>
                  <c:pt idx="24">
                    <c:v>0.059</c:v>
                  </c:pt>
                  <c:pt idx="25">
                    <c:v>0.066</c:v>
                  </c:pt>
                </c:numCache>
              </c:numRef>
            </c:plus>
            <c:minus>
              <c:numRef>
                <c:f>'BMI-Absorption-70psi'!$C$4:$C$29</c:f>
                <c:numCache>
                  <c:formatCode>General</c:formatCode>
                  <c:ptCount val="26"/>
                  <c:pt idx="0">
                    <c:v>0.024</c:v>
                  </c:pt>
                  <c:pt idx="1">
                    <c:v>0.021</c:v>
                  </c:pt>
                  <c:pt idx="2">
                    <c:v>0.033</c:v>
                  </c:pt>
                  <c:pt idx="3">
                    <c:v>0.056</c:v>
                  </c:pt>
                  <c:pt idx="4">
                    <c:v>0.052</c:v>
                  </c:pt>
                  <c:pt idx="5">
                    <c:v>0.064</c:v>
                  </c:pt>
                  <c:pt idx="6">
                    <c:v>0.057</c:v>
                  </c:pt>
                  <c:pt idx="7">
                    <c:v>0.084</c:v>
                  </c:pt>
                  <c:pt idx="8">
                    <c:v>0.082</c:v>
                  </c:pt>
                  <c:pt idx="9">
                    <c:v>0.091</c:v>
                  </c:pt>
                  <c:pt idx="10">
                    <c:v>0.086</c:v>
                  </c:pt>
                  <c:pt idx="11">
                    <c:v>0.099</c:v>
                  </c:pt>
                  <c:pt idx="12">
                    <c:v>0.095</c:v>
                  </c:pt>
                  <c:pt idx="13">
                    <c:v>0.077</c:v>
                  </c:pt>
                  <c:pt idx="14">
                    <c:v>0.098</c:v>
                  </c:pt>
                  <c:pt idx="15">
                    <c:v>0.084</c:v>
                  </c:pt>
                  <c:pt idx="16">
                    <c:v>0.087</c:v>
                  </c:pt>
                  <c:pt idx="17">
                    <c:v>0.081</c:v>
                  </c:pt>
                  <c:pt idx="18">
                    <c:v>0.086</c:v>
                  </c:pt>
                  <c:pt idx="19">
                    <c:v>0.081</c:v>
                  </c:pt>
                  <c:pt idx="20">
                    <c:v>0.077</c:v>
                  </c:pt>
                  <c:pt idx="21">
                    <c:v>0.072</c:v>
                  </c:pt>
                  <c:pt idx="22">
                    <c:v>0.077</c:v>
                  </c:pt>
                  <c:pt idx="23">
                    <c:v>0.074</c:v>
                  </c:pt>
                  <c:pt idx="24">
                    <c:v>0.059</c:v>
                  </c:pt>
                  <c:pt idx="25">
                    <c:v>0.066</c:v>
                  </c:pt>
                </c:numCache>
              </c:numRef>
            </c:minus>
            <c:spPr>
              <a:ln w="12700">
                <a:solidFill>
                  <a:srgbClr val="0070C0"/>
                </a:solidFill>
              </a:ln>
            </c:spPr>
          </c:errBars>
          <c:xVal>
            <c:numRef>
              <c:f>'BMI-Absorption-70psi'!$A$4:$A$34</c:f>
              <c:numCache>
                <c:formatCode>General</c:formatCode>
                <c:ptCount val="31"/>
                <c:pt idx="0">
                  <c:v>1.51</c:v>
                </c:pt>
                <c:pt idx="1">
                  <c:v>2.25</c:v>
                </c:pt>
                <c:pt idx="2">
                  <c:v>5.23</c:v>
                </c:pt>
                <c:pt idx="3">
                  <c:v>8.59</c:v>
                </c:pt>
                <c:pt idx="4">
                  <c:v>13.88</c:v>
                </c:pt>
                <c:pt idx="5">
                  <c:v>19.67000000000001</c:v>
                </c:pt>
                <c:pt idx="6">
                  <c:v>25.5</c:v>
                </c:pt>
                <c:pt idx="7">
                  <c:v>31.39</c:v>
                </c:pt>
                <c:pt idx="8">
                  <c:v>37.59</c:v>
                </c:pt>
                <c:pt idx="9">
                  <c:v>42.72</c:v>
                </c:pt>
                <c:pt idx="10">
                  <c:v>48.49</c:v>
                </c:pt>
                <c:pt idx="11">
                  <c:v>53.89</c:v>
                </c:pt>
                <c:pt idx="12">
                  <c:v>59.42</c:v>
                </c:pt>
                <c:pt idx="13">
                  <c:v>66.6</c:v>
                </c:pt>
                <c:pt idx="14">
                  <c:v>71.33</c:v>
                </c:pt>
                <c:pt idx="15">
                  <c:v>76.99</c:v>
                </c:pt>
                <c:pt idx="16">
                  <c:v>82.26</c:v>
                </c:pt>
                <c:pt idx="17">
                  <c:v>88.72</c:v>
                </c:pt>
                <c:pt idx="18">
                  <c:v>93.7</c:v>
                </c:pt>
                <c:pt idx="19">
                  <c:v>98.93</c:v>
                </c:pt>
                <c:pt idx="20">
                  <c:v>105.41</c:v>
                </c:pt>
                <c:pt idx="21">
                  <c:v>111.49</c:v>
                </c:pt>
                <c:pt idx="22">
                  <c:v>116.64</c:v>
                </c:pt>
                <c:pt idx="23">
                  <c:v>121.68</c:v>
                </c:pt>
                <c:pt idx="24">
                  <c:v>127.94</c:v>
                </c:pt>
                <c:pt idx="25">
                  <c:v>133.33</c:v>
                </c:pt>
                <c:pt idx="30">
                  <c:v>138.54</c:v>
                </c:pt>
              </c:numCache>
            </c:numRef>
          </c:xVal>
          <c:yVal>
            <c:numRef>
              <c:f>'BMI-Absorption-70psi'!$B$4:$B$34</c:f>
              <c:numCache>
                <c:formatCode>General</c:formatCode>
                <c:ptCount val="31"/>
                <c:pt idx="0">
                  <c:v>0.1512</c:v>
                </c:pt>
                <c:pt idx="1">
                  <c:v>0.1799</c:v>
                </c:pt>
                <c:pt idx="2">
                  <c:v>0.2286</c:v>
                </c:pt>
                <c:pt idx="3">
                  <c:v>0.2979</c:v>
                </c:pt>
                <c:pt idx="4">
                  <c:v>0.3533</c:v>
                </c:pt>
                <c:pt idx="5">
                  <c:v>0.3959</c:v>
                </c:pt>
                <c:pt idx="6">
                  <c:v>0.4279</c:v>
                </c:pt>
                <c:pt idx="7">
                  <c:v>0.5374</c:v>
                </c:pt>
                <c:pt idx="8">
                  <c:v>0.5713</c:v>
                </c:pt>
                <c:pt idx="9">
                  <c:v>0.6478</c:v>
                </c:pt>
                <c:pt idx="10">
                  <c:v>0.728</c:v>
                </c:pt>
                <c:pt idx="11">
                  <c:v>0.7805</c:v>
                </c:pt>
                <c:pt idx="12">
                  <c:v>0.8011</c:v>
                </c:pt>
                <c:pt idx="13">
                  <c:v>0.8235</c:v>
                </c:pt>
                <c:pt idx="14">
                  <c:v>0.8634</c:v>
                </c:pt>
                <c:pt idx="15">
                  <c:v>0.9429</c:v>
                </c:pt>
                <c:pt idx="16">
                  <c:v>0.9828</c:v>
                </c:pt>
                <c:pt idx="17">
                  <c:v>1.0139</c:v>
                </c:pt>
                <c:pt idx="18">
                  <c:v>1.1275</c:v>
                </c:pt>
                <c:pt idx="19">
                  <c:v>1.2009</c:v>
                </c:pt>
                <c:pt idx="20">
                  <c:v>1.2428</c:v>
                </c:pt>
                <c:pt idx="21">
                  <c:v>1.2956</c:v>
                </c:pt>
                <c:pt idx="22">
                  <c:v>1.3011</c:v>
                </c:pt>
                <c:pt idx="23">
                  <c:v>1.3458</c:v>
                </c:pt>
                <c:pt idx="24">
                  <c:v>1.4006</c:v>
                </c:pt>
                <c:pt idx="25">
                  <c:v>1.407799999999999</c:v>
                </c:pt>
              </c:numCache>
            </c:numRef>
          </c:yVal>
          <c:smooth val="0"/>
        </c:ser>
        <c:ser>
          <c:idx val="1"/>
          <c:order val="2"/>
          <c:tx>
            <c:v>40% RH</c:v>
          </c:tx>
          <c:spPr>
            <a:ln w="28575">
              <a:noFill/>
            </a:ln>
          </c:spPr>
          <c:marker>
            <c:symbol val="square"/>
            <c:size val="5"/>
            <c:spPr>
              <a:solidFill>
                <a:srgbClr val="C00000">
                  <a:alpha val="50000"/>
                </a:srgbClr>
              </a:solidFill>
              <a:ln w="12700">
                <a:solidFill>
                  <a:sysClr val="windowText" lastClr="000000"/>
                </a:solidFill>
              </a:ln>
            </c:spPr>
          </c:marker>
          <c:errBars>
            <c:errDir val="y"/>
            <c:errBarType val="both"/>
            <c:errValType val="cust"/>
            <c:noEndCap val="0"/>
            <c:plus>
              <c:numRef>
                <c:f>'BMI-Absorption-70psi'!$I$4:$I$29</c:f>
                <c:numCache>
                  <c:formatCode>General</c:formatCode>
                  <c:ptCount val="26"/>
                  <c:pt idx="0">
                    <c:v>0.17</c:v>
                  </c:pt>
                  <c:pt idx="1">
                    <c:v>0.258</c:v>
                  </c:pt>
                  <c:pt idx="2">
                    <c:v>0.538</c:v>
                  </c:pt>
                  <c:pt idx="3">
                    <c:v>0.751</c:v>
                  </c:pt>
                  <c:pt idx="4">
                    <c:v>0.916</c:v>
                  </c:pt>
                  <c:pt idx="5">
                    <c:v>0.925</c:v>
                  </c:pt>
                  <c:pt idx="6">
                    <c:v>0.942</c:v>
                  </c:pt>
                  <c:pt idx="7">
                    <c:v>0.96</c:v>
                  </c:pt>
                  <c:pt idx="8">
                    <c:v>0.971</c:v>
                  </c:pt>
                  <c:pt idx="9">
                    <c:v>0.986</c:v>
                  </c:pt>
                  <c:pt idx="10">
                    <c:v>0.986</c:v>
                  </c:pt>
                  <c:pt idx="11">
                    <c:v>1.003</c:v>
                  </c:pt>
                  <c:pt idx="12">
                    <c:v>1.007</c:v>
                  </c:pt>
                  <c:pt idx="13">
                    <c:v>1.002</c:v>
                  </c:pt>
                  <c:pt idx="14">
                    <c:v>1.013</c:v>
                  </c:pt>
                  <c:pt idx="15">
                    <c:v>0.976</c:v>
                  </c:pt>
                  <c:pt idx="16">
                    <c:v>0.984</c:v>
                  </c:pt>
                  <c:pt idx="17">
                    <c:v>0.991</c:v>
                  </c:pt>
                  <c:pt idx="18">
                    <c:v>0.983</c:v>
                  </c:pt>
                  <c:pt idx="19">
                    <c:v>0.964</c:v>
                  </c:pt>
                  <c:pt idx="20">
                    <c:v>0.955</c:v>
                  </c:pt>
                  <c:pt idx="21">
                    <c:v>0.976</c:v>
                  </c:pt>
                  <c:pt idx="22">
                    <c:v>0.954</c:v>
                  </c:pt>
                  <c:pt idx="23">
                    <c:v>0.965</c:v>
                  </c:pt>
                  <c:pt idx="24">
                    <c:v>0.953</c:v>
                  </c:pt>
                  <c:pt idx="25">
                    <c:v>0.952</c:v>
                  </c:pt>
                </c:numCache>
              </c:numRef>
            </c:plus>
            <c:minus>
              <c:numRef>
                <c:f>'BMI-Absorption-70psi'!$I$4:$I$29</c:f>
                <c:numCache>
                  <c:formatCode>General</c:formatCode>
                  <c:ptCount val="26"/>
                  <c:pt idx="0">
                    <c:v>0.17</c:v>
                  </c:pt>
                  <c:pt idx="1">
                    <c:v>0.258</c:v>
                  </c:pt>
                  <c:pt idx="2">
                    <c:v>0.538</c:v>
                  </c:pt>
                  <c:pt idx="3">
                    <c:v>0.751</c:v>
                  </c:pt>
                  <c:pt idx="4">
                    <c:v>0.916</c:v>
                  </c:pt>
                  <c:pt idx="5">
                    <c:v>0.925</c:v>
                  </c:pt>
                  <c:pt idx="6">
                    <c:v>0.942</c:v>
                  </c:pt>
                  <c:pt idx="7">
                    <c:v>0.96</c:v>
                  </c:pt>
                  <c:pt idx="8">
                    <c:v>0.971</c:v>
                  </c:pt>
                  <c:pt idx="9">
                    <c:v>0.986</c:v>
                  </c:pt>
                  <c:pt idx="10">
                    <c:v>0.986</c:v>
                  </c:pt>
                  <c:pt idx="11">
                    <c:v>1.003</c:v>
                  </c:pt>
                  <c:pt idx="12">
                    <c:v>1.007</c:v>
                  </c:pt>
                  <c:pt idx="13">
                    <c:v>1.002</c:v>
                  </c:pt>
                  <c:pt idx="14">
                    <c:v>1.013</c:v>
                  </c:pt>
                  <c:pt idx="15">
                    <c:v>0.976</c:v>
                  </c:pt>
                  <c:pt idx="16">
                    <c:v>0.984</c:v>
                  </c:pt>
                  <c:pt idx="17">
                    <c:v>0.991</c:v>
                  </c:pt>
                  <c:pt idx="18">
                    <c:v>0.983</c:v>
                  </c:pt>
                  <c:pt idx="19">
                    <c:v>0.964</c:v>
                  </c:pt>
                  <c:pt idx="20">
                    <c:v>0.955</c:v>
                  </c:pt>
                  <c:pt idx="21">
                    <c:v>0.976</c:v>
                  </c:pt>
                  <c:pt idx="22">
                    <c:v>0.954</c:v>
                  </c:pt>
                  <c:pt idx="23">
                    <c:v>0.965</c:v>
                  </c:pt>
                  <c:pt idx="24">
                    <c:v>0.953</c:v>
                  </c:pt>
                  <c:pt idx="25">
                    <c:v>0.952</c:v>
                  </c:pt>
                </c:numCache>
              </c:numRef>
            </c:minus>
            <c:spPr>
              <a:ln w="12700">
                <a:solidFill>
                  <a:srgbClr val="C00000"/>
                </a:solidFill>
              </a:ln>
            </c:spPr>
          </c:errBars>
          <c:xVal>
            <c:numRef>
              <c:f>'BMI-Absorption-70psi'!$G$4:$G$34</c:f>
              <c:numCache>
                <c:formatCode>General</c:formatCode>
                <c:ptCount val="31"/>
                <c:pt idx="0">
                  <c:v>1.55</c:v>
                </c:pt>
                <c:pt idx="1">
                  <c:v>2.28</c:v>
                </c:pt>
                <c:pt idx="2">
                  <c:v>5.25</c:v>
                </c:pt>
                <c:pt idx="3">
                  <c:v>8.6</c:v>
                </c:pt>
                <c:pt idx="4">
                  <c:v>13.89</c:v>
                </c:pt>
                <c:pt idx="5">
                  <c:v>19.67000000000001</c:v>
                </c:pt>
                <c:pt idx="6">
                  <c:v>25.5</c:v>
                </c:pt>
                <c:pt idx="7">
                  <c:v>31.39</c:v>
                </c:pt>
                <c:pt idx="8">
                  <c:v>37.59</c:v>
                </c:pt>
                <c:pt idx="9">
                  <c:v>42.72</c:v>
                </c:pt>
                <c:pt idx="10">
                  <c:v>48.5</c:v>
                </c:pt>
                <c:pt idx="11">
                  <c:v>53.9</c:v>
                </c:pt>
                <c:pt idx="12">
                  <c:v>59.42</c:v>
                </c:pt>
                <c:pt idx="13">
                  <c:v>66.61</c:v>
                </c:pt>
                <c:pt idx="14">
                  <c:v>71.33</c:v>
                </c:pt>
                <c:pt idx="15">
                  <c:v>76.99</c:v>
                </c:pt>
                <c:pt idx="16">
                  <c:v>82.26</c:v>
                </c:pt>
                <c:pt idx="17">
                  <c:v>88.72</c:v>
                </c:pt>
                <c:pt idx="18">
                  <c:v>93.7</c:v>
                </c:pt>
                <c:pt idx="19">
                  <c:v>98.93</c:v>
                </c:pt>
                <c:pt idx="20">
                  <c:v>105.41</c:v>
                </c:pt>
                <c:pt idx="21">
                  <c:v>111.5</c:v>
                </c:pt>
                <c:pt idx="22">
                  <c:v>116.64</c:v>
                </c:pt>
                <c:pt idx="23">
                  <c:v>121.68</c:v>
                </c:pt>
                <c:pt idx="24">
                  <c:v>127.94</c:v>
                </c:pt>
                <c:pt idx="25">
                  <c:v>133.33</c:v>
                </c:pt>
              </c:numCache>
            </c:numRef>
          </c:xVal>
          <c:yVal>
            <c:numRef>
              <c:f>'BMI-Absorption-70psi'!$H$4:$H$34</c:f>
              <c:numCache>
                <c:formatCode>General</c:formatCode>
                <c:ptCount val="31"/>
                <c:pt idx="0">
                  <c:v>0.4952</c:v>
                </c:pt>
                <c:pt idx="1">
                  <c:v>0.6468</c:v>
                </c:pt>
                <c:pt idx="2">
                  <c:v>1.2143</c:v>
                </c:pt>
                <c:pt idx="3">
                  <c:v>1.6997</c:v>
                </c:pt>
                <c:pt idx="4">
                  <c:v>1.9836</c:v>
                </c:pt>
                <c:pt idx="5">
                  <c:v>2.0416</c:v>
                </c:pt>
                <c:pt idx="6">
                  <c:v>2.1294</c:v>
                </c:pt>
                <c:pt idx="7">
                  <c:v>2.1959</c:v>
                </c:pt>
                <c:pt idx="8">
                  <c:v>2.3176</c:v>
                </c:pt>
                <c:pt idx="9">
                  <c:v>2.396199999999998</c:v>
                </c:pt>
                <c:pt idx="10">
                  <c:v>2.515</c:v>
                </c:pt>
                <c:pt idx="11">
                  <c:v>2.628</c:v>
                </c:pt>
                <c:pt idx="12">
                  <c:v>2.7388</c:v>
                </c:pt>
                <c:pt idx="13">
                  <c:v>2.7962</c:v>
                </c:pt>
                <c:pt idx="14">
                  <c:v>2.815799999999998</c:v>
                </c:pt>
                <c:pt idx="15">
                  <c:v>2.854699999999998</c:v>
                </c:pt>
                <c:pt idx="16">
                  <c:v>2.907</c:v>
                </c:pt>
                <c:pt idx="17">
                  <c:v>2.9576</c:v>
                </c:pt>
                <c:pt idx="18">
                  <c:v>2.988</c:v>
                </c:pt>
                <c:pt idx="19">
                  <c:v>3.0052</c:v>
                </c:pt>
                <c:pt idx="20">
                  <c:v>3.0379</c:v>
                </c:pt>
                <c:pt idx="21">
                  <c:v>3.0443</c:v>
                </c:pt>
                <c:pt idx="22">
                  <c:v>3.0528</c:v>
                </c:pt>
                <c:pt idx="23">
                  <c:v>3.0667</c:v>
                </c:pt>
                <c:pt idx="24">
                  <c:v>3.07</c:v>
                </c:pt>
                <c:pt idx="25">
                  <c:v>3.091299999999999</c:v>
                </c:pt>
              </c:numCache>
            </c:numRef>
          </c:yVal>
          <c:smooth val="0"/>
        </c:ser>
        <c:ser>
          <c:idx val="2"/>
          <c:order val="3"/>
          <c:tx>
            <c:v>70% RH</c:v>
          </c:tx>
          <c:spPr>
            <a:ln w="28575">
              <a:noFill/>
            </a:ln>
          </c:spPr>
          <c:marker>
            <c:symbol val="square"/>
            <c:size val="5"/>
            <c:spPr>
              <a:solidFill>
                <a:srgbClr val="00B050">
                  <a:alpha val="50000"/>
                </a:srgbClr>
              </a:solidFill>
              <a:ln w="12700">
                <a:solidFill>
                  <a:sysClr val="windowText" lastClr="000000"/>
                </a:solidFill>
              </a:ln>
            </c:spPr>
          </c:marker>
          <c:errBars>
            <c:errDir val="y"/>
            <c:errBarType val="both"/>
            <c:errValType val="cust"/>
            <c:noEndCap val="0"/>
            <c:plus>
              <c:numRef>
                <c:f>'BMI-Absorption-70psi'!$O$4:$O$29</c:f>
                <c:numCache>
                  <c:formatCode>General</c:formatCode>
                  <c:ptCount val="26"/>
                  <c:pt idx="0">
                    <c:v>0.054</c:v>
                  </c:pt>
                  <c:pt idx="1">
                    <c:v>0.059</c:v>
                  </c:pt>
                  <c:pt idx="2">
                    <c:v>0.08</c:v>
                  </c:pt>
                  <c:pt idx="3">
                    <c:v>0.125</c:v>
                  </c:pt>
                  <c:pt idx="4">
                    <c:v>0.223</c:v>
                  </c:pt>
                  <c:pt idx="5">
                    <c:v>0.283</c:v>
                  </c:pt>
                  <c:pt idx="6">
                    <c:v>0.282</c:v>
                  </c:pt>
                  <c:pt idx="7">
                    <c:v>0.304</c:v>
                  </c:pt>
                  <c:pt idx="8">
                    <c:v>0.322</c:v>
                  </c:pt>
                  <c:pt idx="9">
                    <c:v>0.321</c:v>
                  </c:pt>
                  <c:pt idx="10">
                    <c:v>0.326</c:v>
                  </c:pt>
                  <c:pt idx="11">
                    <c:v>0.325</c:v>
                  </c:pt>
                  <c:pt idx="12">
                    <c:v>0.357</c:v>
                  </c:pt>
                  <c:pt idx="13">
                    <c:v>0.333</c:v>
                  </c:pt>
                  <c:pt idx="14">
                    <c:v>0.338</c:v>
                  </c:pt>
                  <c:pt idx="15">
                    <c:v>0.329</c:v>
                  </c:pt>
                  <c:pt idx="16">
                    <c:v>0.35</c:v>
                  </c:pt>
                  <c:pt idx="17">
                    <c:v>0.349</c:v>
                  </c:pt>
                  <c:pt idx="18">
                    <c:v>0.355</c:v>
                  </c:pt>
                  <c:pt idx="19">
                    <c:v>0.332</c:v>
                  </c:pt>
                  <c:pt idx="20">
                    <c:v>0.335</c:v>
                  </c:pt>
                  <c:pt idx="21">
                    <c:v>0.342</c:v>
                  </c:pt>
                  <c:pt idx="22">
                    <c:v>0.335</c:v>
                  </c:pt>
                  <c:pt idx="23">
                    <c:v>0.331</c:v>
                  </c:pt>
                  <c:pt idx="24">
                    <c:v>0.327</c:v>
                  </c:pt>
                  <c:pt idx="25">
                    <c:v>0.349</c:v>
                  </c:pt>
                </c:numCache>
              </c:numRef>
            </c:plus>
            <c:minus>
              <c:numRef>
                <c:f>'BMI-Absorption-70psi'!$O$4:$O$29</c:f>
                <c:numCache>
                  <c:formatCode>General</c:formatCode>
                  <c:ptCount val="26"/>
                  <c:pt idx="0">
                    <c:v>0.054</c:v>
                  </c:pt>
                  <c:pt idx="1">
                    <c:v>0.059</c:v>
                  </c:pt>
                  <c:pt idx="2">
                    <c:v>0.08</c:v>
                  </c:pt>
                  <c:pt idx="3">
                    <c:v>0.125</c:v>
                  </c:pt>
                  <c:pt idx="4">
                    <c:v>0.223</c:v>
                  </c:pt>
                  <c:pt idx="5">
                    <c:v>0.283</c:v>
                  </c:pt>
                  <c:pt idx="6">
                    <c:v>0.282</c:v>
                  </c:pt>
                  <c:pt idx="7">
                    <c:v>0.304</c:v>
                  </c:pt>
                  <c:pt idx="8">
                    <c:v>0.322</c:v>
                  </c:pt>
                  <c:pt idx="9">
                    <c:v>0.321</c:v>
                  </c:pt>
                  <c:pt idx="10">
                    <c:v>0.326</c:v>
                  </c:pt>
                  <c:pt idx="11">
                    <c:v>0.325</c:v>
                  </c:pt>
                  <c:pt idx="12">
                    <c:v>0.357</c:v>
                  </c:pt>
                  <c:pt idx="13">
                    <c:v>0.333</c:v>
                  </c:pt>
                  <c:pt idx="14">
                    <c:v>0.338</c:v>
                  </c:pt>
                  <c:pt idx="15">
                    <c:v>0.329</c:v>
                  </c:pt>
                  <c:pt idx="16">
                    <c:v>0.35</c:v>
                  </c:pt>
                  <c:pt idx="17">
                    <c:v>0.349</c:v>
                  </c:pt>
                  <c:pt idx="18">
                    <c:v>0.355</c:v>
                  </c:pt>
                  <c:pt idx="19">
                    <c:v>0.332</c:v>
                  </c:pt>
                  <c:pt idx="20">
                    <c:v>0.335</c:v>
                  </c:pt>
                  <c:pt idx="21">
                    <c:v>0.342</c:v>
                  </c:pt>
                  <c:pt idx="22">
                    <c:v>0.335</c:v>
                  </c:pt>
                  <c:pt idx="23">
                    <c:v>0.331</c:v>
                  </c:pt>
                  <c:pt idx="24">
                    <c:v>0.327</c:v>
                  </c:pt>
                  <c:pt idx="25">
                    <c:v>0.349</c:v>
                  </c:pt>
                </c:numCache>
              </c:numRef>
            </c:minus>
            <c:spPr>
              <a:ln w="12700">
                <a:solidFill>
                  <a:srgbClr val="00B050"/>
                </a:solidFill>
              </a:ln>
            </c:spPr>
          </c:errBars>
          <c:xVal>
            <c:numRef>
              <c:f>'BMI-Absorption-70psi'!$M$4:$M$34</c:f>
              <c:numCache>
                <c:formatCode>General</c:formatCode>
                <c:ptCount val="31"/>
                <c:pt idx="0">
                  <c:v>1.59</c:v>
                </c:pt>
                <c:pt idx="1">
                  <c:v>2.31</c:v>
                </c:pt>
                <c:pt idx="2">
                  <c:v>5.26</c:v>
                </c:pt>
                <c:pt idx="3">
                  <c:v>8.61</c:v>
                </c:pt>
                <c:pt idx="4">
                  <c:v>13.89</c:v>
                </c:pt>
                <c:pt idx="5">
                  <c:v>19.68</c:v>
                </c:pt>
                <c:pt idx="6">
                  <c:v>25.51</c:v>
                </c:pt>
                <c:pt idx="7">
                  <c:v>31.4</c:v>
                </c:pt>
                <c:pt idx="8">
                  <c:v>37.59</c:v>
                </c:pt>
                <c:pt idx="9">
                  <c:v>42.73</c:v>
                </c:pt>
                <c:pt idx="10">
                  <c:v>48.5</c:v>
                </c:pt>
                <c:pt idx="11">
                  <c:v>53.9</c:v>
                </c:pt>
                <c:pt idx="12">
                  <c:v>59.42</c:v>
                </c:pt>
                <c:pt idx="13">
                  <c:v>66.61</c:v>
                </c:pt>
                <c:pt idx="14">
                  <c:v>71.34</c:v>
                </c:pt>
                <c:pt idx="15">
                  <c:v>76.99</c:v>
                </c:pt>
                <c:pt idx="16">
                  <c:v>82.27</c:v>
                </c:pt>
                <c:pt idx="17">
                  <c:v>88.72</c:v>
                </c:pt>
                <c:pt idx="18">
                  <c:v>93.71</c:v>
                </c:pt>
                <c:pt idx="19">
                  <c:v>98.94</c:v>
                </c:pt>
                <c:pt idx="20">
                  <c:v>105.41</c:v>
                </c:pt>
                <c:pt idx="21">
                  <c:v>111.5</c:v>
                </c:pt>
                <c:pt idx="22">
                  <c:v>116.64</c:v>
                </c:pt>
                <c:pt idx="23">
                  <c:v>121.68</c:v>
                </c:pt>
                <c:pt idx="24">
                  <c:v>127.94</c:v>
                </c:pt>
                <c:pt idx="25">
                  <c:v>133.33</c:v>
                </c:pt>
              </c:numCache>
            </c:numRef>
          </c:xVal>
          <c:yVal>
            <c:numRef>
              <c:f>'BMI-Absorption-70psi'!$N$4:$N$34</c:f>
              <c:numCache>
                <c:formatCode>General</c:formatCode>
                <c:ptCount val="31"/>
                <c:pt idx="0">
                  <c:v>0.7263</c:v>
                </c:pt>
                <c:pt idx="1">
                  <c:v>0.9331</c:v>
                </c:pt>
                <c:pt idx="2">
                  <c:v>1.7227</c:v>
                </c:pt>
                <c:pt idx="3">
                  <c:v>2.4788</c:v>
                </c:pt>
                <c:pt idx="4">
                  <c:v>3.0742</c:v>
                </c:pt>
                <c:pt idx="5">
                  <c:v>3.2018</c:v>
                </c:pt>
                <c:pt idx="6">
                  <c:v>3.2474</c:v>
                </c:pt>
                <c:pt idx="7">
                  <c:v>3.3096</c:v>
                </c:pt>
                <c:pt idx="8">
                  <c:v>3.4043</c:v>
                </c:pt>
                <c:pt idx="9">
                  <c:v>3.4603</c:v>
                </c:pt>
                <c:pt idx="10">
                  <c:v>3.5364</c:v>
                </c:pt>
                <c:pt idx="11">
                  <c:v>3.5792</c:v>
                </c:pt>
                <c:pt idx="12">
                  <c:v>3.7132</c:v>
                </c:pt>
                <c:pt idx="13">
                  <c:v>3.743</c:v>
                </c:pt>
                <c:pt idx="14">
                  <c:v>3.7212</c:v>
                </c:pt>
                <c:pt idx="15">
                  <c:v>3.7847</c:v>
                </c:pt>
                <c:pt idx="16">
                  <c:v>3.8906</c:v>
                </c:pt>
                <c:pt idx="17">
                  <c:v>3.9671</c:v>
                </c:pt>
                <c:pt idx="18">
                  <c:v>4.0127</c:v>
                </c:pt>
                <c:pt idx="19">
                  <c:v>4.0585</c:v>
                </c:pt>
                <c:pt idx="20">
                  <c:v>4.0924</c:v>
                </c:pt>
                <c:pt idx="21">
                  <c:v>4.1017</c:v>
                </c:pt>
                <c:pt idx="22">
                  <c:v>4.1381</c:v>
                </c:pt>
                <c:pt idx="23">
                  <c:v>4.142899999999996</c:v>
                </c:pt>
                <c:pt idx="24">
                  <c:v>4.1784</c:v>
                </c:pt>
                <c:pt idx="25">
                  <c:v>4.168899999999986</c:v>
                </c:pt>
              </c:numCache>
            </c:numRef>
          </c:yVal>
          <c:smooth val="0"/>
        </c:ser>
        <c:ser>
          <c:idx val="3"/>
          <c:order val="4"/>
          <c:tx>
            <c:v>99% RH</c:v>
          </c:tx>
          <c:spPr>
            <a:ln w="28575">
              <a:noFill/>
            </a:ln>
          </c:spPr>
          <c:marker>
            <c:symbol val="square"/>
            <c:size val="5"/>
            <c:spPr>
              <a:solidFill>
                <a:srgbClr val="7030A0">
                  <a:alpha val="50000"/>
                </a:srgbClr>
              </a:solidFill>
              <a:ln w="12700">
                <a:solidFill>
                  <a:sysClr val="windowText" lastClr="000000"/>
                </a:solidFill>
              </a:ln>
            </c:spPr>
          </c:marker>
          <c:errBars>
            <c:errDir val="y"/>
            <c:errBarType val="both"/>
            <c:errValType val="cust"/>
            <c:noEndCap val="0"/>
            <c:plus>
              <c:numRef>
                <c:f>'BMI-Absorption-70psi'!$U$4:$U$29</c:f>
                <c:numCache>
                  <c:formatCode>General</c:formatCode>
                  <c:ptCount val="26"/>
                  <c:pt idx="0">
                    <c:v>0.044</c:v>
                  </c:pt>
                  <c:pt idx="1">
                    <c:v>0.043</c:v>
                  </c:pt>
                  <c:pt idx="2">
                    <c:v>0.06</c:v>
                  </c:pt>
                  <c:pt idx="3">
                    <c:v>0.095</c:v>
                  </c:pt>
                  <c:pt idx="4">
                    <c:v>0.159</c:v>
                  </c:pt>
                  <c:pt idx="5">
                    <c:v>0.173</c:v>
                  </c:pt>
                  <c:pt idx="6">
                    <c:v>0.144</c:v>
                  </c:pt>
                  <c:pt idx="7">
                    <c:v>0.147</c:v>
                  </c:pt>
                  <c:pt idx="8">
                    <c:v>0.18</c:v>
                  </c:pt>
                  <c:pt idx="9">
                    <c:v>0.181</c:v>
                  </c:pt>
                  <c:pt idx="10">
                    <c:v>0.147</c:v>
                  </c:pt>
                  <c:pt idx="11">
                    <c:v>0.149</c:v>
                  </c:pt>
                  <c:pt idx="12">
                    <c:v>0.184</c:v>
                  </c:pt>
                  <c:pt idx="13">
                    <c:v>0.143</c:v>
                  </c:pt>
                  <c:pt idx="14">
                    <c:v>0.164</c:v>
                  </c:pt>
                  <c:pt idx="15">
                    <c:v>0.148</c:v>
                  </c:pt>
                  <c:pt idx="16">
                    <c:v>0.181</c:v>
                  </c:pt>
                  <c:pt idx="17">
                    <c:v>0.178</c:v>
                  </c:pt>
                  <c:pt idx="18">
                    <c:v>0.174</c:v>
                  </c:pt>
                  <c:pt idx="19">
                    <c:v>0.167</c:v>
                  </c:pt>
                  <c:pt idx="20">
                    <c:v>0.193</c:v>
                  </c:pt>
                  <c:pt idx="21">
                    <c:v>0.176</c:v>
                  </c:pt>
                  <c:pt idx="22">
                    <c:v>0.176</c:v>
                  </c:pt>
                  <c:pt idx="23">
                    <c:v>0.167</c:v>
                  </c:pt>
                  <c:pt idx="24">
                    <c:v>0.165</c:v>
                  </c:pt>
                  <c:pt idx="25">
                    <c:v>0.211</c:v>
                  </c:pt>
                </c:numCache>
              </c:numRef>
            </c:plus>
            <c:minus>
              <c:numRef>
                <c:f>'BMI-Absorption-70psi'!$U$4:$U$29</c:f>
                <c:numCache>
                  <c:formatCode>General</c:formatCode>
                  <c:ptCount val="26"/>
                  <c:pt idx="0">
                    <c:v>0.044</c:v>
                  </c:pt>
                  <c:pt idx="1">
                    <c:v>0.043</c:v>
                  </c:pt>
                  <c:pt idx="2">
                    <c:v>0.06</c:v>
                  </c:pt>
                  <c:pt idx="3">
                    <c:v>0.095</c:v>
                  </c:pt>
                  <c:pt idx="4">
                    <c:v>0.159</c:v>
                  </c:pt>
                  <c:pt idx="5">
                    <c:v>0.173</c:v>
                  </c:pt>
                  <c:pt idx="6">
                    <c:v>0.144</c:v>
                  </c:pt>
                  <c:pt idx="7">
                    <c:v>0.147</c:v>
                  </c:pt>
                  <c:pt idx="8">
                    <c:v>0.18</c:v>
                  </c:pt>
                  <c:pt idx="9">
                    <c:v>0.181</c:v>
                  </c:pt>
                  <c:pt idx="10">
                    <c:v>0.147</c:v>
                  </c:pt>
                  <c:pt idx="11">
                    <c:v>0.149</c:v>
                  </c:pt>
                  <c:pt idx="12">
                    <c:v>0.184</c:v>
                  </c:pt>
                  <c:pt idx="13">
                    <c:v>0.143</c:v>
                  </c:pt>
                  <c:pt idx="14">
                    <c:v>0.164</c:v>
                  </c:pt>
                  <c:pt idx="15">
                    <c:v>0.148</c:v>
                  </c:pt>
                  <c:pt idx="16">
                    <c:v>0.181</c:v>
                  </c:pt>
                  <c:pt idx="17">
                    <c:v>0.178</c:v>
                  </c:pt>
                  <c:pt idx="18">
                    <c:v>0.174</c:v>
                  </c:pt>
                  <c:pt idx="19">
                    <c:v>0.167</c:v>
                  </c:pt>
                  <c:pt idx="20">
                    <c:v>0.193</c:v>
                  </c:pt>
                  <c:pt idx="21">
                    <c:v>0.176</c:v>
                  </c:pt>
                  <c:pt idx="22">
                    <c:v>0.176</c:v>
                  </c:pt>
                  <c:pt idx="23">
                    <c:v>0.167</c:v>
                  </c:pt>
                  <c:pt idx="24">
                    <c:v>0.165</c:v>
                  </c:pt>
                  <c:pt idx="25">
                    <c:v>0.211</c:v>
                  </c:pt>
                </c:numCache>
              </c:numRef>
            </c:minus>
            <c:spPr>
              <a:ln w="12700">
                <a:solidFill>
                  <a:srgbClr val="7030A0"/>
                </a:solidFill>
              </a:ln>
            </c:spPr>
          </c:errBars>
          <c:xVal>
            <c:numRef>
              <c:f>'BMI-Absorption-70psi'!$S$4:$S$34</c:f>
              <c:numCache>
                <c:formatCode>General</c:formatCode>
                <c:ptCount val="31"/>
                <c:pt idx="0">
                  <c:v>1.62</c:v>
                </c:pt>
                <c:pt idx="1">
                  <c:v>2.33</c:v>
                </c:pt>
                <c:pt idx="2">
                  <c:v>5.28</c:v>
                </c:pt>
                <c:pt idx="3">
                  <c:v>8.61</c:v>
                </c:pt>
                <c:pt idx="4">
                  <c:v>13.9</c:v>
                </c:pt>
                <c:pt idx="5">
                  <c:v>19.68</c:v>
                </c:pt>
                <c:pt idx="6">
                  <c:v>25.51</c:v>
                </c:pt>
                <c:pt idx="7">
                  <c:v>31.4</c:v>
                </c:pt>
                <c:pt idx="8">
                  <c:v>37.6</c:v>
                </c:pt>
                <c:pt idx="9">
                  <c:v>42.73</c:v>
                </c:pt>
                <c:pt idx="10">
                  <c:v>48.5</c:v>
                </c:pt>
                <c:pt idx="11">
                  <c:v>53.9</c:v>
                </c:pt>
                <c:pt idx="12">
                  <c:v>59.42</c:v>
                </c:pt>
                <c:pt idx="13">
                  <c:v>66.61</c:v>
                </c:pt>
                <c:pt idx="14">
                  <c:v>71.34</c:v>
                </c:pt>
                <c:pt idx="15">
                  <c:v>76.99</c:v>
                </c:pt>
                <c:pt idx="16">
                  <c:v>82.27</c:v>
                </c:pt>
                <c:pt idx="17">
                  <c:v>88.72</c:v>
                </c:pt>
                <c:pt idx="18">
                  <c:v>93.71</c:v>
                </c:pt>
                <c:pt idx="19">
                  <c:v>98.94</c:v>
                </c:pt>
                <c:pt idx="20">
                  <c:v>105.42</c:v>
                </c:pt>
                <c:pt idx="21">
                  <c:v>111.5</c:v>
                </c:pt>
                <c:pt idx="22">
                  <c:v>116.65</c:v>
                </c:pt>
                <c:pt idx="23">
                  <c:v>121.69</c:v>
                </c:pt>
                <c:pt idx="24">
                  <c:v>127.94</c:v>
                </c:pt>
                <c:pt idx="25">
                  <c:v>133.33</c:v>
                </c:pt>
              </c:numCache>
            </c:numRef>
          </c:xVal>
          <c:yVal>
            <c:numRef>
              <c:f>'BMI-Absorption-70psi'!$T$4:$T$34</c:f>
              <c:numCache>
                <c:formatCode>General</c:formatCode>
                <c:ptCount val="31"/>
                <c:pt idx="0">
                  <c:v>0.8763</c:v>
                </c:pt>
                <c:pt idx="1">
                  <c:v>1.0652</c:v>
                </c:pt>
                <c:pt idx="2">
                  <c:v>1.8868</c:v>
                </c:pt>
                <c:pt idx="3">
                  <c:v>2.5841</c:v>
                </c:pt>
                <c:pt idx="4">
                  <c:v>3.0104</c:v>
                </c:pt>
                <c:pt idx="5">
                  <c:v>3.1183</c:v>
                </c:pt>
                <c:pt idx="6">
                  <c:v>3.19</c:v>
                </c:pt>
                <c:pt idx="7">
                  <c:v>3.2443</c:v>
                </c:pt>
                <c:pt idx="8">
                  <c:v>3.309499999999999</c:v>
                </c:pt>
                <c:pt idx="9">
                  <c:v>3.4899</c:v>
                </c:pt>
                <c:pt idx="10">
                  <c:v>3.6147</c:v>
                </c:pt>
                <c:pt idx="11">
                  <c:v>3.6863</c:v>
                </c:pt>
                <c:pt idx="12">
                  <c:v>3.752699999999999</c:v>
                </c:pt>
                <c:pt idx="13">
                  <c:v>3.821299999999999</c:v>
                </c:pt>
                <c:pt idx="14">
                  <c:v>3.842299999999998</c:v>
                </c:pt>
                <c:pt idx="15">
                  <c:v>3.8772</c:v>
                </c:pt>
                <c:pt idx="16">
                  <c:v>3.9367</c:v>
                </c:pt>
                <c:pt idx="17">
                  <c:v>3.979</c:v>
                </c:pt>
                <c:pt idx="18">
                  <c:v>4.007499999999999</c:v>
                </c:pt>
                <c:pt idx="19">
                  <c:v>4.027799999999996</c:v>
                </c:pt>
                <c:pt idx="20">
                  <c:v>4.0779</c:v>
                </c:pt>
                <c:pt idx="21">
                  <c:v>4.0755</c:v>
                </c:pt>
                <c:pt idx="22">
                  <c:v>4.068499999999998</c:v>
                </c:pt>
                <c:pt idx="23">
                  <c:v>4.0908</c:v>
                </c:pt>
                <c:pt idx="24">
                  <c:v>4.128499999999987</c:v>
                </c:pt>
                <c:pt idx="25">
                  <c:v>4.1304</c:v>
                </c:pt>
              </c:numCache>
            </c:numRef>
          </c:yVal>
          <c:smooth val="0"/>
        </c:ser>
        <c:ser>
          <c:idx val="9"/>
          <c:order val="5"/>
          <c:spPr>
            <a:ln w="12700">
              <a:solidFill>
                <a:sysClr val="windowText" lastClr="000000"/>
              </a:solidFill>
              <a:prstDash val="lgDash"/>
            </a:ln>
          </c:spPr>
          <c:marker>
            <c:symbol val="none"/>
          </c:marker>
          <c:dPt>
            <c:idx val="1"/>
            <c:bubble3D val="0"/>
            <c:spPr>
              <a:ln w="12700">
                <a:solidFill>
                  <a:schemeClr val="bg1">
                    <a:lumMod val="50000"/>
                  </a:schemeClr>
                </a:solidFill>
                <a:prstDash val="lgDash"/>
              </a:ln>
            </c:spPr>
          </c:dPt>
          <c:xVal>
            <c:numRef>
              <c:f>('BMI-Absorption-10psi'!$D$51,'BMI-Absorption-10psi'!$D$51)</c:f>
              <c:numCache>
                <c:formatCode>General</c:formatCode>
                <c:ptCount val="2"/>
                <c:pt idx="0">
                  <c:v>132.363</c:v>
                </c:pt>
                <c:pt idx="1">
                  <c:v>132.363</c:v>
                </c:pt>
              </c:numCache>
            </c:numRef>
          </c:xVal>
          <c:yVal>
            <c:numLit>
              <c:formatCode>General</c:formatCode>
              <c:ptCount val="2"/>
              <c:pt idx="0">
                <c:v>0.0</c:v>
              </c:pt>
              <c:pt idx="1">
                <c:v>12.0</c:v>
              </c:pt>
            </c:numLit>
          </c:yVal>
          <c:smooth val="0"/>
        </c:ser>
        <c:dLbls>
          <c:showLegendKey val="0"/>
          <c:showVal val="0"/>
          <c:showCatName val="0"/>
          <c:showSerName val="0"/>
          <c:showPercent val="0"/>
          <c:showBubbleSize val="0"/>
        </c:dLbls>
        <c:axId val="424529736"/>
        <c:axId val="424535688"/>
      </c:scatterChart>
      <c:valAx>
        <c:axId val="424529736"/>
        <c:scaling>
          <c:orientation val="minMax"/>
          <c:max val="15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424535688"/>
        <c:crosses val="autoZero"/>
        <c:crossBetween val="midCat"/>
        <c:minorUnit val="12.5"/>
      </c:valAx>
      <c:valAx>
        <c:axId val="424535688"/>
        <c:scaling>
          <c:orientation val="minMax"/>
          <c:max val="11.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424529736"/>
        <c:crosses val="autoZero"/>
        <c:crossBetween val="midCat"/>
        <c:majorUnit val="2.0"/>
        <c:minorUnit val="0.5"/>
      </c:valAx>
      <c:spPr>
        <a:ln w="19050">
          <a:solidFill>
            <a:sysClr val="windowText" lastClr="000000"/>
          </a:solidFill>
        </a:ln>
      </c:spPr>
    </c:plotArea>
    <c:legend>
      <c:legendPos val="r"/>
      <c:legendEntry>
        <c:idx val="0"/>
        <c:delete val="1"/>
      </c:legendEntry>
      <c:legendEntry>
        <c:idx val="5"/>
        <c:delete val="1"/>
      </c:legendEntry>
      <c:layout>
        <c:manualLayout>
          <c:xMode val="edge"/>
          <c:yMode val="edge"/>
          <c:x val="0.191148775894539"/>
          <c:y val="0.100443277923593"/>
          <c:w val="0.235029360736688"/>
          <c:h val="0.198320209973753"/>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4324356685478"/>
          <c:y val="0.0333333333333333"/>
          <c:w val="0.759957604491145"/>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circle"/>
            <c:size val="5"/>
            <c:spPr>
              <a:solidFill>
                <a:srgbClr val="0070C0">
                  <a:alpha val="50000"/>
                </a:srgbClr>
              </a:solidFill>
              <a:ln w="12700">
                <a:solidFill>
                  <a:schemeClr val="tx1"/>
                </a:solidFill>
              </a:ln>
            </c:spPr>
          </c:marker>
          <c:errBars>
            <c:errDir val="y"/>
            <c:errBarType val="both"/>
            <c:errValType val="cust"/>
            <c:noEndCap val="0"/>
            <c:plus>
              <c:numRef>
                <c:f>'TQ-Absorption-10psi'!$C$4:$C$29</c:f>
                <c:numCache>
                  <c:formatCode>General</c:formatCode>
                  <c:ptCount val="26"/>
                  <c:pt idx="0">
                    <c:v>0.041</c:v>
                  </c:pt>
                  <c:pt idx="1">
                    <c:v>0.044</c:v>
                  </c:pt>
                  <c:pt idx="2">
                    <c:v>0.06</c:v>
                  </c:pt>
                  <c:pt idx="3">
                    <c:v>0.075</c:v>
                  </c:pt>
                  <c:pt idx="4">
                    <c:v>0.095</c:v>
                  </c:pt>
                  <c:pt idx="5">
                    <c:v>0.103</c:v>
                  </c:pt>
                  <c:pt idx="6">
                    <c:v>0.105</c:v>
                  </c:pt>
                  <c:pt idx="7">
                    <c:v>0.11</c:v>
                  </c:pt>
                  <c:pt idx="8">
                    <c:v>0.126</c:v>
                  </c:pt>
                  <c:pt idx="9">
                    <c:v>0.115</c:v>
                  </c:pt>
                  <c:pt idx="10">
                    <c:v>0.113</c:v>
                  </c:pt>
                  <c:pt idx="11">
                    <c:v>0.125</c:v>
                  </c:pt>
                  <c:pt idx="12">
                    <c:v>0.114</c:v>
                  </c:pt>
                  <c:pt idx="13">
                    <c:v>0.109</c:v>
                  </c:pt>
                  <c:pt idx="14">
                    <c:v>0.12</c:v>
                  </c:pt>
                  <c:pt idx="15">
                    <c:v>0.118</c:v>
                  </c:pt>
                  <c:pt idx="16">
                    <c:v>0.124</c:v>
                  </c:pt>
                  <c:pt idx="17">
                    <c:v>0.118</c:v>
                  </c:pt>
                  <c:pt idx="18">
                    <c:v>0.116</c:v>
                  </c:pt>
                  <c:pt idx="19">
                    <c:v>0.11</c:v>
                  </c:pt>
                  <c:pt idx="20">
                    <c:v>0.12</c:v>
                  </c:pt>
                  <c:pt idx="21">
                    <c:v>0.116</c:v>
                  </c:pt>
                  <c:pt idx="22">
                    <c:v>0.118</c:v>
                  </c:pt>
                  <c:pt idx="23">
                    <c:v>0.103</c:v>
                  </c:pt>
                  <c:pt idx="24">
                    <c:v>0.104</c:v>
                  </c:pt>
                </c:numCache>
              </c:numRef>
            </c:plus>
            <c:minus>
              <c:numRef>
                <c:f>'TQ-Absorption-10psi'!$C$4:$C$29</c:f>
                <c:numCache>
                  <c:formatCode>General</c:formatCode>
                  <c:ptCount val="26"/>
                  <c:pt idx="0">
                    <c:v>0.041</c:v>
                  </c:pt>
                  <c:pt idx="1">
                    <c:v>0.044</c:v>
                  </c:pt>
                  <c:pt idx="2">
                    <c:v>0.06</c:v>
                  </c:pt>
                  <c:pt idx="3">
                    <c:v>0.075</c:v>
                  </c:pt>
                  <c:pt idx="4">
                    <c:v>0.095</c:v>
                  </c:pt>
                  <c:pt idx="5">
                    <c:v>0.103</c:v>
                  </c:pt>
                  <c:pt idx="6">
                    <c:v>0.105</c:v>
                  </c:pt>
                  <c:pt idx="7">
                    <c:v>0.11</c:v>
                  </c:pt>
                  <c:pt idx="8">
                    <c:v>0.126</c:v>
                  </c:pt>
                  <c:pt idx="9">
                    <c:v>0.115</c:v>
                  </c:pt>
                  <c:pt idx="10">
                    <c:v>0.113</c:v>
                  </c:pt>
                  <c:pt idx="11">
                    <c:v>0.125</c:v>
                  </c:pt>
                  <c:pt idx="12">
                    <c:v>0.114</c:v>
                  </c:pt>
                  <c:pt idx="13">
                    <c:v>0.109</c:v>
                  </c:pt>
                  <c:pt idx="14">
                    <c:v>0.12</c:v>
                  </c:pt>
                  <c:pt idx="15">
                    <c:v>0.118</c:v>
                  </c:pt>
                  <c:pt idx="16">
                    <c:v>0.124</c:v>
                  </c:pt>
                  <c:pt idx="17">
                    <c:v>0.118</c:v>
                  </c:pt>
                  <c:pt idx="18">
                    <c:v>0.116</c:v>
                  </c:pt>
                  <c:pt idx="19">
                    <c:v>0.11</c:v>
                  </c:pt>
                  <c:pt idx="20">
                    <c:v>0.12</c:v>
                  </c:pt>
                  <c:pt idx="21">
                    <c:v>0.116</c:v>
                  </c:pt>
                  <c:pt idx="22">
                    <c:v>0.118</c:v>
                  </c:pt>
                  <c:pt idx="23">
                    <c:v>0.103</c:v>
                  </c:pt>
                  <c:pt idx="24">
                    <c:v>0.104</c:v>
                  </c:pt>
                </c:numCache>
              </c:numRef>
            </c:minus>
            <c:spPr>
              <a:ln w="12700">
                <a:solidFill>
                  <a:srgbClr val="0070C0"/>
                </a:solidFill>
              </a:ln>
            </c:spPr>
          </c:errBars>
          <c:xVal>
            <c:numRef>
              <c:f>'TQ-Absorption-10psi'!$A$4:$A$34</c:f>
              <c:numCache>
                <c:formatCode>General</c:formatCode>
                <c:ptCount val="31"/>
                <c:pt idx="0">
                  <c:v>1.32</c:v>
                </c:pt>
                <c:pt idx="1">
                  <c:v>2.41</c:v>
                </c:pt>
                <c:pt idx="2">
                  <c:v>5.189999999999999</c:v>
                </c:pt>
                <c:pt idx="3">
                  <c:v>7.31</c:v>
                </c:pt>
                <c:pt idx="4">
                  <c:v>14.0</c:v>
                </c:pt>
                <c:pt idx="5">
                  <c:v>19.73</c:v>
                </c:pt>
                <c:pt idx="6">
                  <c:v>26.91</c:v>
                </c:pt>
                <c:pt idx="7">
                  <c:v>30.69</c:v>
                </c:pt>
                <c:pt idx="8">
                  <c:v>37.34</c:v>
                </c:pt>
                <c:pt idx="9">
                  <c:v>41.88</c:v>
                </c:pt>
                <c:pt idx="10">
                  <c:v>47.03</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130.24</c:v>
                </c:pt>
              </c:numCache>
            </c:numRef>
          </c:xVal>
          <c:yVal>
            <c:numRef>
              <c:f>'TQ-Absorption-10psi'!$B$4:$B$34</c:f>
              <c:numCache>
                <c:formatCode>General</c:formatCode>
                <c:ptCount val="31"/>
                <c:pt idx="0">
                  <c:v>0.114</c:v>
                </c:pt>
                <c:pt idx="1">
                  <c:v>0.1234</c:v>
                </c:pt>
                <c:pt idx="2">
                  <c:v>0.145</c:v>
                </c:pt>
                <c:pt idx="3">
                  <c:v>0.1563</c:v>
                </c:pt>
                <c:pt idx="4">
                  <c:v>0.187</c:v>
                </c:pt>
                <c:pt idx="5">
                  <c:v>0.2181</c:v>
                </c:pt>
                <c:pt idx="6">
                  <c:v>0.2244</c:v>
                </c:pt>
                <c:pt idx="7">
                  <c:v>0.2365</c:v>
                </c:pt>
                <c:pt idx="8">
                  <c:v>0.2685</c:v>
                </c:pt>
                <c:pt idx="9">
                  <c:v>0.2744</c:v>
                </c:pt>
                <c:pt idx="10">
                  <c:v>0.2754</c:v>
                </c:pt>
                <c:pt idx="11">
                  <c:v>0.3163</c:v>
                </c:pt>
                <c:pt idx="12">
                  <c:v>0.345</c:v>
                </c:pt>
                <c:pt idx="13">
                  <c:v>0.3658</c:v>
                </c:pt>
                <c:pt idx="14">
                  <c:v>0.3923</c:v>
                </c:pt>
                <c:pt idx="15">
                  <c:v>0.4248</c:v>
                </c:pt>
                <c:pt idx="16">
                  <c:v>0.4463</c:v>
                </c:pt>
                <c:pt idx="17">
                  <c:v>0.4541</c:v>
                </c:pt>
                <c:pt idx="18">
                  <c:v>0.4843</c:v>
                </c:pt>
                <c:pt idx="19">
                  <c:v>0.4988</c:v>
                </c:pt>
                <c:pt idx="20">
                  <c:v>0.5018</c:v>
                </c:pt>
                <c:pt idx="21">
                  <c:v>0.517</c:v>
                </c:pt>
                <c:pt idx="22">
                  <c:v>0.517</c:v>
                </c:pt>
                <c:pt idx="23">
                  <c:v>0.5199</c:v>
                </c:pt>
                <c:pt idx="24">
                  <c:v>0.5329</c:v>
                </c:pt>
              </c:numCache>
            </c:numRef>
          </c:yVal>
          <c:smooth val="0"/>
        </c:ser>
        <c:ser>
          <c:idx val="1"/>
          <c:order val="2"/>
          <c:tx>
            <c:v>40% RH</c:v>
          </c:tx>
          <c:spPr>
            <a:ln w="28575">
              <a:noFill/>
            </a:ln>
          </c:spPr>
          <c:marker>
            <c:symbol val="circle"/>
            <c:size val="5"/>
            <c:spPr>
              <a:solidFill>
                <a:srgbClr val="C00000">
                  <a:alpha val="50000"/>
                </a:srgbClr>
              </a:solidFill>
              <a:ln w="12700">
                <a:solidFill>
                  <a:sysClr val="windowText" lastClr="000000"/>
                </a:solidFill>
              </a:ln>
            </c:spPr>
          </c:marker>
          <c:errBars>
            <c:errDir val="y"/>
            <c:errBarType val="both"/>
            <c:errValType val="cust"/>
            <c:noEndCap val="0"/>
            <c:plus>
              <c:numRef>
                <c:f>'TQ-Absorption-10psi'!$I$4:$I$29</c:f>
                <c:numCache>
                  <c:formatCode>General</c:formatCode>
                  <c:ptCount val="26"/>
                  <c:pt idx="0">
                    <c:v>0.04</c:v>
                  </c:pt>
                  <c:pt idx="1">
                    <c:v>0.051</c:v>
                  </c:pt>
                  <c:pt idx="2">
                    <c:v>0.047</c:v>
                  </c:pt>
                  <c:pt idx="3">
                    <c:v>0.063</c:v>
                  </c:pt>
                  <c:pt idx="4">
                    <c:v>0.088</c:v>
                  </c:pt>
                  <c:pt idx="5">
                    <c:v>0.089</c:v>
                  </c:pt>
                  <c:pt idx="6">
                    <c:v>0.086</c:v>
                  </c:pt>
                  <c:pt idx="7">
                    <c:v>0.08</c:v>
                  </c:pt>
                  <c:pt idx="8">
                    <c:v>0.088</c:v>
                  </c:pt>
                  <c:pt idx="9">
                    <c:v>0.086</c:v>
                  </c:pt>
                  <c:pt idx="10">
                    <c:v>0.11</c:v>
                  </c:pt>
                  <c:pt idx="11">
                    <c:v>0.092</c:v>
                  </c:pt>
                  <c:pt idx="12">
                    <c:v>0.109</c:v>
                  </c:pt>
                  <c:pt idx="13">
                    <c:v>0.11</c:v>
                  </c:pt>
                  <c:pt idx="14">
                    <c:v>0.105</c:v>
                  </c:pt>
                  <c:pt idx="15">
                    <c:v>0.108</c:v>
                  </c:pt>
                  <c:pt idx="16">
                    <c:v>0.091</c:v>
                  </c:pt>
                  <c:pt idx="17">
                    <c:v>0.113</c:v>
                  </c:pt>
                  <c:pt idx="18">
                    <c:v>0.097</c:v>
                  </c:pt>
                  <c:pt idx="19">
                    <c:v>0.096</c:v>
                  </c:pt>
                  <c:pt idx="20">
                    <c:v>0.099</c:v>
                  </c:pt>
                  <c:pt idx="21">
                    <c:v>0.095</c:v>
                  </c:pt>
                  <c:pt idx="22">
                    <c:v>0.092</c:v>
                  </c:pt>
                  <c:pt idx="23">
                    <c:v>0.115</c:v>
                  </c:pt>
                  <c:pt idx="24">
                    <c:v>0.11</c:v>
                  </c:pt>
                </c:numCache>
              </c:numRef>
            </c:plus>
            <c:minus>
              <c:numRef>
                <c:f>'TQ-Absorption-10psi'!$I$4:$I$29</c:f>
                <c:numCache>
                  <c:formatCode>General</c:formatCode>
                  <c:ptCount val="26"/>
                  <c:pt idx="0">
                    <c:v>0.04</c:v>
                  </c:pt>
                  <c:pt idx="1">
                    <c:v>0.051</c:v>
                  </c:pt>
                  <c:pt idx="2">
                    <c:v>0.047</c:v>
                  </c:pt>
                  <c:pt idx="3">
                    <c:v>0.063</c:v>
                  </c:pt>
                  <c:pt idx="4">
                    <c:v>0.088</c:v>
                  </c:pt>
                  <c:pt idx="5">
                    <c:v>0.089</c:v>
                  </c:pt>
                  <c:pt idx="6">
                    <c:v>0.086</c:v>
                  </c:pt>
                  <c:pt idx="7">
                    <c:v>0.08</c:v>
                  </c:pt>
                  <c:pt idx="8">
                    <c:v>0.088</c:v>
                  </c:pt>
                  <c:pt idx="9">
                    <c:v>0.086</c:v>
                  </c:pt>
                  <c:pt idx="10">
                    <c:v>0.11</c:v>
                  </c:pt>
                  <c:pt idx="11">
                    <c:v>0.092</c:v>
                  </c:pt>
                  <c:pt idx="12">
                    <c:v>0.109</c:v>
                  </c:pt>
                  <c:pt idx="13">
                    <c:v>0.11</c:v>
                  </c:pt>
                  <c:pt idx="14">
                    <c:v>0.105</c:v>
                  </c:pt>
                  <c:pt idx="15">
                    <c:v>0.108</c:v>
                  </c:pt>
                  <c:pt idx="16">
                    <c:v>0.091</c:v>
                  </c:pt>
                  <c:pt idx="17">
                    <c:v>0.113</c:v>
                  </c:pt>
                  <c:pt idx="18">
                    <c:v>0.097</c:v>
                  </c:pt>
                  <c:pt idx="19">
                    <c:v>0.096</c:v>
                  </c:pt>
                  <c:pt idx="20">
                    <c:v>0.099</c:v>
                  </c:pt>
                  <c:pt idx="21">
                    <c:v>0.095</c:v>
                  </c:pt>
                  <c:pt idx="22">
                    <c:v>0.092</c:v>
                  </c:pt>
                  <c:pt idx="23">
                    <c:v>0.115</c:v>
                  </c:pt>
                  <c:pt idx="24">
                    <c:v>0.11</c:v>
                  </c:pt>
                </c:numCache>
              </c:numRef>
            </c:minus>
            <c:spPr>
              <a:ln w="12700">
                <a:solidFill>
                  <a:srgbClr val="C00000"/>
                </a:solidFill>
              </a:ln>
            </c:spPr>
          </c:errBars>
          <c:xVal>
            <c:numRef>
              <c:f>'TQ-Absorption-10psi'!$G$4:$G$34</c:f>
              <c:numCache>
                <c:formatCode>General</c:formatCode>
                <c:ptCount val="31"/>
                <c:pt idx="0">
                  <c:v>1.37</c:v>
                </c:pt>
                <c:pt idx="1">
                  <c:v>2.44</c:v>
                </c:pt>
                <c:pt idx="2">
                  <c:v>5.2</c:v>
                </c:pt>
                <c:pt idx="3">
                  <c:v>7.319999999999998</c:v>
                </c:pt>
                <c:pt idx="4">
                  <c:v>14.0</c:v>
                </c:pt>
                <c:pt idx="5">
                  <c:v>19.73</c:v>
                </c:pt>
                <c:pt idx="6">
                  <c:v>26.91</c:v>
                </c:pt>
                <c:pt idx="7">
                  <c:v>30.7</c:v>
                </c:pt>
                <c:pt idx="8">
                  <c:v>37.34</c:v>
                </c:pt>
                <c:pt idx="9">
                  <c:v>41.88</c:v>
                </c:pt>
                <c:pt idx="10">
                  <c:v>47.03</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130.24</c:v>
                </c:pt>
              </c:numCache>
            </c:numRef>
          </c:xVal>
          <c:yVal>
            <c:numRef>
              <c:f>'TQ-Absorption-10psi'!$H$4:$H$34</c:f>
              <c:numCache>
                <c:formatCode>General</c:formatCode>
                <c:ptCount val="31"/>
                <c:pt idx="0">
                  <c:v>0.1274</c:v>
                </c:pt>
                <c:pt idx="1">
                  <c:v>0.1528</c:v>
                </c:pt>
                <c:pt idx="2">
                  <c:v>0.1912</c:v>
                </c:pt>
                <c:pt idx="3">
                  <c:v>0.2114</c:v>
                </c:pt>
                <c:pt idx="4">
                  <c:v>0.2516</c:v>
                </c:pt>
                <c:pt idx="5">
                  <c:v>0.2807</c:v>
                </c:pt>
                <c:pt idx="6">
                  <c:v>0.2919</c:v>
                </c:pt>
                <c:pt idx="7">
                  <c:v>0.2876</c:v>
                </c:pt>
                <c:pt idx="8">
                  <c:v>0.3243</c:v>
                </c:pt>
                <c:pt idx="9">
                  <c:v>0.3261</c:v>
                </c:pt>
                <c:pt idx="10">
                  <c:v>0.3347</c:v>
                </c:pt>
                <c:pt idx="11">
                  <c:v>0.3492</c:v>
                </c:pt>
                <c:pt idx="12">
                  <c:v>0.3731</c:v>
                </c:pt>
                <c:pt idx="13">
                  <c:v>0.3921</c:v>
                </c:pt>
                <c:pt idx="14">
                  <c:v>0.4587</c:v>
                </c:pt>
                <c:pt idx="15">
                  <c:v>0.4923</c:v>
                </c:pt>
                <c:pt idx="16">
                  <c:v>0.5349</c:v>
                </c:pt>
                <c:pt idx="17">
                  <c:v>0.5477</c:v>
                </c:pt>
                <c:pt idx="18">
                  <c:v>0.577</c:v>
                </c:pt>
                <c:pt idx="19">
                  <c:v>0.5948</c:v>
                </c:pt>
                <c:pt idx="20">
                  <c:v>0.5995</c:v>
                </c:pt>
                <c:pt idx="21">
                  <c:v>0.6167</c:v>
                </c:pt>
                <c:pt idx="22">
                  <c:v>0.632</c:v>
                </c:pt>
                <c:pt idx="23">
                  <c:v>0.6304</c:v>
                </c:pt>
                <c:pt idx="24">
                  <c:v>0.6414</c:v>
                </c:pt>
              </c:numCache>
            </c:numRef>
          </c:yVal>
          <c:smooth val="0"/>
        </c:ser>
        <c:ser>
          <c:idx val="2"/>
          <c:order val="3"/>
          <c:tx>
            <c:v>70% RH</c:v>
          </c:tx>
          <c:spPr>
            <a:ln w="28575">
              <a:noFill/>
            </a:ln>
          </c:spPr>
          <c:marker>
            <c:symbol val="circle"/>
            <c:size val="5"/>
            <c:spPr>
              <a:solidFill>
                <a:srgbClr val="00B050">
                  <a:alpha val="50000"/>
                </a:srgbClr>
              </a:solidFill>
              <a:ln w="12700">
                <a:solidFill>
                  <a:sysClr val="windowText" lastClr="000000"/>
                </a:solidFill>
              </a:ln>
            </c:spPr>
          </c:marker>
          <c:errBars>
            <c:errDir val="y"/>
            <c:errBarType val="both"/>
            <c:errValType val="cust"/>
            <c:noEndCap val="0"/>
            <c:plus>
              <c:numRef>
                <c:f>'TQ-Absorption-10psi'!$O$4:$O$29</c:f>
                <c:numCache>
                  <c:formatCode>General</c:formatCode>
                  <c:ptCount val="26"/>
                  <c:pt idx="0">
                    <c:v>0.04</c:v>
                  </c:pt>
                  <c:pt idx="1">
                    <c:v>0.05</c:v>
                  </c:pt>
                  <c:pt idx="2">
                    <c:v>0.052</c:v>
                  </c:pt>
                  <c:pt idx="3">
                    <c:v>0.08</c:v>
                  </c:pt>
                  <c:pt idx="4">
                    <c:v>0.113</c:v>
                  </c:pt>
                  <c:pt idx="5">
                    <c:v>0.135</c:v>
                  </c:pt>
                  <c:pt idx="6">
                    <c:v>0.125</c:v>
                  </c:pt>
                  <c:pt idx="7">
                    <c:v>0.13</c:v>
                  </c:pt>
                  <c:pt idx="8">
                    <c:v>0.12</c:v>
                  </c:pt>
                  <c:pt idx="9">
                    <c:v>0.141</c:v>
                  </c:pt>
                  <c:pt idx="10">
                    <c:v>0.152</c:v>
                  </c:pt>
                  <c:pt idx="11">
                    <c:v>0.143</c:v>
                  </c:pt>
                  <c:pt idx="12">
                    <c:v>0.157</c:v>
                  </c:pt>
                  <c:pt idx="13">
                    <c:v>0.141</c:v>
                  </c:pt>
                  <c:pt idx="14">
                    <c:v>0.145</c:v>
                  </c:pt>
                  <c:pt idx="15">
                    <c:v>0.155</c:v>
                  </c:pt>
                  <c:pt idx="16">
                    <c:v>0.14</c:v>
                  </c:pt>
                  <c:pt idx="17">
                    <c:v>0.163</c:v>
                  </c:pt>
                  <c:pt idx="18">
                    <c:v>0.13</c:v>
                  </c:pt>
                  <c:pt idx="19">
                    <c:v>0.153</c:v>
                  </c:pt>
                  <c:pt idx="20">
                    <c:v>0.155</c:v>
                  </c:pt>
                  <c:pt idx="21">
                    <c:v>0.151</c:v>
                  </c:pt>
                  <c:pt idx="22">
                    <c:v>0.144</c:v>
                  </c:pt>
                  <c:pt idx="23">
                    <c:v>0.159</c:v>
                  </c:pt>
                  <c:pt idx="24">
                    <c:v>0.165</c:v>
                  </c:pt>
                </c:numCache>
              </c:numRef>
            </c:plus>
            <c:minus>
              <c:numRef>
                <c:f>'TQ-Absorption-10psi'!$O$4:$O$29</c:f>
                <c:numCache>
                  <c:formatCode>General</c:formatCode>
                  <c:ptCount val="26"/>
                  <c:pt idx="0">
                    <c:v>0.04</c:v>
                  </c:pt>
                  <c:pt idx="1">
                    <c:v>0.05</c:v>
                  </c:pt>
                  <c:pt idx="2">
                    <c:v>0.052</c:v>
                  </c:pt>
                  <c:pt idx="3">
                    <c:v>0.08</c:v>
                  </c:pt>
                  <c:pt idx="4">
                    <c:v>0.113</c:v>
                  </c:pt>
                  <c:pt idx="5">
                    <c:v>0.135</c:v>
                  </c:pt>
                  <c:pt idx="6">
                    <c:v>0.125</c:v>
                  </c:pt>
                  <c:pt idx="7">
                    <c:v>0.13</c:v>
                  </c:pt>
                  <c:pt idx="8">
                    <c:v>0.12</c:v>
                  </c:pt>
                  <c:pt idx="9">
                    <c:v>0.141</c:v>
                  </c:pt>
                  <c:pt idx="10">
                    <c:v>0.152</c:v>
                  </c:pt>
                  <c:pt idx="11">
                    <c:v>0.143</c:v>
                  </c:pt>
                  <c:pt idx="12">
                    <c:v>0.157</c:v>
                  </c:pt>
                  <c:pt idx="13">
                    <c:v>0.141</c:v>
                  </c:pt>
                  <c:pt idx="14">
                    <c:v>0.145</c:v>
                  </c:pt>
                  <c:pt idx="15">
                    <c:v>0.155</c:v>
                  </c:pt>
                  <c:pt idx="16">
                    <c:v>0.14</c:v>
                  </c:pt>
                  <c:pt idx="17">
                    <c:v>0.163</c:v>
                  </c:pt>
                  <c:pt idx="18">
                    <c:v>0.13</c:v>
                  </c:pt>
                  <c:pt idx="19">
                    <c:v>0.153</c:v>
                  </c:pt>
                  <c:pt idx="20">
                    <c:v>0.155</c:v>
                  </c:pt>
                  <c:pt idx="21">
                    <c:v>0.151</c:v>
                  </c:pt>
                  <c:pt idx="22">
                    <c:v>0.144</c:v>
                  </c:pt>
                  <c:pt idx="23">
                    <c:v>0.159</c:v>
                  </c:pt>
                  <c:pt idx="24">
                    <c:v>0.165</c:v>
                  </c:pt>
                </c:numCache>
              </c:numRef>
            </c:minus>
            <c:spPr>
              <a:ln w="12700">
                <a:solidFill>
                  <a:srgbClr val="00B050"/>
                </a:solidFill>
              </a:ln>
            </c:spPr>
          </c:errBars>
          <c:xVal>
            <c:numRef>
              <c:f>'TQ-Absorption-10psi'!$M$4:$M$34</c:f>
              <c:numCache>
                <c:formatCode>General</c:formatCode>
                <c:ptCount val="31"/>
                <c:pt idx="0">
                  <c:v>1.41</c:v>
                </c:pt>
                <c:pt idx="1">
                  <c:v>2.46</c:v>
                </c:pt>
                <c:pt idx="2">
                  <c:v>5.22</c:v>
                </c:pt>
                <c:pt idx="3">
                  <c:v>7.33</c:v>
                </c:pt>
                <c:pt idx="4">
                  <c:v>14.0</c:v>
                </c:pt>
                <c:pt idx="5">
                  <c:v>19.73</c:v>
                </c:pt>
                <c:pt idx="6">
                  <c:v>26.91</c:v>
                </c:pt>
                <c:pt idx="7">
                  <c:v>30.7</c:v>
                </c:pt>
                <c:pt idx="8">
                  <c:v>37.34</c:v>
                </c:pt>
                <c:pt idx="9">
                  <c:v>41.88</c:v>
                </c:pt>
                <c:pt idx="10">
                  <c:v>47.04</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130.24</c:v>
                </c:pt>
              </c:numCache>
            </c:numRef>
          </c:xVal>
          <c:yVal>
            <c:numRef>
              <c:f>'TQ-Absorption-10psi'!$N$4:$N$34</c:f>
              <c:numCache>
                <c:formatCode>General</c:formatCode>
                <c:ptCount val="31"/>
                <c:pt idx="0">
                  <c:v>0.1758</c:v>
                </c:pt>
                <c:pt idx="1">
                  <c:v>0.2176</c:v>
                </c:pt>
                <c:pt idx="2">
                  <c:v>0.2874</c:v>
                </c:pt>
                <c:pt idx="3">
                  <c:v>0.3396</c:v>
                </c:pt>
                <c:pt idx="4">
                  <c:v>0.4217</c:v>
                </c:pt>
                <c:pt idx="5">
                  <c:v>0.4942</c:v>
                </c:pt>
                <c:pt idx="6">
                  <c:v>0.5039</c:v>
                </c:pt>
                <c:pt idx="7">
                  <c:v>0.5087</c:v>
                </c:pt>
                <c:pt idx="8">
                  <c:v>0.5546</c:v>
                </c:pt>
                <c:pt idx="9">
                  <c:v>0.564</c:v>
                </c:pt>
                <c:pt idx="10">
                  <c:v>0.56</c:v>
                </c:pt>
                <c:pt idx="11">
                  <c:v>0.5832</c:v>
                </c:pt>
                <c:pt idx="12">
                  <c:v>0.6071</c:v>
                </c:pt>
                <c:pt idx="13">
                  <c:v>0.6303</c:v>
                </c:pt>
                <c:pt idx="14">
                  <c:v>0.6626</c:v>
                </c:pt>
                <c:pt idx="15">
                  <c:v>0.6792</c:v>
                </c:pt>
                <c:pt idx="16">
                  <c:v>0.7477</c:v>
                </c:pt>
                <c:pt idx="17">
                  <c:v>0.7601</c:v>
                </c:pt>
                <c:pt idx="18">
                  <c:v>0.7996</c:v>
                </c:pt>
                <c:pt idx="19">
                  <c:v>0.8282</c:v>
                </c:pt>
                <c:pt idx="20">
                  <c:v>0.8249</c:v>
                </c:pt>
                <c:pt idx="21">
                  <c:v>0.8437</c:v>
                </c:pt>
                <c:pt idx="22">
                  <c:v>0.8698</c:v>
                </c:pt>
                <c:pt idx="23">
                  <c:v>0.858</c:v>
                </c:pt>
                <c:pt idx="24">
                  <c:v>0.8897</c:v>
                </c:pt>
              </c:numCache>
            </c:numRef>
          </c:yVal>
          <c:smooth val="0"/>
        </c:ser>
        <c:ser>
          <c:idx val="3"/>
          <c:order val="4"/>
          <c:tx>
            <c:v>99% RH</c:v>
          </c:tx>
          <c:spPr>
            <a:ln w="28575">
              <a:noFill/>
            </a:ln>
          </c:spPr>
          <c:marker>
            <c:symbol val="circle"/>
            <c:size val="5"/>
            <c:spPr>
              <a:solidFill>
                <a:srgbClr val="7030A0">
                  <a:alpha val="50000"/>
                </a:srgbClr>
              </a:solidFill>
              <a:ln w="12700">
                <a:solidFill>
                  <a:sysClr val="windowText" lastClr="000000"/>
                </a:solidFill>
              </a:ln>
            </c:spPr>
          </c:marker>
          <c:errBars>
            <c:errDir val="y"/>
            <c:errBarType val="both"/>
            <c:errValType val="cust"/>
            <c:noEndCap val="0"/>
            <c:plus>
              <c:numRef>
                <c:f>'TQ-Absorption-10psi'!$U$4:$U$29</c:f>
                <c:numCache>
                  <c:formatCode>General</c:formatCode>
                  <c:ptCount val="26"/>
                  <c:pt idx="0">
                    <c:v>0.068</c:v>
                  </c:pt>
                  <c:pt idx="1">
                    <c:v>0.071</c:v>
                  </c:pt>
                  <c:pt idx="2">
                    <c:v>0.083</c:v>
                  </c:pt>
                  <c:pt idx="3">
                    <c:v>0.112</c:v>
                  </c:pt>
                  <c:pt idx="4">
                    <c:v>0.193</c:v>
                  </c:pt>
                  <c:pt idx="5">
                    <c:v>0.241</c:v>
                  </c:pt>
                  <c:pt idx="6">
                    <c:v>0.244</c:v>
                  </c:pt>
                  <c:pt idx="7">
                    <c:v>0.259</c:v>
                  </c:pt>
                  <c:pt idx="8">
                    <c:v>0.256</c:v>
                  </c:pt>
                  <c:pt idx="9">
                    <c:v>0.252</c:v>
                  </c:pt>
                  <c:pt idx="10">
                    <c:v>0.255</c:v>
                  </c:pt>
                  <c:pt idx="11">
                    <c:v>0.241</c:v>
                  </c:pt>
                  <c:pt idx="12">
                    <c:v>0.246</c:v>
                  </c:pt>
                  <c:pt idx="13">
                    <c:v>0.246</c:v>
                  </c:pt>
                  <c:pt idx="14">
                    <c:v>0.253</c:v>
                  </c:pt>
                  <c:pt idx="15">
                    <c:v>0.248</c:v>
                  </c:pt>
                  <c:pt idx="16">
                    <c:v>0.259</c:v>
                  </c:pt>
                  <c:pt idx="17">
                    <c:v>0.264</c:v>
                  </c:pt>
                  <c:pt idx="18">
                    <c:v>0.244</c:v>
                  </c:pt>
                  <c:pt idx="19">
                    <c:v>0.244</c:v>
                  </c:pt>
                  <c:pt idx="20">
                    <c:v>0.243</c:v>
                  </c:pt>
                  <c:pt idx="21">
                    <c:v>0.256</c:v>
                  </c:pt>
                  <c:pt idx="22">
                    <c:v>0.25</c:v>
                  </c:pt>
                  <c:pt idx="23">
                    <c:v>0.257</c:v>
                  </c:pt>
                  <c:pt idx="24">
                    <c:v>0.248</c:v>
                  </c:pt>
                </c:numCache>
              </c:numRef>
            </c:plus>
            <c:minus>
              <c:numRef>
                <c:f>'TQ-Absorption-10psi'!$U$4:$U$29</c:f>
                <c:numCache>
                  <c:formatCode>General</c:formatCode>
                  <c:ptCount val="26"/>
                  <c:pt idx="0">
                    <c:v>0.068</c:v>
                  </c:pt>
                  <c:pt idx="1">
                    <c:v>0.071</c:v>
                  </c:pt>
                  <c:pt idx="2">
                    <c:v>0.083</c:v>
                  </c:pt>
                  <c:pt idx="3">
                    <c:v>0.112</c:v>
                  </c:pt>
                  <c:pt idx="4">
                    <c:v>0.193</c:v>
                  </c:pt>
                  <c:pt idx="5">
                    <c:v>0.241</c:v>
                  </c:pt>
                  <c:pt idx="6">
                    <c:v>0.244</c:v>
                  </c:pt>
                  <c:pt idx="7">
                    <c:v>0.259</c:v>
                  </c:pt>
                  <c:pt idx="8">
                    <c:v>0.256</c:v>
                  </c:pt>
                  <c:pt idx="9">
                    <c:v>0.252</c:v>
                  </c:pt>
                  <c:pt idx="10">
                    <c:v>0.255</c:v>
                  </c:pt>
                  <c:pt idx="11">
                    <c:v>0.241</c:v>
                  </c:pt>
                  <c:pt idx="12">
                    <c:v>0.246</c:v>
                  </c:pt>
                  <c:pt idx="13">
                    <c:v>0.246</c:v>
                  </c:pt>
                  <c:pt idx="14">
                    <c:v>0.253</c:v>
                  </c:pt>
                  <c:pt idx="15">
                    <c:v>0.248</c:v>
                  </c:pt>
                  <c:pt idx="16">
                    <c:v>0.259</c:v>
                  </c:pt>
                  <c:pt idx="17">
                    <c:v>0.264</c:v>
                  </c:pt>
                  <c:pt idx="18">
                    <c:v>0.244</c:v>
                  </c:pt>
                  <c:pt idx="19">
                    <c:v>0.244</c:v>
                  </c:pt>
                  <c:pt idx="20">
                    <c:v>0.243</c:v>
                  </c:pt>
                  <c:pt idx="21">
                    <c:v>0.256</c:v>
                  </c:pt>
                  <c:pt idx="22">
                    <c:v>0.25</c:v>
                  </c:pt>
                  <c:pt idx="23">
                    <c:v>0.257</c:v>
                  </c:pt>
                  <c:pt idx="24">
                    <c:v>0.248</c:v>
                  </c:pt>
                </c:numCache>
              </c:numRef>
            </c:minus>
            <c:spPr>
              <a:ln w="12700">
                <a:solidFill>
                  <a:srgbClr val="7030A0"/>
                </a:solidFill>
              </a:ln>
            </c:spPr>
          </c:errBars>
          <c:xVal>
            <c:numRef>
              <c:f>'TQ-Absorption-10psi'!$S$4:$S$34</c:f>
              <c:numCache>
                <c:formatCode>General</c:formatCode>
                <c:ptCount val="31"/>
                <c:pt idx="0">
                  <c:v>1.45</c:v>
                </c:pt>
                <c:pt idx="1">
                  <c:v>2.48</c:v>
                </c:pt>
                <c:pt idx="2">
                  <c:v>5.23</c:v>
                </c:pt>
                <c:pt idx="3">
                  <c:v>7.34</c:v>
                </c:pt>
                <c:pt idx="4">
                  <c:v>14.01</c:v>
                </c:pt>
                <c:pt idx="5">
                  <c:v>19.73999999999999</c:v>
                </c:pt>
                <c:pt idx="6">
                  <c:v>26.91</c:v>
                </c:pt>
                <c:pt idx="7">
                  <c:v>30.7</c:v>
                </c:pt>
                <c:pt idx="8">
                  <c:v>37.34</c:v>
                </c:pt>
                <c:pt idx="9">
                  <c:v>41.88</c:v>
                </c:pt>
                <c:pt idx="10">
                  <c:v>47.04</c:v>
                </c:pt>
                <c:pt idx="11">
                  <c:v>52.07</c:v>
                </c:pt>
                <c:pt idx="12">
                  <c:v>56.52</c:v>
                </c:pt>
                <c:pt idx="13">
                  <c:v>62.38</c:v>
                </c:pt>
                <c:pt idx="14">
                  <c:v>68.78</c:v>
                </c:pt>
                <c:pt idx="15">
                  <c:v>77.63</c:v>
                </c:pt>
                <c:pt idx="16">
                  <c:v>85.28</c:v>
                </c:pt>
                <c:pt idx="17">
                  <c:v>90.74</c:v>
                </c:pt>
                <c:pt idx="18">
                  <c:v>97.25</c:v>
                </c:pt>
                <c:pt idx="19">
                  <c:v>102.06</c:v>
                </c:pt>
                <c:pt idx="20">
                  <c:v>108.22</c:v>
                </c:pt>
                <c:pt idx="21">
                  <c:v>113.95</c:v>
                </c:pt>
                <c:pt idx="22">
                  <c:v>119.39</c:v>
                </c:pt>
                <c:pt idx="23">
                  <c:v>124.42</c:v>
                </c:pt>
                <c:pt idx="24">
                  <c:v>130.25</c:v>
                </c:pt>
              </c:numCache>
            </c:numRef>
          </c:xVal>
          <c:yVal>
            <c:numRef>
              <c:f>'TQ-Absorption-10psi'!$T$4:$T$34</c:f>
              <c:numCache>
                <c:formatCode>General</c:formatCode>
                <c:ptCount val="31"/>
                <c:pt idx="0">
                  <c:v>0.2861</c:v>
                </c:pt>
                <c:pt idx="1">
                  <c:v>0.3429</c:v>
                </c:pt>
                <c:pt idx="2">
                  <c:v>0.4552</c:v>
                </c:pt>
                <c:pt idx="3">
                  <c:v>0.541</c:v>
                </c:pt>
                <c:pt idx="4">
                  <c:v>0.7082</c:v>
                </c:pt>
                <c:pt idx="5">
                  <c:v>0.8196</c:v>
                </c:pt>
                <c:pt idx="6">
                  <c:v>0.8464</c:v>
                </c:pt>
                <c:pt idx="7">
                  <c:v>0.8552</c:v>
                </c:pt>
                <c:pt idx="8">
                  <c:v>0.9091</c:v>
                </c:pt>
                <c:pt idx="9">
                  <c:v>0.9283</c:v>
                </c:pt>
                <c:pt idx="10">
                  <c:v>0.9287</c:v>
                </c:pt>
                <c:pt idx="11">
                  <c:v>0.927</c:v>
                </c:pt>
                <c:pt idx="12">
                  <c:v>0.9657</c:v>
                </c:pt>
                <c:pt idx="13">
                  <c:v>0.9984</c:v>
                </c:pt>
                <c:pt idx="14">
                  <c:v>1.0242</c:v>
                </c:pt>
                <c:pt idx="15">
                  <c:v>1.0554</c:v>
                </c:pt>
                <c:pt idx="16">
                  <c:v>1.0927</c:v>
                </c:pt>
                <c:pt idx="17">
                  <c:v>1.1231</c:v>
                </c:pt>
                <c:pt idx="18">
                  <c:v>1.1452</c:v>
                </c:pt>
                <c:pt idx="19">
                  <c:v>1.1407</c:v>
                </c:pt>
                <c:pt idx="20">
                  <c:v>1.1675</c:v>
                </c:pt>
                <c:pt idx="21">
                  <c:v>1.1893</c:v>
                </c:pt>
                <c:pt idx="22">
                  <c:v>1.2301</c:v>
                </c:pt>
                <c:pt idx="23">
                  <c:v>1.2144</c:v>
                </c:pt>
                <c:pt idx="24">
                  <c:v>1.2382</c:v>
                </c:pt>
              </c:numCache>
            </c:numRef>
          </c:yVal>
          <c:smooth val="0"/>
        </c:ser>
        <c:ser>
          <c:idx val="9"/>
          <c:order val="5"/>
          <c:spPr>
            <a:ln w="12700">
              <a:solidFill>
                <a:sysClr val="windowText" lastClr="000000"/>
              </a:solidFill>
              <a:prstDash val="lgDash"/>
            </a:ln>
          </c:spPr>
          <c:marker>
            <c:symbol val="none"/>
          </c:marker>
          <c:dPt>
            <c:idx val="1"/>
            <c:bubble3D val="0"/>
            <c:spPr>
              <a:ln w="12700">
                <a:solidFill>
                  <a:schemeClr val="bg1">
                    <a:lumMod val="50000"/>
                  </a:schemeClr>
                </a:solidFill>
                <a:prstDash val="lgDash"/>
              </a:ln>
            </c:spPr>
          </c:dPt>
          <c:xVal>
            <c:numRef>
              <c:f>('BMI-Absorption-10psi'!$D$51,'BMI-Absorption-10psi'!$D$51)</c:f>
              <c:numCache>
                <c:formatCode>General</c:formatCode>
                <c:ptCount val="2"/>
                <c:pt idx="0">
                  <c:v>132.363</c:v>
                </c:pt>
                <c:pt idx="1">
                  <c:v>132.363</c:v>
                </c:pt>
              </c:numCache>
            </c:numRef>
          </c:xVal>
          <c:yVal>
            <c:numLit>
              <c:formatCode>General</c:formatCode>
              <c:ptCount val="2"/>
              <c:pt idx="0">
                <c:v>0.0</c:v>
              </c:pt>
              <c:pt idx="1">
                <c:v>12.0</c:v>
              </c:pt>
            </c:numLit>
          </c:yVal>
          <c:smooth val="0"/>
        </c:ser>
        <c:dLbls>
          <c:showLegendKey val="0"/>
          <c:showVal val="0"/>
          <c:showCatName val="0"/>
          <c:showSerName val="0"/>
          <c:showPercent val="0"/>
          <c:showBubbleSize val="0"/>
        </c:dLbls>
        <c:axId val="424393000"/>
        <c:axId val="424398952"/>
      </c:scatterChart>
      <c:valAx>
        <c:axId val="424393000"/>
        <c:scaling>
          <c:orientation val="minMax"/>
          <c:max val="15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424398952"/>
        <c:crosses val="autoZero"/>
        <c:crossBetween val="midCat"/>
        <c:minorUnit val="12.5"/>
      </c:valAx>
      <c:valAx>
        <c:axId val="424398952"/>
        <c:scaling>
          <c:orientation val="minMax"/>
          <c:max val="3.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424393000"/>
        <c:crosses val="autoZero"/>
        <c:crossBetween val="midCat"/>
        <c:majorUnit val="1.0"/>
        <c:minorUnit val="0.25"/>
      </c:valAx>
      <c:spPr>
        <a:ln w="19050">
          <a:solidFill>
            <a:sysClr val="windowText" lastClr="000000"/>
          </a:solidFill>
        </a:ln>
      </c:spPr>
    </c:plotArea>
    <c:legend>
      <c:legendPos val="r"/>
      <c:legendEntry>
        <c:idx val="0"/>
        <c:delete val="1"/>
      </c:legendEntry>
      <c:legendEntry>
        <c:idx val="5"/>
        <c:delete val="1"/>
      </c:legendEntry>
      <c:layout>
        <c:manualLayout>
          <c:xMode val="edge"/>
          <c:yMode val="edge"/>
          <c:x val="0.181761874863033"/>
          <c:y val="0.0937006574315144"/>
          <c:w val="0.235230659726856"/>
          <c:h val="0.197189413823272"/>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4309458480601"/>
          <c:y val="0.0333333333333333"/>
          <c:w val="0.75997228425077"/>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circle"/>
            <c:size val="5"/>
            <c:spPr>
              <a:solidFill>
                <a:srgbClr val="0070C0">
                  <a:alpha val="50000"/>
                </a:srgbClr>
              </a:solidFill>
              <a:ln w="12700">
                <a:solidFill>
                  <a:schemeClr val="tx1"/>
                </a:solidFill>
              </a:ln>
            </c:spPr>
          </c:marker>
          <c:errBars>
            <c:errDir val="y"/>
            <c:errBarType val="both"/>
            <c:errValType val="cust"/>
            <c:noEndCap val="0"/>
            <c:plus>
              <c:numRef>
                <c:f>'TQ-Absorption-30psi'!$C$4:$C$29</c:f>
                <c:numCache>
                  <c:formatCode>General</c:formatCode>
                  <c:ptCount val="26"/>
                  <c:pt idx="0">
                    <c:v>0.012</c:v>
                  </c:pt>
                  <c:pt idx="1">
                    <c:v>0.013</c:v>
                  </c:pt>
                  <c:pt idx="2">
                    <c:v>0.021</c:v>
                  </c:pt>
                  <c:pt idx="3">
                    <c:v>0.017</c:v>
                  </c:pt>
                  <c:pt idx="4">
                    <c:v>0.021</c:v>
                  </c:pt>
                  <c:pt idx="5">
                    <c:v>0.028</c:v>
                  </c:pt>
                  <c:pt idx="6">
                    <c:v>0.032</c:v>
                  </c:pt>
                  <c:pt idx="7">
                    <c:v>0.046</c:v>
                  </c:pt>
                  <c:pt idx="8">
                    <c:v>0.048</c:v>
                  </c:pt>
                  <c:pt idx="9">
                    <c:v>0.048</c:v>
                  </c:pt>
                  <c:pt idx="10">
                    <c:v>0.038</c:v>
                  </c:pt>
                  <c:pt idx="11">
                    <c:v>0.047</c:v>
                  </c:pt>
                  <c:pt idx="12">
                    <c:v>0.037</c:v>
                  </c:pt>
                  <c:pt idx="13">
                    <c:v>0.044</c:v>
                  </c:pt>
                  <c:pt idx="14">
                    <c:v>0.047</c:v>
                  </c:pt>
                  <c:pt idx="15">
                    <c:v>0.03</c:v>
                  </c:pt>
                  <c:pt idx="16">
                    <c:v>0.049</c:v>
                  </c:pt>
                  <c:pt idx="17">
                    <c:v>0.037</c:v>
                  </c:pt>
                  <c:pt idx="18">
                    <c:v>0.037</c:v>
                  </c:pt>
                  <c:pt idx="19">
                    <c:v>0.031</c:v>
                  </c:pt>
                  <c:pt idx="20">
                    <c:v>0.043</c:v>
                  </c:pt>
                  <c:pt idx="21">
                    <c:v>0.052</c:v>
                  </c:pt>
                  <c:pt idx="22">
                    <c:v>0.053</c:v>
                  </c:pt>
                  <c:pt idx="23">
                    <c:v>0.034</c:v>
                  </c:pt>
                  <c:pt idx="24">
                    <c:v>0.018</c:v>
                  </c:pt>
                </c:numCache>
              </c:numRef>
            </c:plus>
            <c:minus>
              <c:numRef>
                <c:f>'TQ-Absorption-30psi'!$C$4:$C$29</c:f>
                <c:numCache>
                  <c:formatCode>General</c:formatCode>
                  <c:ptCount val="26"/>
                  <c:pt idx="0">
                    <c:v>0.012</c:v>
                  </c:pt>
                  <c:pt idx="1">
                    <c:v>0.013</c:v>
                  </c:pt>
                  <c:pt idx="2">
                    <c:v>0.021</c:v>
                  </c:pt>
                  <c:pt idx="3">
                    <c:v>0.017</c:v>
                  </c:pt>
                  <c:pt idx="4">
                    <c:v>0.021</c:v>
                  </c:pt>
                  <c:pt idx="5">
                    <c:v>0.028</c:v>
                  </c:pt>
                  <c:pt idx="6">
                    <c:v>0.032</c:v>
                  </c:pt>
                  <c:pt idx="7">
                    <c:v>0.046</c:v>
                  </c:pt>
                  <c:pt idx="8">
                    <c:v>0.048</c:v>
                  </c:pt>
                  <c:pt idx="9">
                    <c:v>0.048</c:v>
                  </c:pt>
                  <c:pt idx="10">
                    <c:v>0.038</c:v>
                  </c:pt>
                  <c:pt idx="11">
                    <c:v>0.047</c:v>
                  </c:pt>
                  <c:pt idx="12">
                    <c:v>0.037</c:v>
                  </c:pt>
                  <c:pt idx="13">
                    <c:v>0.044</c:v>
                  </c:pt>
                  <c:pt idx="14">
                    <c:v>0.047</c:v>
                  </c:pt>
                  <c:pt idx="15">
                    <c:v>0.03</c:v>
                  </c:pt>
                  <c:pt idx="16">
                    <c:v>0.049</c:v>
                  </c:pt>
                  <c:pt idx="17">
                    <c:v>0.037</c:v>
                  </c:pt>
                  <c:pt idx="18">
                    <c:v>0.037</c:v>
                  </c:pt>
                  <c:pt idx="19">
                    <c:v>0.031</c:v>
                  </c:pt>
                  <c:pt idx="20">
                    <c:v>0.043</c:v>
                  </c:pt>
                  <c:pt idx="21">
                    <c:v>0.052</c:v>
                  </c:pt>
                  <c:pt idx="22">
                    <c:v>0.053</c:v>
                  </c:pt>
                  <c:pt idx="23">
                    <c:v>0.034</c:v>
                  </c:pt>
                  <c:pt idx="24">
                    <c:v>0.018</c:v>
                  </c:pt>
                </c:numCache>
              </c:numRef>
            </c:minus>
            <c:spPr>
              <a:ln w="12700">
                <a:solidFill>
                  <a:srgbClr val="0070C0"/>
                </a:solidFill>
              </a:ln>
            </c:spPr>
          </c:errBars>
          <c:xVal>
            <c:numRef>
              <c:f>'TQ-Absorption-30psi'!$A$4:$A$34</c:f>
              <c:numCache>
                <c:formatCode>General</c:formatCode>
                <c:ptCount val="31"/>
                <c:pt idx="0">
                  <c:v>1.35</c:v>
                </c:pt>
                <c:pt idx="1">
                  <c:v>2.43</c:v>
                </c:pt>
                <c:pt idx="2">
                  <c:v>5.21</c:v>
                </c:pt>
                <c:pt idx="3">
                  <c:v>7.319999999999998</c:v>
                </c:pt>
                <c:pt idx="4">
                  <c:v>14.0</c:v>
                </c:pt>
                <c:pt idx="5">
                  <c:v>19.73</c:v>
                </c:pt>
                <c:pt idx="6">
                  <c:v>26.91</c:v>
                </c:pt>
                <c:pt idx="7">
                  <c:v>30.77</c:v>
                </c:pt>
                <c:pt idx="8">
                  <c:v>37.34</c:v>
                </c:pt>
                <c:pt idx="9">
                  <c:v>41.88</c:v>
                </c:pt>
                <c:pt idx="10">
                  <c:v>47.03</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130.24</c:v>
                </c:pt>
              </c:numCache>
            </c:numRef>
          </c:xVal>
          <c:yVal>
            <c:numRef>
              <c:f>'TQ-Absorption-30psi'!$B$4:$B$34</c:f>
              <c:numCache>
                <c:formatCode>General</c:formatCode>
                <c:ptCount val="31"/>
                <c:pt idx="0">
                  <c:v>0.0837</c:v>
                </c:pt>
                <c:pt idx="1">
                  <c:v>0.0944</c:v>
                </c:pt>
                <c:pt idx="2">
                  <c:v>0.1094</c:v>
                </c:pt>
                <c:pt idx="3">
                  <c:v>0.1188</c:v>
                </c:pt>
                <c:pt idx="4">
                  <c:v>0.1373</c:v>
                </c:pt>
                <c:pt idx="5">
                  <c:v>0.1676</c:v>
                </c:pt>
                <c:pt idx="6">
                  <c:v>0.1859</c:v>
                </c:pt>
                <c:pt idx="7">
                  <c:v>0.1921</c:v>
                </c:pt>
                <c:pt idx="8">
                  <c:v>0.2233</c:v>
                </c:pt>
                <c:pt idx="9">
                  <c:v>0.2512</c:v>
                </c:pt>
                <c:pt idx="10">
                  <c:v>0.2588</c:v>
                </c:pt>
                <c:pt idx="11">
                  <c:v>0.2712</c:v>
                </c:pt>
                <c:pt idx="12">
                  <c:v>0.2923</c:v>
                </c:pt>
                <c:pt idx="13">
                  <c:v>0.306</c:v>
                </c:pt>
                <c:pt idx="14">
                  <c:v>0.3322</c:v>
                </c:pt>
                <c:pt idx="15">
                  <c:v>0.3645</c:v>
                </c:pt>
                <c:pt idx="16">
                  <c:v>0.3799</c:v>
                </c:pt>
                <c:pt idx="17">
                  <c:v>0.3927</c:v>
                </c:pt>
                <c:pt idx="18">
                  <c:v>0.4264</c:v>
                </c:pt>
                <c:pt idx="19">
                  <c:v>0.4132</c:v>
                </c:pt>
                <c:pt idx="20">
                  <c:v>0.4217</c:v>
                </c:pt>
                <c:pt idx="21">
                  <c:v>0.4426</c:v>
                </c:pt>
                <c:pt idx="22">
                  <c:v>0.4517</c:v>
                </c:pt>
                <c:pt idx="23">
                  <c:v>0.4423</c:v>
                </c:pt>
                <c:pt idx="24">
                  <c:v>0.4602</c:v>
                </c:pt>
              </c:numCache>
            </c:numRef>
          </c:yVal>
          <c:smooth val="0"/>
        </c:ser>
        <c:ser>
          <c:idx val="1"/>
          <c:order val="2"/>
          <c:tx>
            <c:v>40% RH</c:v>
          </c:tx>
          <c:spPr>
            <a:ln w="28575">
              <a:noFill/>
            </a:ln>
          </c:spPr>
          <c:marker>
            <c:symbol val="circle"/>
            <c:size val="5"/>
            <c:spPr>
              <a:solidFill>
                <a:srgbClr val="C00000">
                  <a:alpha val="50000"/>
                </a:srgbClr>
              </a:solidFill>
              <a:ln w="12700">
                <a:solidFill>
                  <a:sysClr val="windowText" lastClr="000000"/>
                </a:solidFill>
              </a:ln>
            </c:spPr>
          </c:marker>
          <c:errBars>
            <c:errDir val="y"/>
            <c:errBarType val="both"/>
            <c:errValType val="cust"/>
            <c:noEndCap val="0"/>
            <c:plus>
              <c:numRef>
                <c:f>'TQ-Absorption-30psi'!$I$4:$I$29</c:f>
                <c:numCache>
                  <c:formatCode>General</c:formatCode>
                  <c:ptCount val="26"/>
                  <c:pt idx="0">
                    <c:v>0.03</c:v>
                  </c:pt>
                  <c:pt idx="1">
                    <c:v>0.028</c:v>
                  </c:pt>
                  <c:pt idx="2">
                    <c:v>0.017</c:v>
                  </c:pt>
                  <c:pt idx="3">
                    <c:v>0.028</c:v>
                  </c:pt>
                  <c:pt idx="4">
                    <c:v>0.048</c:v>
                  </c:pt>
                  <c:pt idx="5">
                    <c:v>0.033</c:v>
                  </c:pt>
                  <c:pt idx="6">
                    <c:v>0.031</c:v>
                  </c:pt>
                  <c:pt idx="7">
                    <c:v>0.048</c:v>
                  </c:pt>
                  <c:pt idx="8">
                    <c:v>0.041</c:v>
                  </c:pt>
                  <c:pt idx="9">
                    <c:v>0.042</c:v>
                  </c:pt>
                  <c:pt idx="10">
                    <c:v>0.057</c:v>
                  </c:pt>
                  <c:pt idx="11">
                    <c:v>0.043</c:v>
                  </c:pt>
                  <c:pt idx="12">
                    <c:v>0.065</c:v>
                  </c:pt>
                  <c:pt idx="13">
                    <c:v>0.052</c:v>
                  </c:pt>
                  <c:pt idx="14">
                    <c:v>0.061</c:v>
                  </c:pt>
                  <c:pt idx="15">
                    <c:v>0.05</c:v>
                  </c:pt>
                  <c:pt idx="16">
                    <c:v>0.038</c:v>
                  </c:pt>
                  <c:pt idx="17">
                    <c:v>0.051</c:v>
                  </c:pt>
                  <c:pt idx="18">
                    <c:v>0.037</c:v>
                  </c:pt>
                  <c:pt idx="19">
                    <c:v>0.046</c:v>
                  </c:pt>
                  <c:pt idx="20">
                    <c:v>0.042</c:v>
                  </c:pt>
                  <c:pt idx="21">
                    <c:v>0.035</c:v>
                  </c:pt>
                  <c:pt idx="22">
                    <c:v>0.06</c:v>
                  </c:pt>
                  <c:pt idx="23">
                    <c:v>0.063</c:v>
                  </c:pt>
                  <c:pt idx="24">
                    <c:v>0.05</c:v>
                  </c:pt>
                </c:numCache>
              </c:numRef>
            </c:plus>
            <c:minus>
              <c:numRef>
                <c:f>'TQ-Absorption-30psi'!$I$4:$I$29</c:f>
                <c:numCache>
                  <c:formatCode>General</c:formatCode>
                  <c:ptCount val="26"/>
                  <c:pt idx="0">
                    <c:v>0.03</c:v>
                  </c:pt>
                  <c:pt idx="1">
                    <c:v>0.028</c:v>
                  </c:pt>
                  <c:pt idx="2">
                    <c:v>0.017</c:v>
                  </c:pt>
                  <c:pt idx="3">
                    <c:v>0.028</c:v>
                  </c:pt>
                  <c:pt idx="4">
                    <c:v>0.048</c:v>
                  </c:pt>
                  <c:pt idx="5">
                    <c:v>0.033</c:v>
                  </c:pt>
                  <c:pt idx="6">
                    <c:v>0.031</c:v>
                  </c:pt>
                  <c:pt idx="7">
                    <c:v>0.048</c:v>
                  </c:pt>
                  <c:pt idx="8">
                    <c:v>0.041</c:v>
                  </c:pt>
                  <c:pt idx="9">
                    <c:v>0.042</c:v>
                  </c:pt>
                  <c:pt idx="10">
                    <c:v>0.057</c:v>
                  </c:pt>
                  <c:pt idx="11">
                    <c:v>0.043</c:v>
                  </c:pt>
                  <c:pt idx="12">
                    <c:v>0.065</c:v>
                  </c:pt>
                  <c:pt idx="13">
                    <c:v>0.052</c:v>
                  </c:pt>
                  <c:pt idx="14">
                    <c:v>0.061</c:v>
                  </c:pt>
                  <c:pt idx="15">
                    <c:v>0.05</c:v>
                  </c:pt>
                  <c:pt idx="16">
                    <c:v>0.038</c:v>
                  </c:pt>
                  <c:pt idx="17">
                    <c:v>0.051</c:v>
                  </c:pt>
                  <c:pt idx="18">
                    <c:v>0.037</c:v>
                  </c:pt>
                  <c:pt idx="19">
                    <c:v>0.046</c:v>
                  </c:pt>
                  <c:pt idx="20">
                    <c:v>0.042</c:v>
                  </c:pt>
                  <c:pt idx="21">
                    <c:v>0.035</c:v>
                  </c:pt>
                  <c:pt idx="22">
                    <c:v>0.06</c:v>
                  </c:pt>
                  <c:pt idx="23">
                    <c:v>0.063</c:v>
                  </c:pt>
                  <c:pt idx="24">
                    <c:v>0.05</c:v>
                  </c:pt>
                </c:numCache>
              </c:numRef>
            </c:minus>
            <c:spPr>
              <a:ln w="12700">
                <a:solidFill>
                  <a:srgbClr val="C00000"/>
                </a:solidFill>
              </a:ln>
            </c:spPr>
          </c:errBars>
          <c:xVal>
            <c:numRef>
              <c:f>'TQ-Absorption-30psi'!$G$4:$G$34</c:f>
              <c:numCache>
                <c:formatCode>General</c:formatCode>
                <c:ptCount val="31"/>
                <c:pt idx="0">
                  <c:v>1.39</c:v>
                </c:pt>
                <c:pt idx="1">
                  <c:v>2.45</c:v>
                </c:pt>
                <c:pt idx="2">
                  <c:v>5.22</c:v>
                </c:pt>
                <c:pt idx="3">
                  <c:v>7.33</c:v>
                </c:pt>
                <c:pt idx="4">
                  <c:v>14.0</c:v>
                </c:pt>
                <c:pt idx="5">
                  <c:v>19.73</c:v>
                </c:pt>
                <c:pt idx="6">
                  <c:v>26.91</c:v>
                </c:pt>
                <c:pt idx="7">
                  <c:v>30.78</c:v>
                </c:pt>
                <c:pt idx="8">
                  <c:v>37.34</c:v>
                </c:pt>
                <c:pt idx="9">
                  <c:v>41.88</c:v>
                </c:pt>
                <c:pt idx="10">
                  <c:v>47.03</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130.24</c:v>
                </c:pt>
              </c:numCache>
            </c:numRef>
          </c:xVal>
          <c:yVal>
            <c:numRef>
              <c:f>'TQ-Absorption-30psi'!$H$4:$H$34</c:f>
              <c:numCache>
                <c:formatCode>General</c:formatCode>
                <c:ptCount val="31"/>
                <c:pt idx="0">
                  <c:v>0.1049</c:v>
                </c:pt>
                <c:pt idx="1">
                  <c:v>0.1177</c:v>
                </c:pt>
                <c:pt idx="2">
                  <c:v>0.1353</c:v>
                </c:pt>
                <c:pt idx="3">
                  <c:v>0.1535</c:v>
                </c:pt>
                <c:pt idx="4">
                  <c:v>0.1777</c:v>
                </c:pt>
                <c:pt idx="5">
                  <c:v>0.2076</c:v>
                </c:pt>
                <c:pt idx="6">
                  <c:v>0.2141</c:v>
                </c:pt>
                <c:pt idx="7">
                  <c:v>0.2213</c:v>
                </c:pt>
                <c:pt idx="8">
                  <c:v>0.2568</c:v>
                </c:pt>
                <c:pt idx="9">
                  <c:v>0.2651</c:v>
                </c:pt>
                <c:pt idx="10">
                  <c:v>0.2604</c:v>
                </c:pt>
                <c:pt idx="11">
                  <c:v>0.2835</c:v>
                </c:pt>
                <c:pt idx="12">
                  <c:v>0.3317</c:v>
                </c:pt>
                <c:pt idx="13">
                  <c:v>0.3508</c:v>
                </c:pt>
                <c:pt idx="14">
                  <c:v>0.3806</c:v>
                </c:pt>
                <c:pt idx="15">
                  <c:v>0.3947</c:v>
                </c:pt>
                <c:pt idx="16">
                  <c:v>0.4351</c:v>
                </c:pt>
                <c:pt idx="17">
                  <c:v>0.4527</c:v>
                </c:pt>
                <c:pt idx="18">
                  <c:v>0.4589</c:v>
                </c:pt>
                <c:pt idx="19">
                  <c:v>0.4843</c:v>
                </c:pt>
                <c:pt idx="20">
                  <c:v>0.4796</c:v>
                </c:pt>
                <c:pt idx="21">
                  <c:v>0.4965</c:v>
                </c:pt>
                <c:pt idx="22">
                  <c:v>0.5081</c:v>
                </c:pt>
                <c:pt idx="23">
                  <c:v>0.509</c:v>
                </c:pt>
                <c:pt idx="24">
                  <c:v>0.5229</c:v>
                </c:pt>
              </c:numCache>
            </c:numRef>
          </c:yVal>
          <c:smooth val="0"/>
        </c:ser>
        <c:ser>
          <c:idx val="2"/>
          <c:order val="3"/>
          <c:tx>
            <c:v>70% RH</c:v>
          </c:tx>
          <c:spPr>
            <a:ln w="28575">
              <a:noFill/>
            </a:ln>
          </c:spPr>
          <c:marker>
            <c:symbol val="circle"/>
            <c:size val="5"/>
            <c:spPr>
              <a:solidFill>
                <a:srgbClr val="00B050">
                  <a:alpha val="50000"/>
                </a:srgbClr>
              </a:solidFill>
              <a:ln w="12700">
                <a:solidFill>
                  <a:sysClr val="windowText" lastClr="000000"/>
                </a:solidFill>
              </a:ln>
            </c:spPr>
          </c:marker>
          <c:errBars>
            <c:errDir val="y"/>
            <c:errBarType val="both"/>
            <c:errValType val="cust"/>
            <c:noEndCap val="0"/>
            <c:plus>
              <c:numRef>
                <c:f>'TQ-Absorption-30psi'!$O$4:$O$29</c:f>
                <c:numCache>
                  <c:formatCode>General</c:formatCode>
                  <c:ptCount val="26"/>
                  <c:pt idx="0">
                    <c:v>0.028</c:v>
                  </c:pt>
                  <c:pt idx="1">
                    <c:v>0.029</c:v>
                  </c:pt>
                  <c:pt idx="2">
                    <c:v>0.046</c:v>
                  </c:pt>
                  <c:pt idx="3">
                    <c:v>0.065</c:v>
                  </c:pt>
                  <c:pt idx="4">
                    <c:v>0.094</c:v>
                  </c:pt>
                  <c:pt idx="5">
                    <c:v>0.117</c:v>
                  </c:pt>
                  <c:pt idx="6">
                    <c:v>0.124</c:v>
                  </c:pt>
                  <c:pt idx="7">
                    <c:v>0.12</c:v>
                  </c:pt>
                  <c:pt idx="8">
                    <c:v>0.134</c:v>
                  </c:pt>
                  <c:pt idx="9">
                    <c:v>0.13</c:v>
                  </c:pt>
                  <c:pt idx="10">
                    <c:v>0.13</c:v>
                  </c:pt>
                  <c:pt idx="11">
                    <c:v>0.13</c:v>
                  </c:pt>
                  <c:pt idx="12">
                    <c:v>0.124</c:v>
                  </c:pt>
                  <c:pt idx="13">
                    <c:v>0.128</c:v>
                  </c:pt>
                  <c:pt idx="14">
                    <c:v>0.129</c:v>
                  </c:pt>
                  <c:pt idx="15">
                    <c:v>0.12</c:v>
                  </c:pt>
                  <c:pt idx="16">
                    <c:v>0.12</c:v>
                  </c:pt>
                  <c:pt idx="17">
                    <c:v>0.117</c:v>
                  </c:pt>
                  <c:pt idx="18">
                    <c:v>0.125</c:v>
                  </c:pt>
                  <c:pt idx="19">
                    <c:v>0.115</c:v>
                  </c:pt>
                  <c:pt idx="20">
                    <c:v>0.111</c:v>
                  </c:pt>
                  <c:pt idx="21">
                    <c:v>0.117</c:v>
                  </c:pt>
                  <c:pt idx="22">
                    <c:v>0.119</c:v>
                  </c:pt>
                  <c:pt idx="23">
                    <c:v>0.111</c:v>
                  </c:pt>
                  <c:pt idx="24">
                    <c:v>0.114</c:v>
                  </c:pt>
                </c:numCache>
              </c:numRef>
            </c:plus>
            <c:minus>
              <c:numRef>
                <c:f>'TQ-Absorption-30psi'!$O$4:$O$29</c:f>
                <c:numCache>
                  <c:formatCode>General</c:formatCode>
                  <c:ptCount val="26"/>
                  <c:pt idx="0">
                    <c:v>0.028</c:v>
                  </c:pt>
                  <c:pt idx="1">
                    <c:v>0.029</c:v>
                  </c:pt>
                  <c:pt idx="2">
                    <c:v>0.046</c:v>
                  </c:pt>
                  <c:pt idx="3">
                    <c:v>0.065</c:v>
                  </c:pt>
                  <c:pt idx="4">
                    <c:v>0.094</c:v>
                  </c:pt>
                  <c:pt idx="5">
                    <c:v>0.117</c:v>
                  </c:pt>
                  <c:pt idx="6">
                    <c:v>0.124</c:v>
                  </c:pt>
                  <c:pt idx="7">
                    <c:v>0.12</c:v>
                  </c:pt>
                  <c:pt idx="8">
                    <c:v>0.134</c:v>
                  </c:pt>
                  <c:pt idx="9">
                    <c:v>0.13</c:v>
                  </c:pt>
                  <c:pt idx="10">
                    <c:v>0.13</c:v>
                  </c:pt>
                  <c:pt idx="11">
                    <c:v>0.13</c:v>
                  </c:pt>
                  <c:pt idx="12">
                    <c:v>0.124</c:v>
                  </c:pt>
                  <c:pt idx="13">
                    <c:v>0.128</c:v>
                  </c:pt>
                  <c:pt idx="14">
                    <c:v>0.129</c:v>
                  </c:pt>
                  <c:pt idx="15">
                    <c:v>0.12</c:v>
                  </c:pt>
                  <c:pt idx="16">
                    <c:v>0.12</c:v>
                  </c:pt>
                  <c:pt idx="17">
                    <c:v>0.117</c:v>
                  </c:pt>
                  <c:pt idx="18">
                    <c:v>0.125</c:v>
                  </c:pt>
                  <c:pt idx="19">
                    <c:v>0.115</c:v>
                  </c:pt>
                  <c:pt idx="20">
                    <c:v>0.111</c:v>
                  </c:pt>
                  <c:pt idx="21">
                    <c:v>0.117</c:v>
                  </c:pt>
                  <c:pt idx="22">
                    <c:v>0.119</c:v>
                  </c:pt>
                  <c:pt idx="23">
                    <c:v>0.111</c:v>
                  </c:pt>
                  <c:pt idx="24">
                    <c:v>0.114</c:v>
                  </c:pt>
                </c:numCache>
              </c:numRef>
            </c:minus>
            <c:spPr>
              <a:ln w="12700">
                <a:solidFill>
                  <a:srgbClr val="00B050"/>
                </a:solidFill>
              </a:ln>
            </c:spPr>
          </c:errBars>
          <c:xVal>
            <c:numRef>
              <c:f>'TQ-Absorption-30psi'!$M$4:$M$34</c:f>
              <c:numCache>
                <c:formatCode>General</c:formatCode>
                <c:ptCount val="31"/>
                <c:pt idx="0">
                  <c:v>1.43</c:v>
                </c:pt>
                <c:pt idx="1">
                  <c:v>2.47</c:v>
                </c:pt>
                <c:pt idx="2">
                  <c:v>5.23</c:v>
                </c:pt>
                <c:pt idx="3">
                  <c:v>7.34</c:v>
                </c:pt>
                <c:pt idx="4">
                  <c:v>14.0</c:v>
                </c:pt>
                <c:pt idx="5">
                  <c:v>19.73999999999999</c:v>
                </c:pt>
                <c:pt idx="6">
                  <c:v>26.91</c:v>
                </c:pt>
                <c:pt idx="7">
                  <c:v>30.78</c:v>
                </c:pt>
                <c:pt idx="8">
                  <c:v>37.34</c:v>
                </c:pt>
                <c:pt idx="9">
                  <c:v>41.88</c:v>
                </c:pt>
                <c:pt idx="10">
                  <c:v>47.04</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130.25</c:v>
                </c:pt>
              </c:numCache>
            </c:numRef>
          </c:xVal>
          <c:yVal>
            <c:numRef>
              <c:f>'TQ-Absorption-30psi'!$N$4:$N$34</c:f>
              <c:numCache>
                <c:formatCode>General</c:formatCode>
                <c:ptCount val="31"/>
                <c:pt idx="0">
                  <c:v>0.1316</c:v>
                </c:pt>
                <c:pt idx="1">
                  <c:v>0.17</c:v>
                </c:pt>
                <c:pt idx="2">
                  <c:v>0.2309</c:v>
                </c:pt>
                <c:pt idx="3">
                  <c:v>0.2785</c:v>
                </c:pt>
                <c:pt idx="4">
                  <c:v>0.3323</c:v>
                </c:pt>
                <c:pt idx="5">
                  <c:v>0.3939</c:v>
                </c:pt>
                <c:pt idx="6">
                  <c:v>0.4008</c:v>
                </c:pt>
                <c:pt idx="7">
                  <c:v>0.4124</c:v>
                </c:pt>
                <c:pt idx="8">
                  <c:v>0.4428</c:v>
                </c:pt>
                <c:pt idx="9">
                  <c:v>0.493</c:v>
                </c:pt>
                <c:pt idx="10">
                  <c:v>0.5039</c:v>
                </c:pt>
                <c:pt idx="11">
                  <c:v>0.5145</c:v>
                </c:pt>
                <c:pt idx="12">
                  <c:v>0.5505</c:v>
                </c:pt>
                <c:pt idx="13">
                  <c:v>0.5712</c:v>
                </c:pt>
                <c:pt idx="14">
                  <c:v>0.5996</c:v>
                </c:pt>
                <c:pt idx="15">
                  <c:v>0.6218</c:v>
                </c:pt>
                <c:pt idx="16">
                  <c:v>0.6688</c:v>
                </c:pt>
                <c:pt idx="17">
                  <c:v>0.6577</c:v>
                </c:pt>
                <c:pt idx="18">
                  <c:v>0.6779</c:v>
                </c:pt>
                <c:pt idx="19">
                  <c:v>0.6806</c:v>
                </c:pt>
                <c:pt idx="20">
                  <c:v>0.682</c:v>
                </c:pt>
                <c:pt idx="21">
                  <c:v>0.7058</c:v>
                </c:pt>
                <c:pt idx="22">
                  <c:v>0.7112</c:v>
                </c:pt>
                <c:pt idx="23">
                  <c:v>0.7046</c:v>
                </c:pt>
                <c:pt idx="24">
                  <c:v>0.7206</c:v>
                </c:pt>
              </c:numCache>
            </c:numRef>
          </c:yVal>
          <c:smooth val="0"/>
        </c:ser>
        <c:ser>
          <c:idx val="3"/>
          <c:order val="4"/>
          <c:tx>
            <c:v>99% RH</c:v>
          </c:tx>
          <c:spPr>
            <a:ln w="28575">
              <a:noFill/>
            </a:ln>
          </c:spPr>
          <c:marker>
            <c:symbol val="circle"/>
            <c:size val="5"/>
            <c:spPr>
              <a:solidFill>
                <a:srgbClr val="7030A0">
                  <a:alpha val="50000"/>
                </a:srgbClr>
              </a:solidFill>
              <a:ln w="12700">
                <a:solidFill>
                  <a:sysClr val="windowText" lastClr="000000"/>
                </a:solidFill>
              </a:ln>
            </c:spPr>
          </c:marker>
          <c:errBars>
            <c:errDir val="y"/>
            <c:errBarType val="both"/>
            <c:errValType val="cust"/>
            <c:noEndCap val="0"/>
            <c:plus>
              <c:numRef>
                <c:f>'TQ-Absorption-30psi'!$U$4:$U$29</c:f>
                <c:numCache>
                  <c:formatCode>General</c:formatCode>
                  <c:ptCount val="26"/>
                  <c:pt idx="0">
                    <c:v>0.056</c:v>
                  </c:pt>
                  <c:pt idx="1">
                    <c:v>0.056</c:v>
                  </c:pt>
                  <c:pt idx="2">
                    <c:v>0.072</c:v>
                  </c:pt>
                  <c:pt idx="3">
                    <c:v>0.095</c:v>
                  </c:pt>
                  <c:pt idx="4">
                    <c:v>0.147</c:v>
                  </c:pt>
                  <c:pt idx="5">
                    <c:v>0.178</c:v>
                  </c:pt>
                  <c:pt idx="6">
                    <c:v>0.179</c:v>
                  </c:pt>
                  <c:pt idx="7">
                    <c:v>0.17</c:v>
                  </c:pt>
                  <c:pt idx="8">
                    <c:v>0.191</c:v>
                  </c:pt>
                  <c:pt idx="9">
                    <c:v>0.19</c:v>
                  </c:pt>
                  <c:pt idx="10">
                    <c:v>0.201</c:v>
                  </c:pt>
                  <c:pt idx="11">
                    <c:v>0.185</c:v>
                  </c:pt>
                  <c:pt idx="12">
                    <c:v>0.199</c:v>
                  </c:pt>
                  <c:pt idx="13">
                    <c:v>0.188</c:v>
                  </c:pt>
                  <c:pt idx="14">
                    <c:v>0.191</c:v>
                  </c:pt>
                  <c:pt idx="15">
                    <c:v>0.199</c:v>
                  </c:pt>
                  <c:pt idx="16">
                    <c:v>0.178</c:v>
                  </c:pt>
                  <c:pt idx="17">
                    <c:v>0.184</c:v>
                  </c:pt>
                  <c:pt idx="18">
                    <c:v>0.179</c:v>
                  </c:pt>
                  <c:pt idx="19">
                    <c:v>0.182</c:v>
                  </c:pt>
                  <c:pt idx="20">
                    <c:v>0.182</c:v>
                  </c:pt>
                  <c:pt idx="21">
                    <c:v>0.193</c:v>
                  </c:pt>
                  <c:pt idx="22">
                    <c:v>0.178</c:v>
                  </c:pt>
                  <c:pt idx="23">
                    <c:v>0.186</c:v>
                  </c:pt>
                  <c:pt idx="24">
                    <c:v>0.194</c:v>
                  </c:pt>
                </c:numCache>
              </c:numRef>
            </c:plus>
            <c:minus>
              <c:numRef>
                <c:f>'TQ-Absorption-30psi'!$U$4:$U$29</c:f>
                <c:numCache>
                  <c:formatCode>General</c:formatCode>
                  <c:ptCount val="26"/>
                  <c:pt idx="0">
                    <c:v>0.056</c:v>
                  </c:pt>
                  <c:pt idx="1">
                    <c:v>0.056</c:v>
                  </c:pt>
                  <c:pt idx="2">
                    <c:v>0.072</c:v>
                  </c:pt>
                  <c:pt idx="3">
                    <c:v>0.095</c:v>
                  </c:pt>
                  <c:pt idx="4">
                    <c:v>0.147</c:v>
                  </c:pt>
                  <c:pt idx="5">
                    <c:v>0.178</c:v>
                  </c:pt>
                  <c:pt idx="6">
                    <c:v>0.179</c:v>
                  </c:pt>
                  <c:pt idx="7">
                    <c:v>0.17</c:v>
                  </c:pt>
                  <c:pt idx="8">
                    <c:v>0.191</c:v>
                  </c:pt>
                  <c:pt idx="9">
                    <c:v>0.19</c:v>
                  </c:pt>
                  <c:pt idx="10">
                    <c:v>0.201</c:v>
                  </c:pt>
                  <c:pt idx="11">
                    <c:v>0.185</c:v>
                  </c:pt>
                  <c:pt idx="12">
                    <c:v>0.199</c:v>
                  </c:pt>
                  <c:pt idx="13">
                    <c:v>0.188</c:v>
                  </c:pt>
                  <c:pt idx="14">
                    <c:v>0.191</c:v>
                  </c:pt>
                  <c:pt idx="15">
                    <c:v>0.199</c:v>
                  </c:pt>
                  <c:pt idx="16">
                    <c:v>0.178</c:v>
                  </c:pt>
                  <c:pt idx="17">
                    <c:v>0.184</c:v>
                  </c:pt>
                  <c:pt idx="18">
                    <c:v>0.179</c:v>
                  </c:pt>
                  <c:pt idx="19">
                    <c:v>0.182</c:v>
                  </c:pt>
                  <c:pt idx="20">
                    <c:v>0.182</c:v>
                  </c:pt>
                  <c:pt idx="21">
                    <c:v>0.193</c:v>
                  </c:pt>
                  <c:pt idx="22">
                    <c:v>0.178</c:v>
                  </c:pt>
                  <c:pt idx="23">
                    <c:v>0.186</c:v>
                  </c:pt>
                  <c:pt idx="24">
                    <c:v>0.194</c:v>
                  </c:pt>
                </c:numCache>
              </c:numRef>
            </c:minus>
            <c:spPr>
              <a:ln w="12700">
                <a:solidFill>
                  <a:srgbClr val="7030A0"/>
                </a:solidFill>
              </a:ln>
            </c:spPr>
          </c:errBars>
          <c:xVal>
            <c:numRef>
              <c:f>'TQ-Absorption-30psi'!$S$4:$S$34</c:f>
              <c:numCache>
                <c:formatCode>General</c:formatCode>
                <c:ptCount val="31"/>
                <c:pt idx="0">
                  <c:v>1.47</c:v>
                </c:pt>
                <c:pt idx="1">
                  <c:v>2.5</c:v>
                </c:pt>
                <c:pt idx="2">
                  <c:v>5.25</c:v>
                </c:pt>
                <c:pt idx="3">
                  <c:v>7.35</c:v>
                </c:pt>
                <c:pt idx="4">
                  <c:v>14.01</c:v>
                </c:pt>
                <c:pt idx="5">
                  <c:v>19.73999999999999</c:v>
                </c:pt>
                <c:pt idx="6">
                  <c:v>26.92</c:v>
                </c:pt>
                <c:pt idx="7">
                  <c:v>30.78</c:v>
                </c:pt>
                <c:pt idx="8">
                  <c:v>37.34</c:v>
                </c:pt>
                <c:pt idx="9">
                  <c:v>41.88</c:v>
                </c:pt>
                <c:pt idx="10">
                  <c:v>47.04</c:v>
                </c:pt>
                <c:pt idx="11">
                  <c:v>52.07</c:v>
                </c:pt>
                <c:pt idx="12">
                  <c:v>56.52</c:v>
                </c:pt>
                <c:pt idx="13">
                  <c:v>62.38</c:v>
                </c:pt>
                <c:pt idx="14">
                  <c:v>68.78</c:v>
                </c:pt>
                <c:pt idx="15">
                  <c:v>77.64</c:v>
                </c:pt>
                <c:pt idx="16">
                  <c:v>85.28</c:v>
                </c:pt>
                <c:pt idx="17">
                  <c:v>90.74</c:v>
                </c:pt>
                <c:pt idx="18">
                  <c:v>97.25</c:v>
                </c:pt>
                <c:pt idx="19">
                  <c:v>102.06</c:v>
                </c:pt>
                <c:pt idx="20">
                  <c:v>108.22</c:v>
                </c:pt>
                <c:pt idx="21">
                  <c:v>113.95</c:v>
                </c:pt>
                <c:pt idx="22">
                  <c:v>119.39</c:v>
                </c:pt>
                <c:pt idx="23">
                  <c:v>124.42</c:v>
                </c:pt>
                <c:pt idx="24">
                  <c:v>130.25</c:v>
                </c:pt>
              </c:numCache>
            </c:numRef>
          </c:xVal>
          <c:yVal>
            <c:numRef>
              <c:f>'TQ-Absorption-30psi'!$T$4:$T$34</c:f>
              <c:numCache>
                <c:formatCode>General</c:formatCode>
                <c:ptCount val="31"/>
                <c:pt idx="0">
                  <c:v>0.2266</c:v>
                </c:pt>
                <c:pt idx="1">
                  <c:v>0.2642</c:v>
                </c:pt>
                <c:pt idx="2">
                  <c:v>0.3761</c:v>
                </c:pt>
                <c:pt idx="3">
                  <c:v>0.4323</c:v>
                </c:pt>
                <c:pt idx="4">
                  <c:v>0.5758</c:v>
                </c:pt>
                <c:pt idx="5">
                  <c:v>0.6494</c:v>
                </c:pt>
                <c:pt idx="6">
                  <c:v>0.6706</c:v>
                </c:pt>
                <c:pt idx="7">
                  <c:v>0.6558</c:v>
                </c:pt>
                <c:pt idx="8">
                  <c:v>0.7241</c:v>
                </c:pt>
                <c:pt idx="9">
                  <c:v>0.7522</c:v>
                </c:pt>
                <c:pt idx="10">
                  <c:v>0.7539</c:v>
                </c:pt>
                <c:pt idx="11">
                  <c:v>0.7751</c:v>
                </c:pt>
                <c:pt idx="12">
                  <c:v>0.7949</c:v>
                </c:pt>
                <c:pt idx="13">
                  <c:v>0.8328</c:v>
                </c:pt>
                <c:pt idx="14">
                  <c:v>0.8639</c:v>
                </c:pt>
                <c:pt idx="15">
                  <c:v>0.8979</c:v>
                </c:pt>
                <c:pt idx="16">
                  <c:v>0.9421</c:v>
                </c:pt>
                <c:pt idx="17">
                  <c:v>0.9463</c:v>
                </c:pt>
                <c:pt idx="18">
                  <c:v>0.952</c:v>
                </c:pt>
                <c:pt idx="19">
                  <c:v>0.9681</c:v>
                </c:pt>
                <c:pt idx="20">
                  <c:v>0.9705</c:v>
                </c:pt>
                <c:pt idx="21">
                  <c:v>0.9921</c:v>
                </c:pt>
                <c:pt idx="22">
                  <c:v>1.001</c:v>
                </c:pt>
                <c:pt idx="23">
                  <c:v>1.0089</c:v>
                </c:pt>
                <c:pt idx="24">
                  <c:v>1.0202</c:v>
                </c:pt>
              </c:numCache>
            </c:numRef>
          </c:yVal>
          <c:smooth val="0"/>
        </c:ser>
        <c:ser>
          <c:idx val="9"/>
          <c:order val="5"/>
          <c:spPr>
            <a:ln w="12700">
              <a:solidFill>
                <a:sysClr val="windowText" lastClr="000000"/>
              </a:solidFill>
              <a:prstDash val="lgDash"/>
            </a:ln>
          </c:spPr>
          <c:marker>
            <c:symbol val="none"/>
          </c:marker>
          <c:dPt>
            <c:idx val="1"/>
            <c:bubble3D val="0"/>
            <c:spPr>
              <a:ln w="12700">
                <a:solidFill>
                  <a:schemeClr val="bg1">
                    <a:lumMod val="50000"/>
                  </a:schemeClr>
                </a:solidFill>
                <a:prstDash val="lgDash"/>
              </a:ln>
            </c:spPr>
          </c:dPt>
          <c:xVal>
            <c:numRef>
              <c:f>('BMI-Absorption-10psi'!$D$51,'BMI-Absorption-10psi'!$D$51)</c:f>
              <c:numCache>
                <c:formatCode>General</c:formatCode>
                <c:ptCount val="2"/>
                <c:pt idx="0">
                  <c:v>132.363</c:v>
                </c:pt>
                <c:pt idx="1">
                  <c:v>132.363</c:v>
                </c:pt>
              </c:numCache>
            </c:numRef>
          </c:xVal>
          <c:yVal>
            <c:numLit>
              <c:formatCode>General</c:formatCode>
              <c:ptCount val="2"/>
              <c:pt idx="0">
                <c:v>0.0</c:v>
              </c:pt>
              <c:pt idx="1">
                <c:v>12.0</c:v>
              </c:pt>
            </c:numLit>
          </c:yVal>
          <c:smooth val="0"/>
        </c:ser>
        <c:dLbls>
          <c:showLegendKey val="0"/>
          <c:showVal val="0"/>
          <c:showCatName val="0"/>
          <c:showSerName val="0"/>
          <c:showPercent val="0"/>
          <c:showBubbleSize val="0"/>
        </c:dLbls>
        <c:axId val="424484808"/>
        <c:axId val="424228408"/>
      </c:scatterChart>
      <c:valAx>
        <c:axId val="424484808"/>
        <c:scaling>
          <c:orientation val="minMax"/>
          <c:max val="15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424228408"/>
        <c:crosses val="autoZero"/>
        <c:crossBetween val="midCat"/>
        <c:minorUnit val="12.5"/>
      </c:valAx>
      <c:valAx>
        <c:axId val="424228408"/>
        <c:scaling>
          <c:orientation val="minMax"/>
          <c:max val="3.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424484808"/>
        <c:crosses val="autoZero"/>
        <c:crossBetween val="midCat"/>
        <c:majorUnit val="1.0"/>
        <c:minorUnit val="0.25"/>
      </c:valAx>
      <c:spPr>
        <a:ln w="19050">
          <a:solidFill>
            <a:sysClr val="windowText" lastClr="000000"/>
          </a:solidFill>
        </a:ln>
      </c:spPr>
    </c:plotArea>
    <c:legend>
      <c:legendPos val="r"/>
      <c:legendEntry>
        <c:idx val="0"/>
        <c:delete val="1"/>
      </c:legendEntry>
      <c:legendEntry>
        <c:idx val="5"/>
        <c:delete val="1"/>
      </c:legendEntry>
      <c:layout>
        <c:manualLayout>
          <c:xMode val="edge"/>
          <c:yMode val="edge"/>
          <c:x val="0.177046562680788"/>
          <c:y val="0.095813664636131"/>
          <c:w val="0.235230659726856"/>
          <c:h val="0.198320209973753"/>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4324356685478"/>
          <c:y val="0.0333333333333333"/>
          <c:w val="0.759957604491145"/>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circle"/>
            <c:size val="5"/>
            <c:spPr>
              <a:solidFill>
                <a:srgbClr val="0070C0">
                  <a:alpha val="50000"/>
                </a:srgbClr>
              </a:solidFill>
              <a:ln w="12700">
                <a:solidFill>
                  <a:schemeClr val="tx1"/>
                </a:solidFill>
              </a:ln>
            </c:spPr>
          </c:marker>
          <c:errBars>
            <c:errDir val="y"/>
            <c:errBarType val="both"/>
            <c:errValType val="cust"/>
            <c:noEndCap val="0"/>
            <c:plus>
              <c:numRef>
                <c:f>'TQ-Absorption-50psi'!$C$4:$C$29</c:f>
                <c:numCache>
                  <c:formatCode>General</c:formatCode>
                  <c:ptCount val="26"/>
                  <c:pt idx="0">
                    <c:v>0.013</c:v>
                  </c:pt>
                  <c:pt idx="1">
                    <c:v>0.014</c:v>
                  </c:pt>
                  <c:pt idx="2">
                    <c:v>0.024</c:v>
                  </c:pt>
                  <c:pt idx="3">
                    <c:v>0.026</c:v>
                  </c:pt>
                  <c:pt idx="4">
                    <c:v>0.023</c:v>
                  </c:pt>
                  <c:pt idx="5">
                    <c:v>0.028</c:v>
                  </c:pt>
                  <c:pt idx="6">
                    <c:v>0.038</c:v>
                  </c:pt>
                  <c:pt idx="7">
                    <c:v>0.036</c:v>
                  </c:pt>
                  <c:pt idx="8">
                    <c:v>0.049</c:v>
                  </c:pt>
                  <c:pt idx="9">
                    <c:v>0.031</c:v>
                  </c:pt>
                  <c:pt idx="10">
                    <c:v>0.04</c:v>
                  </c:pt>
                  <c:pt idx="11">
                    <c:v>0.042</c:v>
                  </c:pt>
                  <c:pt idx="12">
                    <c:v>0.037</c:v>
                  </c:pt>
                  <c:pt idx="13">
                    <c:v>0.036</c:v>
                  </c:pt>
                  <c:pt idx="14">
                    <c:v>0.041</c:v>
                  </c:pt>
                  <c:pt idx="15">
                    <c:v>0.027</c:v>
                  </c:pt>
                  <c:pt idx="16">
                    <c:v>0.042</c:v>
                  </c:pt>
                  <c:pt idx="17">
                    <c:v>0.043</c:v>
                  </c:pt>
                  <c:pt idx="18">
                    <c:v>0.039</c:v>
                  </c:pt>
                  <c:pt idx="19">
                    <c:v>0.024</c:v>
                  </c:pt>
                  <c:pt idx="20">
                    <c:v>0.037</c:v>
                  </c:pt>
                  <c:pt idx="21">
                    <c:v>0.03</c:v>
                  </c:pt>
                  <c:pt idx="22">
                    <c:v>0.042</c:v>
                  </c:pt>
                  <c:pt idx="23">
                    <c:v>0.023</c:v>
                  </c:pt>
                  <c:pt idx="24">
                    <c:v>0.035</c:v>
                  </c:pt>
                </c:numCache>
              </c:numRef>
            </c:plus>
            <c:minus>
              <c:numRef>
                <c:f>'TQ-Absorption-50psi'!$C$4:$C$29</c:f>
                <c:numCache>
                  <c:formatCode>General</c:formatCode>
                  <c:ptCount val="26"/>
                  <c:pt idx="0">
                    <c:v>0.013</c:v>
                  </c:pt>
                  <c:pt idx="1">
                    <c:v>0.014</c:v>
                  </c:pt>
                  <c:pt idx="2">
                    <c:v>0.024</c:v>
                  </c:pt>
                  <c:pt idx="3">
                    <c:v>0.026</c:v>
                  </c:pt>
                  <c:pt idx="4">
                    <c:v>0.023</c:v>
                  </c:pt>
                  <c:pt idx="5">
                    <c:v>0.028</c:v>
                  </c:pt>
                  <c:pt idx="6">
                    <c:v>0.038</c:v>
                  </c:pt>
                  <c:pt idx="7">
                    <c:v>0.036</c:v>
                  </c:pt>
                  <c:pt idx="8">
                    <c:v>0.049</c:v>
                  </c:pt>
                  <c:pt idx="9">
                    <c:v>0.031</c:v>
                  </c:pt>
                  <c:pt idx="10">
                    <c:v>0.04</c:v>
                  </c:pt>
                  <c:pt idx="11">
                    <c:v>0.042</c:v>
                  </c:pt>
                  <c:pt idx="12">
                    <c:v>0.037</c:v>
                  </c:pt>
                  <c:pt idx="13">
                    <c:v>0.036</c:v>
                  </c:pt>
                  <c:pt idx="14">
                    <c:v>0.041</c:v>
                  </c:pt>
                  <c:pt idx="15">
                    <c:v>0.027</c:v>
                  </c:pt>
                  <c:pt idx="16">
                    <c:v>0.042</c:v>
                  </c:pt>
                  <c:pt idx="17">
                    <c:v>0.043</c:v>
                  </c:pt>
                  <c:pt idx="18">
                    <c:v>0.039</c:v>
                  </c:pt>
                  <c:pt idx="19">
                    <c:v>0.024</c:v>
                  </c:pt>
                  <c:pt idx="20">
                    <c:v>0.037</c:v>
                  </c:pt>
                  <c:pt idx="21">
                    <c:v>0.03</c:v>
                  </c:pt>
                  <c:pt idx="22">
                    <c:v>0.042</c:v>
                  </c:pt>
                  <c:pt idx="23">
                    <c:v>0.023</c:v>
                  </c:pt>
                  <c:pt idx="24">
                    <c:v>0.035</c:v>
                  </c:pt>
                </c:numCache>
              </c:numRef>
            </c:minus>
            <c:spPr>
              <a:ln w="12700">
                <a:solidFill>
                  <a:srgbClr val="0070C0"/>
                </a:solidFill>
              </a:ln>
            </c:spPr>
          </c:errBars>
          <c:xVal>
            <c:numRef>
              <c:f>'TQ-Absorption-50psi'!$A$4:$A$34</c:f>
              <c:numCache>
                <c:formatCode>General</c:formatCode>
                <c:ptCount val="31"/>
                <c:pt idx="0">
                  <c:v>1.49</c:v>
                </c:pt>
                <c:pt idx="1">
                  <c:v>2.43</c:v>
                </c:pt>
                <c:pt idx="2">
                  <c:v>5.22</c:v>
                </c:pt>
                <c:pt idx="3">
                  <c:v>7.33</c:v>
                </c:pt>
                <c:pt idx="4">
                  <c:v>14.0</c:v>
                </c:pt>
                <c:pt idx="5">
                  <c:v>19.73</c:v>
                </c:pt>
                <c:pt idx="6">
                  <c:v>26.91</c:v>
                </c:pt>
                <c:pt idx="7">
                  <c:v>30.78</c:v>
                </c:pt>
                <c:pt idx="8">
                  <c:v>37.35</c:v>
                </c:pt>
                <c:pt idx="9">
                  <c:v>41.88</c:v>
                </c:pt>
                <c:pt idx="10">
                  <c:v>47.03</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130.24</c:v>
                </c:pt>
              </c:numCache>
            </c:numRef>
          </c:xVal>
          <c:yVal>
            <c:numRef>
              <c:f>'TQ-Absorption-50psi'!$B$4:$B$34</c:f>
              <c:numCache>
                <c:formatCode>General</c:formatCode>
                <c:ptCount val="31"/>
                <c:pt idx="0">
                  <c:v>0.066</c:v>
                </c:pt>
                <c:pt idx="1">
                  <c:v>0.0788</c:v>
                </c:pt>
                <c:pt idx="2">
                  <c:v>0.0942</c:v>
                </c:pt>
                <c:pt idx="3">
                  <c:v>0.1062</c:v>
                </c:pt>
                <c:pt idx="4">
                  <c:v>0.1233</c:v>
                </c:pt>
                <c:pt idx="5">
                  <c:v>0.147</c:v>
                </c:pt>
                <c:pt idx="6">
                  <c:v>0.1633</c:v>
                </c:pt>
                <c:pt idx="7">
                  <c:v>0.1613</c:v>
                </c:pt>
                <c:pt idx="8">
                  <c:v>0.1963</c:v>
                </c:pt>
                <c:pt idx="9">
                  <c:v>0.1919</c:v>
                </c:pt>
                <c:pt idx="10">
                  <c:v>0.1965</c:v>
                </c:pt>
                <c:pt idx="11">
                  <c:v>0.2</c:v>
                </c:pt>
                <c:pt idx="12">
                  <c:v>0.2342</c:v>
                </c:pt>
                <c:pt idx="13">
                  <c:v>0.2291</c:v>
                </c:pt>
                <c:pt idx="14">
                  <c:v>0.2723</c:v>
                </c:pt>
                <c:pt idx="15">
                  <c:v>0.3003</c:v>
                </c:pt>
                <c:pt idx="16">
                  <c:v>0.3239</c:v>
                </c:pt>
                <c:pt idx="17">
                  <c:v>0.3528</c:v>
                </c:pt>
                <c:pt idx="18">
                  <c:v>0.3585</c:v>
                </c:pt>
                <c:pt idx="19">
                  <c:v>0.3705</c:v>
                </c:pt>
                <c:pt idx="20">
                  <c:v>0.377</c:v>
                </c:pt>
                <c:pt idx="21">
                  <c:v>0.4102</c:v>
                </c:pt>
                <c:pt idx="22">
                  <c:v>0.4023</c:v>
                </c:pt>
                <c:pt idx="23">
                  <c:v>0.3994</c:v>
                </c:pt>
                <c:pt idx="24">
                  <c:v>0.4221</c:v>
                </c:pt>
              </c:numCache>
            </c:numRef>
          </c:yVal>
          <c:smooth val="0"/>
        </c:ser>
        <c:ser>
          <c:idx val="1"/>
          <c:order val="2"/>
          <c:tx>
            <c:v>40% RH</c:v>
          </c:tx>
          <c:spPr>
            <a:ln w="28575">
              <a:noFill/>
            </a:ln>
          </c:spPr>
          <c:marker>
            <c:symbol val="circle"/>
            <c:size val="5"/>
            <c:spPr>
              <a:solidFill>
                <a:srgbClr val="C00000">
                  <a:alpha val="50000"/>
                </a:srgbClr>
              </a:solidFill>
              <a:ln w="12700">
                <a:solidFill>
                  <a:sysClr val="windowText" lastClr="000000"/>
                </a:solidFill>
              </a:ln>
            </c:spPr>
          </c:marker>
          <c:errBars>
            <c:errDir val="y"/>
            <c:errBarType val="both"/>
            <c:errValType val="cust"/>
            <c:noEndCap val="0"/>
            <c:plus>
              <c:numRef>
                <c:f>'TQ-Absorption-50psi'!$I$4:$I$29</c:f>
                <c:numCache>
                  <c:formatCode>General</c:formatCode>
                  <c:ptCount val="26"/>
                  <c:pt idx="0">
                    <c:v>0.015</c:v>
                  </c:pt>
                  <c:pt idx="1">
                    <c:v>0.014</c:v>
                  </c:pt>
                  <c:pt idx="2">
                    <c:v>0.017</c:v>
                  </c:pt>
                  <c:pt idx="3">
                    <c:v>0.034</c:v>
                  </c:pt>
                  <c:pt idx="4">
                    <c:v>0.027</c:v>
                  </c:pt>
                  <c:pt idx="5">
                    <c:v>0.024</c:v>
                  </c:pt>
                  <c:pt idx="6">
                    <c:v>0.024</c:v>
                  </c:pt>
                  <c:pt idx="7">
                    <c:v>0.028</c:v>
                  </c:pt>
                  <c:pt idx="8">
                    <c:v>0.034</c:v>
                  </c:pt>
                  <c:pt idx="9">
                    <c:v>0.033</c:v>
                  </c:pt>
                  <c:pt idx="10">
                    <c:v>0.039</c:v>
                  </c:pt>
                  <c:pt idx="11">
                    <c:v>0.03</c:v>
                  </c:pt>
                  <c:pt idx="12">
                    <c:v>0.044</c:v>
                  </c:pt>
                  <c:pt idx="13">
                    <c:v>0.03</c:v>
                  </c:pt>
                  <c:pt idx="14">
                    <c:v>0.035</c:v>
                  </c:pt>
                  <c:pt idx="15">
                    <c:v>0.035</c:v>
                  </c:pt>
                  <c:pt idx="16">
                    <c:v>0.029</c:v>
                  </c:pt>
                  <c:pt idx="17">
                    <c:v>0.047</c:v>
                  </c:pt>
                  <c:pt idx="18">
                    <c:v>0.018</c:v>
                  </c:pt>
                  <c:pt idx="19">
                    <c:v>0.038</c:v>
                  </c:pt>
                  <c:pt idx="20">
                    <c:v>0.032</c:v>
                  </c:pt>
                  <c:pt idx="21">
                    <c:v>0.051</c:v>
                  </c:pt>
                  <c:pt idx="22">
                    <c:v>0.027</c:v>
                  </c:pt>
                  <c:pt idx="23">
                    <c:v>0.023</c:v>
                  </c:pt>
                  <c:pt idx="24">
                    <c:v>0.04</c:v>
                  </c:pt>
                </c:numCache>
              </c:numRef>
            </c:plus>
            <c:minus>
              <c:numRef>
                <c:f>'TQ-Absorption-50psi'!$I$4:$I$29</c:f>
                <c:numCache>
                  <c:formatCode>General</c:formatCode>
                  <c:ptCount val="26"/>
                  <c:pt idx="0">
                    <c:v>0.015</c:v>
                  </c:pt>
                  <c:pt idx="1">
                    <c:v>0.014</c:v>
                  </c:pt>
                  <c:pt idx="2">
                    <c:v>0.017</c:v>
                  </c:pt>
                  <c:pt idx="3">
                    <c:v>0.034</c:v>
                  </c:pt>
                  <c:pt idx="4">
                    <c:v>0.027</c:v>
                  </c:pt>
                  <c:pt idx="5">
                    <c:v>0.024</c:v>
                  </c:pt>
                  <c:pt idx="6">
                    <c:v>0.024</c:v>
                  </c:pt>
                  <c:pt idx="7">
                    <c:v>0.028</c:v>
                  </c:pt>
                  <c:pt idx="8">
                    <c:v>0.034</c:v>
                  </c:pt>
                  <c:pt idx="9">
                    <c:v>0.033</c:v>
                  </c:pt>
                  <c:pt idx="10">
                    <c:v>0.039</c:v>
                  </c:pt>
                  <c:pt idx="11">
                    <c:v>0.03</c:v>
                  </c:pt>
                  <c:pt idx="12">
                    <c:v>0.044</c:v>
                  </c:pt>
                  <c:pt idx="13">
                    <c:v>0.03</c:v>
                  </c:pt>
                  <c:pt idx="14">
                    <c:v>0.035</c:v>
                  </c:pt>
                  <c:pt idx="15">
                    <c:v>0.035</c:v>
                  </c:pt>
                  <c:pt idx="16">
                    <c:v>0.029</c:v>
                  </c:pt>
                  <c:pt idx="17">
                    <c:v>0.047</c:v>
                  </c:pt>
                  <c:pt idx="18">
                    <c:v>0.018</c:v>
                  </c:pt>
                  <c:pt idx="19">
                    <c:v>0.038</c:v>
                  </c:pt>
                  <c:pt idx="20">
                    <c:v>0.032</c:v>
                  </c:pt>
                  <c:pt idx="21">
                    <c:v>0.051</c:v>
                  </c:pt>
                  <c:pt idx="22">
                    <c:v>0.027</c:v>
                  </c:pt>
                  <c:pt idx="23">
                    <c:v>0.023</c:v>
                  </c:pt>
                  <c:pt idx="24">
                    <c:v>0.04</c:v>
                  </c:pt>
                </c:numCache>
              </c:numRef>
            </c:minus>
            <c:spPr>
              <a:ln w="12700">
                <a:solidFill>
                  <a:srgbClr val="C00000"/>
                </a:solidFill>
              </a:ln>
            </c:spPr>
          </c:errBars>
          <c:xVal>
            <c:numRef>
              <c:f>'TQ-Absorption-50psi'!$G$4:$G$34</c:f>
              <c:numCache>
                <c:formatCode>General</c:formatCode>
                <c:ptCount val="31"/>
                <c:pt idx="0">
                  <c:v>1.53</c:v>
                </c:pt>
                <c:pt idx="1">
                  <c:v>2.45</c:v>
                </c:pt>
                <c:pt idx="2">
                  <c:v>5.23</c:v>
                </c:pt>
                <c:pt idx="3">
                  <c:v>7.34</c:v>
                </c:pt>
                <c:pt idx="4">
                  <c:v>14.0</c:v>
                </c:pt>
                <c:pt idx="5">
                  <c:v>19.73999999999999</c:v>
                </c:pt>
                <c:pt idx="6">
                  <c:v>26.91</c:v>
                </c:pt>
                <c:pt idx="7">
                  <c:v>30.78</c:v>
                </c:pt>
                <c:pt idx="8">
                  <c:v>37.35</c:v>
                </c:pt>
                <c:pt idx="9">
                  <c:v>41.88</c:v>
                </c:pt>
                <c:pt idx="10">
                  <c:v>47.03</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130.24</c:v>
                </c:pt>
              </c:numCache>
            </c:numRef>
          </c:xVal>
          <c:yVal>
            <c:numRef>
              <c:f>'TQ-Absorption-50psi'!$H$4:$H$34</c:f>
              <c:numCache>
                <c:formatCode>General</c:formatCode>
                <c:ptCount val="31"/>
                <c:pt idx="0">
                  <c:v>0.0878</c:v>
                </c:pt>
                <c:pt idx="1">
                  <c:v>0.0991</c:v>
                </c:pt>
                <c:pt idx="2">
                  <c:v>0.1206</c:v>
                </c:pt>
                <c:pt idx="3">
                  <c:v>0.1415</c:v>
                </c:pt>
                <c:pt idx="4">
                  <c:v>0.1477</c:v>
                </c:pt>
                <c:pt idx="5">
                  <c:v>0.1747</c:v>
                </c:pt>
                <c:pt idx="6">
                  <c:v>0.1852</c:v>
                </c:pt>
                <c:pt idx="7">
                  <c:v>0.1954</c:v>
                </c:pt>
                <c:pt idx="8">
                  <c:v>0.2103</c:v>
                </c:pt>
                <c:pt idx="9">
                  <c:v>0.2166</c:v>
                </c:pt>
                <c:pt idx="10">
                  <c:v>0.2128</c:v>
                </c:pt>
                <c:pt idx="11">
                  <c:v>0.2151</c:v>
                </c:pt>
                <c:pt idx="12">
                  <c:v>0.2438</c:v>
                </c:pt>
                <c:pt idx="13">
                  <c:v>0.2749</c:v>
                </c:pt>
                <c:pt idx="14">
                  <c:v>0.3118</c:v>
                </c:pt>
                <c:pt idx="15">
                  <c:v>0.3467</c:v>
                </c:pt>
                <c:pt idx="16">
                  <c:v>0.381</c:v>
                </c:pt>
                <c:pt idx="17">
                  <c:v>0.3988</c:v>
                </c:pt>
                <c:pt idx="18">
                  <c:v>0.4115</c:v>
                </c:pt>
                <c:pt idx="19">
                  <c:v>0.4149</c:v>
                </c:pt>
                <c:pt idx="20">
                  <c:v>0.4301</c:v>
                </c:pt>
                <c:pt idx="21">
                  <c:v>0.4448</c:v>
                </c:pt>
                <c:pt idx="22">
                  <c:v>0.4563</c:v>
                </c:pt>
                <c:pt idx="23">
                  <c:v>0.4507</c:v>
                </c:pt>
                <c:pt idx="24">
                  <c:v>0.4623</c:v>
                </c:pt>
              </c:numCache>
            </c:numRef>
          </c:yVal>
          <c:smooth val="0"/>
        </c:ser>
        <c:ser>
          <c:idx val="2"/>
          <c:order val="3"/>
          <c:tx>
            <c:v>70% RH</c:v>
          </c:tx>
          <c:spPr>
            <a:ln w="28575">
              <a:noFill/>
            </a:ln>
          </c:spPr>
          <c:marker>
            <c:symbol val="circle"/>
            <c:size val="5"/>
            <c:spPr>
              <a:solidFill>
                <a:srgbClr val="00B050">
                  <a:alpha val="50000"/>
                </a:srgbClr>
              </a:solidFill>
              <a:ln w="12700">
                <a:solidFill>
                  <a:sysClr val="windowText" lastClr="000000"/>
                </a:solidFill>
              </a:ln>
            </c:spPr>
          </c:marker>
          <c:errBars>
            <c:errDir val="y"/>
            <c:errBarType val="both"/>
            <c:errValType val="cust"/>
            <c:noEndCap val="0"/>
            <c:plus>
              <c:numRef>
                <c:f>'TQ-Absorption-50psi'!$O$4:$O$29</c:f>
                <c:numCache>
                  <c:formatCode>General</c:formatCode>
                  <c:ptCount val="26"/>
                  <c:pt idx="0">
                    <c:v>0.028</c:v>
                  </c:pt>
                  <c:pt idx="1">
                    <c:v>0.034</c:v>
                  </c:pt>
                  <c:pt idx="2">
                    <c:v>0.053</c:v>
                  </c:pt>
                  <c:pt idx="3">
                    <c:v>0.073</c:v>
                  </c:pt>
                  <c:pt idx="4">
                    <c:v>0.107</c:v>
                  </c:pt>
                  <c:pt idx="5">
                    <c:v>0.122</c:v>
                  </c:pt>
                  <c:pt idx="6">
                    <c:v>0.114</c:v>
                  </c:pt>
                  <c:pt idx="7">
                    <c:v>0.116</c:v>
                  </c:pt>
                  <c:pt idx="8">
                    <c:v>0.126</c:v>
                  </c:pt>
                  <c:pt idx="9">
                    <c:v>0.116</c:v>
                  </c:pt>
                  <c:pt idx="10">
                    <c:v>0.123</c:v>
                  </c:pt>
                  <c:pt idx="11">
                    <c:v>0.123</c:v>
                  </c:pt>
                  <c:pt idx="12">
                    <c:v>0.128</c:v>
                  </c:pt>
                  <c:pt idx="13">
                    <c:v>0.136</c:v>
                  </c:pt>
                  <c:pt idx="14">
                    <c:v>0.119</c:v>
                  </c:pt>
                  <c:pt idx="15">
                    <c:v>0.131</c:v>
                  </c:pt>
                  <c:pt idx="16">
                    <c:v>0.126</c:v>
                  </c:pt>
                  <c:pt idx="17">
                    <c:v>0.124</c:v>
                  </c:pt>
                  <c:pt idx="18">
                    <c:v>0.112</c:v>
                  </c:pt>
                  <c:pt idx="19">
                    <c:v>0.124</c:v>
                  </c:pt>
                  <c:pt idx="20">
                    <c:v>0.11</c:v>
                  </c:pt>
                  <c:pt idx="21">
                    <c:v>0.125</c:v>
                  </c:pt>
                  <c:pt idx="22">
                    <c:v>0.111</c:v>
                  </c:pt>
                  <c:pt idx="23">
                    <c:v>0.116</c:v>
                  </c:pt>
                  <c:pt idx="24">
                    <c:v>0.116</c:v>
                  </c:pt>
                </c:numCache>
              </c:numRef>
            </c:plus>
            <c:minus>
              <c:numRef>
                <c:f>'TQ-Absorption-50psi'!$O$4:$O$29</c:f>
                <c:numCache>
                  <c:formatCode>General</c:formatCode>
                  <c:ptCount val="26"/>
                  <c:pt idx="0">
                    <c:v>0.028</c:v>
                  </c:pt>
                  <c:pt idx="1">
                    <c:v>0.034</c:v>
                  </c:pt>
                  <c:pt idx="2">
                    <c:v>0.053</c:v>
                  </c:pt>
                  <c:pt idx="3">
                    <c:v>0.073</c:v>
                  </c:pt>
                  <c:pt idx="4">
                    <c:v>0.107</c:v>
                  </c:pt>
                  <c:pt idx="5">
                    <c:v>0.122</c:v>
                  </c:pt>
                  <c:pt idx="6">
                    <c:v>0.114</c:v>
                  </c:pt>
                  <c:pt idx="7">
                    <c:v>0.116</c:v>
                  </c:pt>
                  <c:pt idx="8">
                    <c:v>0.126</c:v>
                  </c:pt>
                  <c:pt idx="9">
                    <c:v>0.116</c:v>
                  </c:pt>
                  <c:pt idx="10">
                    <c:v>0.123</c:v>
                  </c:pt>
                  <c:pt idx="11">
                    <c:v>0.123</c:v>
                  </c:pt>
                  <c:pt idx="12">
                    <c:v>0.128</c:v>
                  </c:pt>
                  <c:pt idx="13">
                    <c:v>0.136</c:v>
                  </c:pt>
                  <c:pt idx="14">
                    <c:v>0.119</c:v>
                  </c:pt>
                  <c:pt idx="15">
                    <c:v>0.131</c:v>
                  </c:pt>
                  <c:pt idx="16">
                    <c:v>0.126</c:v>
                  </c:pt>
                  <c:pt idx="17">
                    <c:v>0.124</c:v>
                  </c:pt>
                  <c:pt idx="18">
                    <c:v>0.112</c:v>
                  </c:pt>
                  <c:pt idx="19">
                    <c:v>0.124</c:v>
                  </c:pt>
                  <c:pt idx="20">
                    <c:v>0.11</c:v>
                  </c:pt>
                  <c:pt idx="21">
                    <c:v>0.125</c:v>
                  </c:pt>
                  <c:pt idx="22">
                    <c:v>0.111</c:v>
                  </c:pt>
                  <c:pt idx="23">
                    <c:v>0.116</c:v>
                  </c:pt>
                  <c:pt idx="24">
                    <c:v>0.116</c:v>
                  </c:pt>
                </c:numCache>
              </c:numRef>
            </c:minus>
            <c:spPr>
              <a:ln w="12700">
                <a:solidFill>
                  <a:srgbClr val="00B050"/>
                </a:solidFill>
              </a:ln>
            </c:spPr>
          </c:errBars>
          <c:xVal>
            <c:numRef>
              <c:f>'TQ-Absorption-50psi'!$M$4:$M$34</c:f>
              <c:numCache>
                <c:formatCode>General</c:formatCode>
                <c:ptCount val="31"/>
                <c:pt idx="0">
                  <c:v>1.57</c:v>
                </c:pt>
                <c:pt idx="1">
                  <c:v>2.47</c:v>
                </c:pt>
                <c:pt idx="2">
                  <c:v>5.24</c:v>
                </c:pt>
                <c:pt idx="3">
                  <c:v>7.35</c:v>
                </c:pt>
                <c:pt idx="4">
                  <c:v>14.0</c:v>
                </c:pt>
                <c:pt idx="5">
                  <c:v>19.73999999999999</c:v>
                </c:pt>
                <c:pt idx="6">
                  <c:v>26.91</c:v>
                </c:pt>
                <c:pt idx="7">
                  <c:v>30.78</c:v>
                </c:pt>
                <c:pt idx="8">
                  <c:v>37.35</c:v>
                </c:pt>
                <c:pt idx="9">
                  <c:v>41.88</c:v>
                </c:pt>
                <c:pt idx="10">
                  <c:v>47.04</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130.24</c:v>
                </c:pt>
              </c:numCache>
            </c:numRef>
          </c:xVal>
          <c:yVal>
            <c:numRef>
              <c:f>'TQ-Absorption-50psi'!$N$4:$N$34</c:f>
              <c:numCache>
                <c:formatCode>General</c:formatCode>
                <c:ptCount val="31"/>
                <c:pt idx="0">
                  <c:v>0.134</c:v>
                </c:pt>
                <c:pt idx="1">
                  <c:v>0.1596</c:v>
                </c:pt>
                <c:pt idx="2">
                  <c:v>0.2158</c:v>
                </c:pt>
                <c:pt idx="3">
                  <c:v>0.2516</c:v>
                </c:pt>
                <c:pt idx="4">
                  <c:v>0.3112</c:v>
                </c:pt>
                <c:pt idx="5">
                  <c:v>0.3567</c:v>
                </c:pt>
                <c:pt idx="6">
                  <c:v>0.3808</c:v>
                </c:pt>
                <c:pt idx="7">
                  <c:v>0.3741</c:v>
                </c:pt>
                <c:pt idx="8">
                  <c:v>0.4124</c:v>
                </c:pt>
                <c:pt idx="9">
                  <c:v>0.4078</c:v>
                </c:pt>
                <c:pt idx="10">
                  <c:v>0.407</c:v>
                </c:pt>
                <c:pt idx="11">
                  <c:v>0.4204</c:v>
                </c:pt>
                <c:pt idx="12">
                  <c:v>0.4441</c:v>
                </c:pt>
                <c:pt idx="13">
                  <c:v>0.4934</c:v>
                </c:pt>
                <c:pt idx="14">
                  <c:v>0.5293</c:v>
                </c:pt>
                <c:pt idx="15">
                  <c:v>0.5653</c:v>
                </c:pt>
                <c:pt idx="16">
                  <c:v>0.594</c:v>
                </c:pt>
                <c:pt idx="17">
                  <c:v>0.6042</c:v>
                </c:pt>
                <c:pt idx="18">
                  <c:v>0.6305</c:v>
                </c:pt>
                <c:pt idx="19">
                  <c:v>0.6227</c:v>
                </c:pt>
                <c:pt idx="20">
                  <c:v>0.6251</c:v>
                </c:pt>
                <c:pt idx="21">
                  <c:v>0.6413</c:v>
                </c:pt>
                <c:pt idx="22">
                  <c:v>0.6515</c:v>
                </c:pt>
                <c:pt idx="23">
                  <c:v>0.6705</c:v>
                </c:pt>
                <c:pt idx="24">
                  <c:v>0.6709</c:v>
                </c:pt>
              </c:numCache>
            </c:numRef>
          </c:yVal>
          <c:smooth val="0"/>
        </c:ser>
        <c:ser>
          <c:idx val="3"/>
          <c:order val="4"/>
          <c:tx>
            <c:v>99% RH</c:v>
          </c:tx>
          <c:spPr>
            <a:ln w="28575">
              <a:noFill/>
            </a:ln>
          </c:spPr>
          <c:marker>
            <c:symbol val="circle"/>
            <c:size val="5"/>
            <c:spPr>
              <a:solidFill>
                <a:srgbClr val="7030A0">
                  <a:alpha val="50000"/>
                </a:srgbClr>
              </a:solidFill>
              <a:ln w="12700">
                <a:solidFill>
                  <a:sysClr val="windowText" lastClr="000000"/>
                </a:solidFill>
              </a:ln>
            </c:spPr>
          </c:marker>
          <c:errBars>
            <c:errDir val="y"/>
            <c:errBarType val="both"/>
            <c:errValType val="cust"/>
            <c:noEndCap val="0"/>
            <c:plus>
              <c:numRef>
                <c:f>'TQ-Absorption-50psi'!$U$4:$U$29</c:f>
                <c:numCache>
                  <c:formatCode>General</c:formatCode>
                  <c:ptCount val="26"/>
                  <c:pt idx="0">
                    <c:v>0.032</c:v>
                  </c:pt>
                  <c:pt idx="1">
                    <c:v>0.043</c:v>
                  </c:pt>
                  <c:pt idx="2">
                    <c:v>0.104</c:v>
                  </c:pt>
                  <c:pt idx="3">
                    <c:v>0.126</c:v>
                  </c:pt>
                  <c:pt idx="4">
                    <c:v>0.222</c:v>
                  </c:pt>
                  <c:pt idx="5">
                    <c:v>0.273</c:v>
                  </c:pt>
                  <c:pt idx="6">
                    <c:v>0.292</c:v>
                  </c:pt>
                  <c:pt idx="7">
                    <c:v>0.301</c:v>
                  </c:pt>
                  <c:pt idx="8">
                    <c:v>0.306</c:v>
                  </c:pt>
                  <c:pt idx="9">
                    <c:v>0.295</c:v>
                  </c:pt>
                  <c:pt idx="10">
                    <c:v>0.296</c:v>
                  </c:pt>
                  <c:pt idx="11">
                    <c:v>0.296</c:v>
                  </c:pt>
                  <c:pt idx="12">
                    <c:v>0.294</c:v>
                  </c:pt>
                  <c:pt idx="13">
                    <c:v>0.289</c:v>
                  </c:pt>
                  <c:pt idx="14">
                    <c:v>0.299</c:v>
                  </c:pt>
                  <c:pt idx="15">
                    <c:v>0.29</c:v>
                  </c:pt>
                  <c:pt idx="16">
                    <c:v>0.297</c:v>
                  </c:pt>
                  <c:pt idx="17">
                    <c:v>0.288</c:v>
                  </c:pt>
                  <c:pt idx="18">
                    <c:v>0.291</c:v>
                  </c:pt>
                  <c:pt idx="19">
                    <c:v>0.278</c:v>
                  </c:pt>
                  <c:pt idx="20">
                    <c:v>0.293</c:v>
                  </c:pt>
                  <c:pt idx="21">
                    <c:v>0.282</c:v>
                  </c:pt>
                  <c:pt idx="22">
                    <c:v>0.281</c:v>
                  </c:pt>
                  <c:pt idx="23">
                    <c:v>0.28</c:v>
                  </c:pt>
                  <c:pt idx="24">
                    <c:v>0.278</c:v>
                  </c:pt>
                </c:numCache>
              </c:numRef>
            </c:plus>
            <c:minus>
              <c:numRef>
                <c:f>'TQ-Absorption-50psi'!$U$4:$U$29</c:f>
                <c:numCache>
                  <c:formatCode>General</c:formatCode>
                  <c:ptCount val="26"/>
                  <c:pt idx="0">
                    <c:v>0.032</c:v>
                  </c:pt>
                  <c:pt idx="1">
                    <c:v>0.043</c:v>
                  </c:pt>
                  <c:pt idx="2">
                    <c:v>0.104</c:v>
                  </c:pt>
                  <c:pt idx="3">
                    <c:v>0.126</c:v>
                  </c:pt>
                  <c:pt idx="4">
                    <c:v>0.222</c:v>
                  </c:pt>
                  <c:pt idx="5">
                    <c:v>0.273</c:v>
                  </c:pt>
                  <c:pt idx="6">
                    <c:v>0.292</c:v>
                  </c:pt>
                  <c:pt idx="7">
                    <c:v>0.301</c:v>
                  </c:pt>
                  <c:pt idx="8">
                    <c:v>0.306</c:v>
                  </c:pt>
                  <c:pt idx="9">
                    <c:v>0.295</c:v>
                  </c:pt>
                  <c:pt idx="10">
                    <c:v>0.296</c:v>
                  </c:pt>
                  <c:pt idx="11">
                    <c:v>0.296</c:v>
                  </c:pt>
                  <c:pt idx="12">
                    <c:v>0.294</c:v>
                  </c:pt>
                  <c:pt idx="13">
                    <c:v>0.289</c:v>
                  </c:pt>
                  <c:pt idx="14">
                    <c:v>0.299</c:v>
                  </c:pt>
                  <c:pt idx="15">
                    <c:v>0.29</c:v>
                  </c:pt>
                  <c:pt idx="16">
                    <c:v>0.297</c:v>
                  </c:pt>
                  <c:pt idx="17">
                    <c:v>0.288</c:v>
                  </c:pt>
                  <c:pt idx="18">
                    <c:v>0.291</c:v>
                  </c:pt>
                  <c:pt idx="19">
                    <c:v>0.278</c:v>
                  </c:pt>
                  <c:pt idx="20">
                    <c:v>0.293</c:v>
                  </c:pt>
                  <c:pt idx="21">
                    <c:v>0.282</c:v>
                  </c:pt>
                  <c:pt idx="22">
                    <c:v>0.281</c:v>
                  </c:pt>
                  <c:pt idx="23">
                    <c:v>0.28</c:v>
                  </c:pt>
                  <c:pt idx="24">
                    <c:v>0.278</c:v>
                  </c:pt>
                </c:numCache>
              </c:numRef>
            </c:minus>
            <c:spPr>
              <a:ln w="12700">
                <a:solidFill>
                  <a:srgbClr val="7030A0"/>
                </a:solidFill>
              </a:ln>
            </c:spPr>
          </c:errBars>
          <c:xVal>
            <c:numRef>
              <c:f>'TQ-Absorption-50psi'!$S$4:$S$34</c:f>
              <c:numCache>
                <c:formatCode>General</c:formatCode>
                <c:ptCount val="31"/>
                <c:pt idx="0">
                  <c:v>1.6</c:v>
                </c:pt>
                <c:pt idx="1">
                  <c:v>2.5</c:v>
                </c:pt>
                <c:pt idx="2">
                  <c:v>5.26</c:v>
                </c:pt>
                <c:pt idx="3">
                  <c:v>7.359999999999998</c:v>
                </c:pt>
                <c:pt idx="4">
                  <c:v>14.01</c:v>
                </c:pt>
                <c:pt idx="5">
                  <c:v>19.73999999999999</c:v>
                </c:pt>
                <c:pt idx="6">
                  <c:v>26.92</c:v>
                </c:pt>
                <c:pt idx="7">
                  <c:v>30.78</c:v>
                </c:pt>
                <c:pt idx="8">
                  <c:v>37.35</c:v>
                </c:pt>
                <c:pt idx="9">
                  <c:v>41.88</c:v>
                </c:pt>
                <c:pt idx="10">
                  <c:v>47.04</c:v>
                </c:pt>
                <c:pt idx="11">
                  <c:v>52.07</c:v>
                </c:pt>
                <c:pt idx="12">
                  <c:v>56.53</c:v>
                </c:pt>
                <c:pt idx="13">
                  <c:v>62.38</c:v>
                </c:pt>
                <c:pt idx="14">
                  <c:v>68.78</c:v>
                </c:pt>
                <c:pt idx="15">
                  <c:v>77.64</c:v>
                </c:pt>
                <c:pt idx="16">
                  <c:v>85.28</c:v>
                </c:pt>
                <c:pt idx="17">
                  <c:v>90.74</c:v>
                </c:pt>
                <c:pt idx="18">
                  <c:v>97.25</c:v>
                </c:pt>
                <c:pt idx="19">
                  <c:v>102.06</c:v>
                </c:pt>
                <c:pt idx="20">
                  <c:v>108.22</c:v>
                </c:pt>
                <c:pt idx="21">
                  <c:v>113.95</c:v>
                </c:pt>
                <c:pt idx="22">
                  <c:v>119.39</c:v>
                </c:pt>
                <c:pt idx="23">
                  <c:v>124.42</c:v>
                </c:pt>
                <c:pt idx="24">
                  <c:v>130.25</c:v>
                </c:pt>
              </c:numCache>
            </c:numRef>
          </c:xVal>
          <c:yVal>
            <c:numRef>
              <c:f>'TQ-Absorption-50psi'!$T$4:$T$34</c:f>
              <c:numCache>
                <c:formatCode>General</c:formatCode>
                <c:ptCount val="31"/>
                <c:pt idx="0">
                  <c:v>0.1824</c:v>
                </c:pt>
                <c:pt idx="1">
                  <c:v>0.218</c:v>
                </c:pt>
                <c:pt idx="2">
                  <c:v>0.3318</c:v>
                </c:pt>
                <c:pt idx="3">
                  <c:v>0.3802</c:v>
                </c:pt>
                <c:pt idx="4">
                  <c:v>0.5388</c:v>
                </c:pt>
                <c:pt idx="5">
                  <c:v>0.6295</c:v>
                </c:pt>
                <c:pt idx="6">
                  <c:v>0.6647</c:v>
                </c:pt>
                <c:pt idx="7">
                  <c:v>0.6658</c:v>
                </c:pt>
                <c:pt idx="8">
                  <c:v>0.7142</c:v>
                </c:pt>
                <c:pt idx="9">
                  <c:v>0.7184</c:v>
                </c:pt>
                <c:pt idx="10">
                  <c:v>0.7344</c:v>
                </c:pt>
                <c:pt idx="11">
                  <c:v>0.7448</c:v>
                </c:pt>
                <c:pt idx="12">
                  <c:v>0.7579</c:v>
                </c:pt>
                <c:pt idx="13">
                  <c:v>0.7841</c:v>
                </c:pt>
                <c:pt idx="14">
                  <c:v>0.8205</c:v>
                </c:pt>
                <c:pt idx="15">
                  <c:v>0.8573</c:v>
                </c:pt>
                <c:pt idx="16">
                  <c:v>0.9076</c:v>
                </c:pt>
                <c:pt idx="17">
                  <c:v>0.918</c:v>
                </c:pt>
                <c:pt idx="18">
                  <c:v>0.9268</c:v>
                </c:pt>
                <c:pt idx="19">
                  <c:v>0.9346</c:v>
                </c:pt>
                <c:pt idx="20">
                  <c:v>0.9283</c:v>
                </c:pt>
                <c:pt idx="21">
                  <c:v>0.9587</c:v>
                </c:pt>
                <c:pt idx="22">
                  <c:v>0.9676</c:v>
                </c:pt>
                <c:pt idx="23">
                  <c:v>0.9506</c:v>
                </c:pt>
                <c:pt idx="24">
                  <c:v>0.985</c:v>
                </c:pt>
              </c:numCache>
            </c:numRef>
          </c:yVal>
          <c:smooth val="0"/>
        </c:ser>
        <c:ser>
          <c:idx val="9"/>
          <c:order val="5"/>
          <c:spPr>
            <a:ln w="12700">
              <a:solidFill>
                <a:sysClr val="windowText" lastClr="000000"/>
              </a:solidFill>
              <a:prstDash val="lgDash"/>
            </a:ln>
          </c:spPr>
          <c:marker>
            <c:symbol val="none"/>
          </c:marker>
          <c:dPt>
            <c:idx val="1"/>
            <c:bubble3D val="0"/>
            <c:spPr>
              <a:ln w="12700">
                <a:solidFill>
                  <a:schemeClr val="bg1">
                    <a:lumMod val="50000"/>
                  </a:schemeClr>
                </a:solidFill>
                <a:prstDash val="lgDash"/>
              </a:ln>
            </c:spPr>
          </c:dPt>
          <c:xVal>
            <c:numRef>
              <c:f>('BMI-Absorption-10psi'!$D$51,'BMI-Absorption-10psi'!$D$51)</c:f>
              <c:numCache>
                <c:formatCode>General</c:formatCode>
                <c:ptCount val="2"/>
                <c:pt idx="0">
                  <c:v>132.363</c:v>
                </c:pt>
                <c:pt idx="1">
                  <c:v>132.363</c:v>
                </c:pt>
              </c:numCache>
            </c:numRef>
          </c:xVal>
          <c:yVal>
            <c:numLit>
              <c:formatCode>General</c:formatCode>
              <c:ptCount val="2"/>
              <c:pt idx="0">
                <c:v>0.0</c:v>
              </c:pt>
              <c:pt idx="1">
                <c:v>12.0</c:v>
              </c:pt>
            </c:numLit>
          </c:yVal>
          <c:smooth val="0"/>
        </c:ser>
        <c:dLbls>
          <c:showLegendKey val="0"/>
          <c:showVal val="0"/>
          <c:showCatName val="0"/>
          <c:showSerName val="0"/>
          <c:showPercent val="0"/>
          <c:showBubbleSize val="0"/>
        </c:dLbls>
        <c:axId val="424314264"/>
        <c:axId val="424320216"/>
      </c:scatterChart>
      <c:valAx>
        <c:axId val="424314264"/>
        <c:scaling>
          <c:orientation val="minMax"/>
          <c:max val="15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424320216"/>
        <c:crosses val="autoZero"/>
        <c:crossBetween val="midCat"/>
        <c:minorUnit val="12.5"/>
      </c:valAx>
      <c:valAx>
        <c:axId val="424320216"/>
        <c:scaling>
          <c:orientation val="minMax"/>
          <c:max val="3.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424314264"/>
        <c:crosses val="autoZero"/>
        <c:crossBetween val="midCat"/>
        <c:majorUnit val="1.0"/>
        <c:minorUnit val="0.25"/>
      </c:valAx>
      <c:spPr>
        <a:ln w="19050">
          <a:solidFill>
            <a:sysClr val="windowText" lastClr="000000"/>
          </a:solidFill>
        </a:ln>
      </c:spPr>
    </c:plotArea>
    <c:legend>
      <c:legendPos val="r"/>
      <c:legendEntry>
        <c:idx val="0"/>
        <c:delete val="1"/>
      </c:legendEntry>
      <c:legendEntry>
        <c:idx val="5"/>
        <c:delete val="1"/>
      </c:legendEntry>
      <c:layout>
        <c:manualLayout>
          <c:xMode val="edge"/>
          <c:yMode val="edge"/>
          <c:x val="0.181761874863033"/>
          <c:y val="0.0958137954880468"/>
          <c:w val="0.235230659726856"/>
          <c:h val="0.198320209973753"/>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4309458480601"/>
          <c:y val="0.0333333333333333"/>
          <c:w val="0.75997228425077"/>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circle"/>
            <c:size val="5"/>
            <c:spPr>
              <a:solidFill>
                <a:srgbClr val="0070C0">
                  <a:alpha val="50000"/>
                </a:srgbClr>
              </a:solidFill>
              <a:ln w="12700">
                <a:solidFill>
                  <a:schemeClr val="tx1"/>
                </a:solidFill>
              </a:ln>
            </c:spPr>
          </c:marker>
          <c:errBars>
            <c:errDir val="y"/>
            <c:errBarType val="both"/>
            <c:errValType val="cust"/>
            <c:noEndCap val="0"/>
            <c:plus>
              <c:numRef>
                <c:f>'TQ-Absorption-70psi'!$C$4:$C$29</c:f>
                <c:numCache>
                  <c:formatCode>General</c:formatCode>
                  <c:ptCount val="26"/>
                  <c:pt idx="0">
                    <c:v>0.009</c:v>
                  </c:pt>
                  <c:pt idx="1">
                    <c:v>0.01</c:v>
                  </c:pt>
                  <c:pt idx="2">
                    <c:v>0.012</c:v>
                  </c:pt>
                  <c:pt idx="3">
                    <c:v>0.017</c:v>
                  </c:pt>
                  <c:pt idx="4">
                    <c:v>0.02</c:v>
                  </c:pt>
                  <c:pt idx="5">
                    <c:v>0.026</c:v>
                  </c:pt>
                  <c:pt idx="6">
                    <c:v>0.029</c:v>
                  </c:pt>
                  <c:pt idx="7">
                    <c:v>0.028</c:v>
                  </c:pt>
                  <c:pt idx="8">
                    <c:v>0.034</c:v>
                  </c:pt>
                  <c:pt idx="9">
                    <c:v>0.029</c:v>
                  </c:pt>
                  <c:pt idx="10">
                    <c:v>0.028</c:v>
                  </c:pt>
                  <c:pt idx="11">
                    <c:v>0.031</c:v>
                  </c:pt>
                  <c:pt idx="12">
                    <c:v>0.034</c:v>
                  </c:pt>
                  <c:pt idx="13">
                    <c:v>0.033</c:v>
                  </c:pt>
                  <c:pt idx="14">
                    <c:v>0.039</c:v>
                  </c:pt>
                  <c:pt idx="15">
                    <c:v>0.038</c:v>
                  </c:pt>
                  <c:pt idx="16">
                    <c:v>0.041</c:v>
                  </c:pt>
                  <c:pt idx="17">
                    <c:v>0.029</c:v>
                  </c:pt>
                  <c:pt idx="18">
                    <c:v>0.034</c:v>
                  </c:pt>
                  <c:pt idx="19">
                    <c:v>0.032</c:v>
                  </c:pt>
                  <c:pt idx="20">
                    <c:v>0.034</c:v>
                  </c:pt>
                  <c:pt idx="21">
                    <c:v>0.031</c:v>
                  </c:pt>
                  <c:pt idx="22">
                    <c:v>0.044</c:v>
                  </c:pt>
                  <c:pt idx="23">
                    <c:v>0.032</c:v>
                  </c:pt>
                  <c:pt idx="24">
                    <c:v>0.038</c:v>
                  </c:pt>
                </c:numCache>
              </c:numRef>
            </c:plus>
            <c:minus>
              <c:numRef>
                <c:f>'TQ-Absorption-70psi'!$C$4:$C$29</c:f>
                <c:numCache>
                  <c:formatCode>General</c:formatCode>
                  <c:ptCount val="26"/>
                  <c:pt idx="0">
                    <c:v>0.009</c:v>
                  </c:pt>
                  <c:pt idx="1">
                    <c:v>0.01</c:v>
                  </c:pt>
                  <c:pt idx="2">
                    <c:v>0.012</c:v>
                  </c:pt>
                  <c:pt idx="3">
                    <c:v>0.017</c:v>
                  </c:pt>
                  <c:pt idx="4">
                    <c:v>0.02</c:v>
                  </c:pt>
                  <c:pt idx="5">
                    <c:v>0.026</c:v>
                  </c:pt>
                  <c:pt idx="6">
                    <c:v>0.029</c:v>
                  </c:pt>
                  <c:pt idx="7">
                    <c:v>0.028</c:v>
                  </c:pt>
                  <c:pt idx="8">
                    <c:v>0.034</c:v>
                  </c:pt>
                  <c:pt idx="9">
                    <c:v>0.029</c:v>
                  </c:pt>
                  <c:pt idx="10">
                    <c:v>0.028</c:v>
                  </c:pt>
                  <c:pt idx="11">
                    <c:v>0.031</c:v>
                  </c:pt>
                  <c:pt idx="12">
                    <c:v>0.034</c:v>
                  </c:pt>
                  <c:pt idx="13">
                    <c:v>0.033</c:v>
                  </c:pt>
                  <c:pt idx="14">
                    <c:v>0.039</c:v>
                  </c:pt>
                  <c:pt idx="15">
                    <c:v>0.038</c:v>
                  </c:pt>
                  <c:pt idx="16">
                    <c:v>0.041</c:v>
                  </c:pt>
                  <c:pt idx="17">
                    <c:v>0.029</c:v>
                  </c:pt>
                  <c:pt idx="18">
                    <c:v>0.034</c:v>
                  </c:pt>
                  <c:pt idx="19">
                    <c:v>0.032</c:v>
                  </c:pt>
                  <c:pt idx="20">
                    <c:v>0.034</c:v>
                  </c:pt>
                  <c:pt idx="21">
                    <c:v>0.031</c:v>
                  </c:pt>
                  <c:pt idx="22">
                    <c:v>0.044</c:v>
                  </c:pt>
                  <c:pt idx="23">
                    <c:v>0.032</c:v>
                  </c:pt>
                  <c:pt idx="24">
                    <c:v>0.038</c:v>
                  </c:pt>
                </c:numCache>
              </c:numRef>
            </c:minus>
            <c:spPr>
              <a:ln w="12700">
                <a:solidFill>
                  <a:srgbClr val="0070C0"/>
                </a:solidFill>
              </a:ln>
            </c:spPr>
          </c:errBars>
          <c:xVal>
            <c:numRef>
              <c:f>'TQ-Absorption-70psi'!$A$4:$A$34</c:f>
              <c:numCache>
                <c:formatCode>General</c:formatCode>
                <c:ptCount val="31"/>
                <c:pt idx="0">
                  <c:v>1.49</c:v>
                </c:pt>
                <c:pt idx="1">
                  <c:v>2.44</c:v>
                </c:pt>
                <c:pt idx="2">
                  <c:v>5.26</c:v>
                </c:pt>
                <c:pt idx="3">
                  <c:v>7.33</c:v>
                </c:pt>
                <c:pt idx="4">
                  <c:v>14.0</c:v>
                </c:pt>
                <c:pt idx="5">
                  <c:v>19.73</c:v>
                </c:pt>
                <c:pt idx="6">
                  <c:v>26.91</c:v>
                </c:pt>
                <c:pt idx="7">
                  <c:v>30.77</c:v>
                </c:pt>
                <c:pt idx="8">
                  <c:v>37.35</c:v>
                </c:pt>
                <c:pt idx="9">
                  <c:v>41.88</c:v>
                </c:pt>
                <c:pt idx="10">
                  <c:v>47.03</c:v>
                </c:pt>
                <c:pt idx="11">
                  <c:v>52.07</c:v>
                </c:pt>
                <c:pt idx="12">
                  <c:v>56.52</c:v>
                </c:pt>
                <c:pt idx="13">
                  <c:v>62.38</c:v>
                </c:pt>
                <c:pt idx="14">
                  <c:v>68.77</c:v>
                </c:pt>
                <c:pt idx="15">
                  <c:v>77.63</c:v>
                </c:pt>
                <c:pt idx="16">
                  <c:v>85.28</c:v>
                </c:pt>
                <c:pt idx="17">
                  <c:v>90.74</c:v>
                </c:pt>
                <c:pt idx="18">
                  <c:v>97.25</c:v>
                </c:pt>
                <c:pt idx="19">
                  <c:v>102.06</c:v>
                </c:pt>
                <c:pt idx="20">
                  <c:v>108.22</c:v>
                </c:pt>
                <c:pt idx="21">
                  <c:v>113.94</c:v>
                </c:pt>
                <c:pt idx="22">
                  <c:v>119.38</c:v>
                </c:pt>
                <c:pt idx="23">
                  <c:v>124.42</c:v>
                </c:pt>
                <c:pt idx="24">
                  <c:v>130.24</c:v>
                </c:pt>
              </c:numCache>
            </c:numRef>
          </c:xVal>
          <c:yVal>
            <c:numRef>
              <c:f>'TQ-Absorption-70psi'!$B$4:$B$34</c:f>
              <c:numCache>
                <c:formatCode>General</c:formatCode>
                <c:ptCount val="31"/>
                <c:pt idx="0">
                  <c:v>0.0582</c:v>
                </c:pt>
                <c:pt idx="1">
                  <c:v>0.0651</c:v>
                </c:pt>
                <c:pt idx="2">
                  <c:v>0.0757</c:v>
                </c:pt>
                <c:pt idx="3">
                  <c:v>0.0789</c:v>
                </c:pt>
                <c:pt idx="4">
                  <c:v>0.0969</c:v>
                </c:pt>
                <c:pt idx="5">
                  <c:v>0.1111</c:v>
                </c:pt>
                <c:pt idx="6">
                  <c:v>0.1322</c:v>
                </c:pt>
                <c:pt idx="7">
                  <c:v>0.1386</c:v>
                </c:pt>
                <c:pt idx="8">
                  <c:v>0.1518</c:v>
                </c:pt>
                <c:pt idx="9">
                  <c:v>0.1651</c:v>
                </c:pt>
                <c:pt idx="10">
                  <c:v>0.1614</c:v>
                </c:pt>
                <c:pt idx="11">
                  <c:v>0.1687</c:v>
                </c:pt>
                <c:pt idx="12">
                  <c:v>0.1974</c:v>
                </c:pt>
                <c:pt idx="13">
                  <c:v>0.218</c:v>
                </c:pt>
                <c:pt idx="14">
                  <c:v>0.2612</c:v>
                </c:pt>
                <c:pt idx="15">
                  <c:v>0.2878</c:v>
                </c:pt>
                <c:pt idx="16">
                  <c:v>0.3067</c:v>
                </c:pt>
                <c:pt idx="17">
                  <c:v>0.3195</c:v>
                </c:pt>
                <c:pt idx="18">
                  <c:v>0.3219</c:v>
                </c:pt>
                <c:pt idx="19">
                  <c:v>0.3412</c:v>
                </c:pt>
                <c:pt idx="20">
                  <c:v>0.3463</c:v>
                </c:pt>
                <c:pt idx="21">
                  <c:v>0.3765</c:v>
                </c:pt>
                <c:pt idx="22">
                  <c:v>0.362</c:v>
                </c:pt>
                <c:pt idx="23">
                  <c:v>0.3681</c:v>
                </c:pt>
                <c:pt idx="24">
                  <c:v>0.3761</c:v>
                </c:pt>
              </c:numCache>
            </c:numRef>
          </c:yVal>
          <c:smooth val="0"/>
        </c:ser>
        <c:ser>
          <c:idx val="1"/>
          <c:order val="2"/>
          <c:tx>
            <c:v>40% RH</c:v>
          </c:tx>
          <c:spPr>
            <a:ln w="28575">
              <a:noFill/>
            </a:ln>
          </c:spPr>
          <c:marker>
            <c:symbol val="circle"/>
            <c:size val="5"/>
            <c:spPr>
              <a:solidFill>
                <a:srgbClr val="C00000">
                  <a:alpha val="50000"/>
                </a:srgbClr>
              </a:solidFill>
              <a:ln w="12700">
                <a:solidFill>
                  <a:sysClr val="windowText" lastClr="000000"/>
                </a:solidFill>
              </a:ln>
            </c:spPr>
          </c:marker>
          <c:errBars>
            <c:errDir val="y"/>
            <c:errBarType val="both"/>
            <c:errValType val="cust"/>
            <c:noEndCap val="0"/>
            <c:plus>
              <c:numRef>
                <c:f>'TQ-Absorption-70psi'!$I$4:$I$29</c:f>
                <c:numCache>
                  <c:formatCode>General</c:formatCode>
                  <c:ptCount val="26"/>
                  <c:pt idx="0">
                    <c:v>0.017</c:v>
                  </c:pt>
                  <c:pt idx="1">
                    <c:v>0.018</c:v>
                  </c:pt>
                  <c:pt idx="2">
                    <c:v>0.032</c:v>
                  </c:pt>
                  <c:pt idx="3">
                    <c:v>0.039</c:v>
                  </c:pt>
                  <c:pt idx="4">
                    <c:v>0.046</c:v>
                  </c:pt>
                  <c:pt idx="5">
                    <c:v>0.041</c:v>
                  </c:pt>
                  <c:pt idx="6">
                    <c:v>0.047</c:v>
                  </c:pt>
                  <c:pt idx="7">
                    <c:v>0.056</c:v>
                  </c:pt>
                  <c:pt idx="8">
                    <c:v>0.062</c:v>
                  </c:pt>
                  <c:pt idx="9">
                    <c:v>0.045</c:v>
                  </c:pt>
                  <c:pt idx="10">
                    <c:v>0.059</c:v>
                  </c:pt>
                  <c:pt idx="11">
                    <c:v>0.064</c:v>
                  </c:pt>
                  <c:pt idx="12">
                    <c:v>0.057</c:v>
                  </c:pt>
                  <c:pt idx="13">
                    <c:v>0.054</c:v>
                  </c:pt>
                  <c:pt idx="14">
                    <c:v>0.068</c:v>
                  </c:pt>
                  <c:pt idx="15">
                    <c:v>0.05</c:v>
                  </c:pt>
                  <c:pt idx="16">
                    <c:v>0.062</c:v>
                  </c:pt>
                  <c:pt idx="17">
                    <c:v>0.058</c:v>
                  </c:pt>
                  <c:pt idx="18">
                    <c:v>0.046</c:v>
                  </c:pt>
                  <c:pt idx="19">
                    <c:v>0.052</c:v>
                  </c:pt>
                  <c:pt idx="20">
                    <c:v>0.044</c:v>
                  </c:pt>
                  <c:pt idx="21">
                    <c:v>0.042</c:v>
                  </c:pt>
                  <c:pt idx="22">
                    <c:v>0.051</c:v>
                  </c:pt>
                  <c:pt idx="23">
                    <c:v>0.049</c:v>
                  </c:pt>
                  <c:pt idx="24">
                    <c:v>0.053</c:v>
                  </c:pt>
                </c:numCache>
              </c:numRef>
            </c:plus>
            <c:minus>
              <c:numRef>
                <c:f>'TQ-Absorption-70psi'!$I$4:$I$29</c:f>
                <c:numCache>
                  <c:formatCode>General</c:formatCode>
                  <c:ptCount val="26"/>
                  <c:pt idx="0">
                    <c:v>0.017</c:v>
                  </c:pt>
                  <c:pt idx="1">
                    <c:v>0.018</c:v>
                  </c:pt>
                  <c:pt idx="2">
                    <c:v>0.032</c:v>
                  </c:pt>
                  <c:pt idx="3">
                    <c:v>0.039</c:v>
                  </c:pt>
                  <c:pt idx="4">
                    <c:v>0.046</c:v>
                  </c:pt>
                  <c:pt idx="5">
                    <c:v>0.041</c:v>
                  </c:pt>
                  <c:pt idx="6">
                    <c:v>0.047</c:v>
                  </c:pt>
                  <c:pt idx="7">
                    <c:v>0.056</c:v>
                  </c:pt>
                  <c:pt idx="8">
                    <c:v>0.062</c:v>
                  </c:pt>
                  <c:pt idx="9">
                    <c:v>0.045</c:v>
                  </c:pt>
                  <c:pt idx="10">
                    <c:v>0.059</c:v>
                  </c:pt>
                  <c:pt idx="11">
                    <c:v>0.064</c:v>
                  </c:pt>
                  <c:pt idx="12">
                    <c:v>0.057</c:v>
                  </c:pt>
                  <c:pt idx="13">
                    <c:v>0.054</c:v>
                  </c:pt>
                  <c:pt idx="14">
                    <c:v>0.068</c:v>
                  </c:pt>
                  <c:pt idx="15">
                    <c:v>0.05</c:v>
                  </c:pt>
                  <c:pt idx="16">
                    <c:v>0.062</c:v>
                  </c:pt>
                  <c:pt idx="17">
                    <c:v>0.058</c:v>
                  </c:pt>
                  <c:pt idx="18">
                    <c:v>0.046</c:v>
                  </c:pt>
                  <c:pt idx="19">
                    <c:v>0.052</c:v>
                  </c:pt>
                  <c:pt idx="20">
                    <c:v>0.044</c:v>
                  </c:pt>
                  <c:pt idx="21">
                    <c:v>0.042</c:v>
                  </c:pt>
                  <c:pt idx="22">
                    <c:v>0.051</c:v>
                  </c:pt>
                  <c:pt idx="23">
                    <c:v>0.049</c:v>
                  </c:pt>
                  <c:pt idx="24">
                    <c:v>0.053</c:v>
                  </c:pt>
                </c:numCache>
              </c:numRef>
            </c:minus>
            <c:spPr>
              <a:ln w="12700">
                <a:solidFill>
                  <a:srgbClr val="C00000"/>
                </a:solidFill>
              </a:ln>
            </c:spPr>
          </c:errBars>
          <c:xVal>
            <c:numRef>
              <c:f>'TQ-Absorption-70psi'!$G$4:$G$34</c:f>
              <c:numCache>
                <c:formatCode>General</c:formatCode>
                <c:ptCount val="31"/>
                <c:pt idx="0">
                  <c:v>1.53</c:v>
                </c:pt>
                <c:pt idx="1">
                  <c:v>2.48</c:v>
                </c:pt>
                <c:pt idx="2">
                  <c:v>5.28</c:v>
                </c:pt>
                <c:pt idx="3">
                  <c:v>7.35</c:v>
                </c:pt>
                <c:pt idx="4">
                  <c:v>14.0</c:v>
                </c:pt>
                <c:pt idx="5">
                  <c:v>19.73999999999999</c:v>
                </c:pt>
                <c:pt idx="6">
                  <c:v>26.92</c:v>
                </c:pt>
                <c:pt idx="7">
                  <c:v>30.78</c:v>
                </c:pt>
                <c:pt idx="8">
                  <c:v>37.35</c:v>
                </c:pt>
                <c:pt idx="9">
                  <c:v>41.88</c:v>
                </c:pt>
                <c:pt idx="10">
                  <c:v>47.04</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130.24</c:v>
                </c:pt>
              </c:numCache>
            </c:numRef>
          </c:xVal>
          <c:yVal>
            <c:numRef>
              <c:f>'TQ-Absorption-70psi'!$H$4:$H$34</c:f>
              <c:numCache>
                <c:formatCode>General</c:formatCode>
                <c:ptCount val="31"/>
                <c:pt idx="0">
                  <c:v>0.0927</c:v>
                </c:pt>
                <c:pt idx="1">
                  <c:v>0.102</c:v>
                </c:pt>
                <c:pt idx="2">
                  <c:v>0.1409</c:v>
                </c:pt>
                <c:pt idx="3">
                  <c:v>0.161</c:v>
                </c:pt>
                <c:pt idx="4">
                  <c:v>0.1873</c:v>
                </c:pt>
                <c:pt idx="5">
                  <c:v>0.2009</c:v>
                </c:pt>
                <c:pt idx="6">
                  <c:v>0.2336</c:v>
                </c:pt>
                <c:pt idx="7">
                  <c:v>0.2419</c:v>
                </c:pt>
                <c:pt idx="8">
                  <c:v>0.2627</c:v>
                </c:pt>
                <c:pt idx="9">
                  <c:v>0.2717</c:v>
                </c:pt>
                <c:pt idx="10">
                  <c:v>0.2664</c:v>
                </c:pt>
                <c:pt idx="11">
                  <c:v>0.2752</c:v>
                </c:pt>
                <c:pt idx="12">
                  <c:v>0.2969</c:v>
                </c:pt>
                <c:pt idx="13">
                  <c:v>0.3198</c:v>
                </c:pt>
                <c:pt idx="14">
                  <c:v>0.3734</c:v>
                </c:pt>
                <c:pt idx="15">
                  <c:v>0.3911</c:v>
                </c:pt>
                <c:pt idx="16">
                  <c:v>0.4349</c:v>
                </c:pt>
                <c:pt idx="17">
                  <c:v>0.4451</c:v>
                </c:pt>
                <c:pt idx="18">
                  <c:v>0.4615</c:v>
                </c:pt>
                <c:pt idx="19">
                  <c:v>0.4647</c:v>
                </c:pt>
                <c:pt idx="20">
                  <c:v>0.4707</c:v>
                </c:pt>
                <c:pt idx="21">
                  <c:v>0.4952</c:v>
                </c:pt>
                <c:pt idx="22">
                  <c:v>0.5071</c:v>
                </c:pt>
                <c:pt idx="23">
                  <c:v>0.5001</c:v>
                </c:pt>
                <c:pt idx="24">
                  <c:v>0.5193</c:v>
                </c:pt>
              </c:numCache>
            </c:numRef>
          </c:yVal>
          <c:smooth val="0"/>
        </c:ser>
        <c:ser>
          <c:idx val="2"/>
          <c:order val="3"/>
          <c:tx>
            <c:v>70% RH</c:v>
          </c:tx>
          <c:spPr>
            <a:ln w="28575">
              <a:noFill/>
            </a:ln>
          </c:spPr>
          <c:marker>
            <c:symbol val="circle"/>
            <c:size val="5"/>
            <c:spPr>
              <a:solidFill>
                <a:srgbClr val="00B050">
                  <a:alpha val="50000"/>
                </a:srgbClr>
              </a:solidFill>
              <a:ln w="12700">
                <a:solidFill>
                  <a:sysClr val="windowText" lastClr="000000"/>
                </a:solidFill>
              </a:ln>
            </c:spPr>
          </c:marker>
          <c:errBars>
            <c:errDir val="y"/>
            <c:errBarType val="both"/>
            <c:errValType val="cust"/>
            <c:noEndCap val="0"/>
            <c:plus>
              <c:numRef>
                <c:f>'TQ-Absorption-70psi'!$O$4:$O$29</c:f>
                <c:numCache>
                  <c:formatCode>General</c:formatCode>
                  <c:ptCount val="26"/>
                  <c:pt idx="0">
                    <c:v>0.028</c:v>
                  </c:pt>
                  <c:pt idx="1">
                    <c:v>0.037</c:v>
                  </c:pt>
                  <c:pt idx="2">
                    <c:v>0.061</c:v>
                  </c:pt>
                  <c:pt idx="3">
                    <c:v>0.089</c:v>
                  </c:pt>
                  <c:pt idx="4">
                    <c:v>0.128</c:v>
                  </c:pt>
                  <c:pt idx="5">
                    <c:v>0.143</c:v>
                  </c:pt>
                  <c:pt idx="6">
                    <c:v>0.14</c:v>
                  </c:pt>
                  <c:pt idx="7">
                    <c:v>0.14</c:v>
                  </c:pt>
                  <c:pt idx="8">
                    <c:v>0.156</c:v>
                  </c:pt>
                  <c:pt idx="9">
                    <c:v>0.152</c:v>
                  </c:pt>
                  <c:pt idx="10">
                    <c:v>0.155</c:v>
                  </c:pt>
                  <c:pt idx="11">
                    <c:v>0.148</c:v>
                  </c:pt>
                  <c:pt idx="12">
                    <c:v>0.158</c:v>
                  </c:pt>
                  <c:pt idx="13">
                    <c:v>0.148</c:v>
                  </c:pt>
                  <c:pt idx="14">
                    <c:v>0.148</c:v>
                  </c:pt>
                  <c:pt idx="15">
                    <c:v>0.143</c:v>
                  </c:pt>
                  <c:pt idx="16">
                    <c:v>0.14</c:v>
                  </c:pt>
                  <c:pt idx="17">
                    <c:v>0.137</c:v>
                  </c:pt>
                  <c:pt idx="18">
                    <c:v>0.142</c:v>
                  </c:pt>
                  <c:pt idx="19">
                    <c:v>0.139</c:v>
                  </c:pt>
                  <c:pt idx="20">
                    <c:v>0.124</c:v>
                  </c:pt>
                  <c:pt idx="21">
                    <c:v>0.145</c:v>
                  </c:pt>
                  <c:pt idx="22">
                    <c:v>0.124</c:v>
                  </c:pt>
                  <c:pt idx="23">
                    <c:v>0.14</c:v>
                  </c:pt>
                  <c:pt idx="24">
                    <c:v>0.155</c:v>
                  </c:pt>
                </c:numCache>
              </c:numRef>
            </c:plus>
            <c:minus>
              <c:numRef>
                <c:f>'TQ-Absorption-70psi'!$O$4:$O$29</c:f>
                <c:numCache>
                  <c:formatCode>General</c:formatCode>
                  <c:ptCount val="26"/>
                  <c:pt idx="0">
                    <c:v>0.028</c:v>
                  </c:pt>
                  <c:pt idx="1">
                    <c:v>0.037</c:v>
                  </c:pt>
                  <c:pt idx="2">
                    <c:v>0.061</c:v>
                  </c:pt>
                  <c:pt idx="3">
                    <c:v>0.089</c:v>
                  </c:pt>
                  <c:pt idx="4">
                    <c:v>0.128</c:v>
                  </c:pt>
                  <c:pt idx="5">
                    <c:v>0.143</c:v>
                  </c:pt>
                  <c:pt idx="6">
                    <c:v>0.14</c:v>
                  </c:pt>
                  <c:pt idx="7">
                    <c:v>0.14</c:v>
                  </c:pt>
                  <c:pt idx="8">
                    <c:v>0.156</c:v>
                  </c:pt>
                  <c:pt idx="9">
                    <c:v>0.152</c:v>
                  </c:pt>
                  <c:pt idx="10">
                    <c:v>0.155</c:v>
                  </c:pt>
                  <c:pt idx="11">
                    <c:v>0.148</c:v>
                  </c:pt>
                  <c:pt idx="12">
                    <c:v>0.158</c:v>
                  </c:pt>
                  <c:pt idx="13">
                    <c:v>0.148</c:v>
                  </c:pt>
                  <c:pt idx="14">
                    <c:v>0.148</c:v>
                  </c:pt>
                  <c:pt idx="15">
                    <c:v>0.143</c:v>
                  </c:pt>
                  <c:pt idx="16">
                    <c:v>0.14</c:v>
                  </c:pt>
                  <c:pt idx="17">
                    <c:v>0.137</c:v>
                  </c:pt>
                  <c:pt idx="18">
                    <c:v>0.142</c:v>
                  </c:pt>
                  <c:pt idx="19">
                    <c:v>0.139</c:v>
                  </c:pt>
                  <c:pt idx="20">
                    <c:v>0.124</c:v>
                  </c:pt>
                  <c:pt idx="21">
                    <c:v>0.145</c:v>
                  </c:pt>
                  <c:pt idx="22">
                    <c:v>0.124</c:v>
                  </c:pt>
                  <c:pt idx="23">
                    <c:v>0.14</c:v>
                  </c:pt>
                  <c:pt idx="24">
                    <c:v>0.155</c:v>
                  </c:pt>
                </c:numCache>
              </c:numRef>
            </c:minus>
            <c:spPr>
              <a:ln w="12700">
                <a:solidFill>
                  <a:srgbClr val="00B050"/>
                </a:solidFill>
              </a:ln>
            </c:spPr>
          </c:errBars>
          <c:xVal>
            <c:numRef>
              <c:f>'TQ-Absorption-70psi'!$M$4:$M$34</c:f>
              <c:numCache>
                <c:formatCode>General</c:formatCode>
                <c:ptCount val="31"/>
                <c:pt idx="0">
                  <c:v>1.57</c:v>
                </c:pt>
                <c:pt idx="1">
                  <c:v>2.5</c:v>
                </c:pt>
                <c:pt idx="2">
                  <c:v>5.29</c:v>
                </c:pt>
                <c:pt idx="3">
                  <c:v>7.359999999999998</c:v>
                </c:pt>
                <c:pt idx="4">
                  <c:v>14.02</c:v>
                </c:pt>
                <c:pt idx="5">
                  <c:v>19.73999999999999</c:v>
                </c:pt>
                <c:pt idx="6">
                  <c:v>26.92</c:v>
                </c:pt>
                <c:pt idx="7">
                  <c:v>30.78</c:v>
                </c:pt>
                <c:pt idx="8">
                  <c:v>37.35</c:v>
                </c:pt>
                <c:pt idx="9">
                  <c:v>41.88</c:v>
                </c:pt>
                <c:pt idx="10">
                  <c:v>47.04</c:v>
                </c:pt>
                <c:pt idx="11">
                  <c:v>52.07</c:v>
                </c:pt>
                <c:pt idx="12">
                  <c:v>56.52</c:v>
                </c:pt>
                <c:pt idx="13">
                  <c:v>62.38</c:v>
                </c:pt>
                <c:pt idx="14">
                  <c:v>68.78</c:v>
                </c:pt>
                <c:pt idx="15">
                  <c:v>77.64</c:v>
                </c:pt>
                <c:pt idx="16">
                  <c:v>85.28</c:v>
                </c:pt>
                <c:pt idx="17">
                  <c:v>90.74</c:v>
                </c:pt>
                <c:pt idx="18">
                  <c:v>97.25</c:v>
                </c:pt>
                <c:pt idx="19">
                  <c:v>102.06</c:v>
                </c:pt>
                <c:pt idx="20">
                  <c:v>108.22</c:v>
                </c:pt>
                <c:pt idx="21">
                  <c:v>113.95</c:v>
                </c:pt>
                <c:pt idx="22">
                  <c:v>119.38</c:v>
                </c:pt>
                <c:pt idx="23">
                  <c:v>124.42</c:v>
                </c:pt>
                <c:pt idx="24">
                  <c:v>130.25</c:v>
                </c:pt>
              </c:numCache>
            </c:numRef>
          </c:xVal>
          <c:yVal>
            <c:numRef>
              <c:f>'TQ-Absorption-70psi'!$N$4:$N$34</c:f>
              <c:numCache>
                <c:formatCode>General</c:formatCode>
                <c:ptCount val="31"/>
                <c:pt idx="0">
                  <c:v>0.1254</c:v>
                </c:pt>
                <c:pt idx="1">
                  <c:v>0.1535</c:v>
                </c:pt>
                <c:pt idx="2">
                  <c:v>0.2177</c:v>
                </c:pt>
                <c:pt idx="3">
                  <c:v>0.2461</c:v>
                </c:pt>
                <c:pt idx="4">
                  <c:v>0.3069</c:v>
                </c:pt>
                <c:pt idx="5">
                  <c:v>0.347</c:v>
                </c:pt>
                <c:pt idx="6">
                  <c:v>0.3608</c:v>
                </c:pt>
                <c:pt idx="7">
                  <c:v>0.3619</c:v>
                </c:pt>
                <c:pt idx="8">
                  <c:v>0.4092</c:v>
                </c:pt>
                <c:pt idx="9">
                  <c:v>0.4152</c:v>
                </c:pt>
                <c:pt idx="10">
                  <c:v>0.4196</c:v>
                </c:pt>
                <c:pt idx="11">
                  <c:v>0.4318</c:v>
                </c:pt>
                <c:pt idx="12">
                  <c:v>0.4747</c:v>
                </c:pt>
                <c:pt idx="13">
                  <c:v>0.4709</c:v>
                </c:pt>
                <c:pt idx="14">
                  <c:v>0.499</c:v>
                </c:pt>
                <c:pt idx="15">
                  <c:v>0.5315</c:v>
                </c:pt>
                <c:pt idx="16">
                  <c:v>0.5426</c:v>
                </c:pt>
                <c:pt idx="17">
                  <c:v>0.5629</c:v>
                </c:pt>
                <c:pt idx="18">
                  <c:v>0.5711</c:v>
                </c:pt>
                <c:pt idx="19">
                  <c:v>0.5716</c:v>
                </c:pt>
                <c:pt idx="20">
                  <c:v>0.5763</c:v>
                </c:pt>
                <c:pt idx="21">
                  <c:v>0.6305</c:v>
                </c:pt>
                <c:pt idx="22">
                  <c:v>0.6474</c:v>
                </c:pt>
                <c:pt idx="23">
                  <c:v>0.6454</c:v>
                </c:pt>
                <c:pt idx="24">
                  <c:v>0.6593</c:v>
                </c:pt>
              </c:numCache>
            </c:numRef>
          </c:yVal>
          <c:smooth val="0"/>
        </c:ser>
        <c:ser>
          <c:idx val="3"/>
          <c:order val="4"/>
          <c:tx>
            <c:v>99% RH</c:v>
          </c:tx>
          <c:spPr>
            <a:ln w="28575">
              <a:noFill/>
            </a:ln>
          </c:spPr>
          <c:marker>
            <c:symbol val="circle"/>
            <c:size val="5"/>
            <c:spPr>
              <a:solidFill>
                <a:srgbClr val="7030A0">
                  <a:alpha val="50000"/>
                </a:srgbClr>
              </a:solidFill>
              <a:ln w="12700">
                <a:solidFill>
                  <a:sysClr val="windowText" lastClr="000000"/>
                </a:solidFill>
              </a:ln>
            </c:spPr>
          </c:marker>
          <c:errBars>
            <c:errDir val="y"/>
            <c:errBarType val="both"/>
            <c:errValType val="cust"/>
            <c:noEndCap val="0"/>
            <c:plus>
              <c:numRef>
                <c:f>'TQ-Absorption-70psi'!$U$4:$U$29</c:f>
                <c:numCache>
                  <c:formatCode>General</c:formatCode>
                  <c:ptCount val="26"/>
                  <c:pt idx="0">
                    <c:v>0.035</c:v>
                  </c:pt>
                  <c:pt idx="1">
                    <c:v>0.063</c:v>
                  </c:pt>
                  <c:pt idx="2">
                    <c:v>0.144</c:v>
                  </c:pt>
                  <c:pt idx="3">
                    <c:v>0.182</c:v>
                  </c:pt>
                  <c:pt idx="4">
                    <c:v>0.323</c:v>
                  </c:pt>
                  <c:pt idx="5">
                    <c:v>0.414</c:v>
                  </c:pt>
                  <c:pt idx="6">
                    <c:v>0.432</c:v>
                  </c:pt>
                  <c:pt idx="7">
                    <c:v>0.443</c:v>
                  </c:pt>
                  <c:pt idx="8">
                    <c:v>0.45</c:v>
                  </c:pt>
                  <c:pt idx="9">
                    <c:v>0.442</c:v>
                  </c:pt>
                  <c:pt idx="10">
                    <c:v>0.458</c:v>
                  </c:pt>
                  <c:pt idx="11">
                    <c:v>0.442</c:v>
                  </c:pt>
                  <c:pt idx="12">
                    <c:v>0.445</c:v>
                  </c:pt>
                  <c:pt idx="13">
                    <c:v>0.448</c:v>
                  </c:pt>
                  <c:pt idx="14">
                    <c:v>0.454</c:v>
                  </c:pt>
                  <c:pt idx="15">
                    <c:v>0.448</c:v>
                  </c:pt>
                  <c:pt idx="16">
                    <c:v>0.439</c:v>
                  </c:pt>
                  <c:pt idx="17">
                    <c:v>0.428</c:v>
                  </c:pt>
                  <c:pt idx="18">
                    <c:v>0.432</c:v>
                  </c:pt>
                  <c:pt idx="19">
                    <c:v>0.433</c:v>
                  </c:pt>
                  <c:pt idx="20">
                    <c:v>0.431</c:v>
                  </c:pt>
                  <c:pt idx="21">
                    <c:v>0.442</c:v>
                  </c:pt>
                  <c:pt idx="22">
                    <c:v>0.428</c:v>
                  </c:pt>
                  <c:pt idx="23">
                    <c:v>0.436</c:v>
                  </c:pt>
                  <c:pt idx="24">
                    <c:v>0.438</c:v>
                  </c:pt>
                </c:numCache>
              </c:numRef>
            </c:plus>
            <c:minus>
              <c:numRef>
                <c:f>'TQ-Absorption-70psi'!$U$4:$U$29</c:f>
                <c:numCache>
                  <c:formatCode>General</c:formatCode>
                  <c:ptCount val="26"/>
                  <c:pt idx="0">
                    <c:v>0.035</c:v>
                  </c:pt>
                  <c:pt idx="1">
                    <c:v>0.063</c:v>
                  </c:pt>
                  <c:pt idx="2">
                    <c:v>0.144</c:v>
                  </c:pt>
                  <c:pt idx="3">
                    <c:v>0.182</c:v>
                  </c:pt>
                  <c:pt idx="4">
                    <c:v>0.323</c:v>
                  </c:pt>
                  <c:pt idx="5">
                    <c:v>0.414</c:v>
                  </c:pt>
                  <c:pt idx="6">
                    <c:v>0.432</c:v>
                  </c:pt>
                  <c:pt idx="7">
                    <c:v>0.443</c:v>
                  </c:pt>
                  <c:pt idx="8">
                    <c:v>0.45</c:v>
                  </c:pt>
                  <c:pt idx="9">
                    <c:v>0.442</c:v>
                  </c:pt>
                  <c:pt idx="10">
                    <c:v>0.458</c:v>
                  </c:pt>
                  <c:pt idx="11">
                    <c:v>0.442</c:v>
                  </c:pt>
                  <c:pt idx="12">
                    <c:v>0.445</c:v>
                  </c:pt>
                  <c:pt idx="13">
                    <c:v>0.448</c:v>
                  </c:pt>
                  <c:pt idx="14">
                    <c:v>0.454</c:v>
                  </c:pt>
                  <c:pt idx="15">
                    <c:v>0.448</c:v>
                  </c:pt>
                  <c:pt idx="16">
                    <c:v>0.439</c:v>
                  </c:pt>
                  <c:pt idx="17">
                    <c:v>0.428</c:v>
                  </c:pt>
                  <c:pt idx="18">
                    <c:v>0.432</c:v>
                  </c:pt>
                  <c:pt idx="19">
                    <c:v>0.433</c:v>
                  </c:pt>
                  <c:pt idx="20">
                    <c:v>0.431</c:v>
                  </c:pt>
                  <c:pt idx="21">
                    <c:v>0.442</c:v>
                  </c:pt>
                  <c:pt idx="22">
                    <c:v>0.428</c:v>
                  </c:pt>
                  <c:pt idx="23">
                    <c:v>0.436</c:v>
                  </c:pt>
                  <c:pt idx="24">
                    <c:v>0.438</c:v>
                  </c:pt>
                </c:numCache>
              </c:numRef>
            </c:minus>
            <c:spPr>
              <a:ln w="12700">
                <a:solidFill>
                  <a:srgbClr val="7030A0"/>
                </a:solidFill>
              </a:ln>
            </c:spPr>
          </c:errBars>
          <c:xVal>
            <c:numRef>
              <c:f>'TQ-Absorption-70psi'!$S$4:$S$34</c:f>
              <c:numCache>
                <c:formatCode>General</c:formatCode>
                <c:ptCount val="31"/>
                <c:pt idx="0">
                  <c:v>1.6</c:v>
                </c:pt>
                <c:pt idx="1">
                  <c:v>2.52</c:v>
                </c:pt>
                <c:pt idx="2">
                  <c:v>5.3</c:v>
                </c:pt>
                <c:pt idx="3">
                  <c:v>7.37</c:v>
                </c:pt>
                <c:pt idx="4">
                  <c:v>14.03</c:v>
                </c:pt>
                <c:pt idx="5">
                  <c:v>19.75</c:v>
                </c:pt>
                <c:pt idx="6">
                  <c:v>26.92</c:v>
                </c:pt>
                <c:pt idx="7">
                  <c:v>30.78</c:v>
                </c:pt>
                <c:pt idx="8">
                  <c:v>37.35</c:v>
                </c:pt>
                <c:pt idx="9">
                  <c:v>41.88</c:v>
                </c:pt>
                <c:pt idx="10">
                  <c:v>47.04</c:v>
                </c:pt>
                <c:pt idx="11">
                  <c:v>52.07</c:v>
                </c:pt>
                <c:pt idx="12">
                  <c:v>56.53</c:v>
                </c:pt>
                <c:pt idx="13">
                  <c:v>62.38</c:v>
                </c:pt>
                <c:pt idx="14">
                  <c:v>68.78</c:v>
                </c:pt>
                <c:pt idx="15">
                  <c:v>77.64</c:v>
                </c:pt>
                <c:pt idx="16">
                  <c:v>85.28</c:v>
                </c:pt>
                <c:pt idx="17">
                  <c:v>90.74</c:v>
                </c:pt>
                <c:pt idx="18">
                  <c:v>97.25</c:v>
                </c:pt>
                <c:pt idx="19">
                  <c:v>102.06</c:v>
                </c:pt>
                <c:pt idx="20">
                  <c:v>108.22</c:v>
                </c:pt>
                <c:pt idx="21">
                  <c:v>113.95</c:v>
                </c:pt>
                <c:pt idx="22">
                  <c:v>119.39</c:v>
                </c:pt>
                <c:pt idx="23">
                  <c:v>124.42</c:v>
                </c:pt>
                <c:pt idx="24">
                  <c:v>130.25</c:v>
                </c:pt>
              </c:numCache>
            </c:numRef>
          </c:xVal>
          <c:yVal>
            <c:numRef>
              <c:f>'TQ-Absorption-70psi'!$T$4:$T$34</c:f>
              <c:numCache>
                <c:formatCode>General</c:formatCode>
                <c:ptCount val="31"/>
                <c:pt idx="0">
                  <c:v>0.1983</c:v>
                </c:pt>
                <c:pt idx="1">
                  <c:v>0.2475</c:v>
                </c:pt>
                <c:pt idx="2">
                  <c:v>0.3777</c:v>
                </c:pt>
                <c:pt idx="3">
                  <c:v>0.4537</c:v>
                </c:pt>
                <c:pt idx="4">
                  <c:v>0.6604</c:v>
                </c:pt>
                <c:pt idx="5">
                  <c:v>0.7755</c:v>
                </c:pt>
                <c:pt idx="6">
                  <c:v>0.8286</c:v>
                </c:pt>
                <c:pt idx="7">
                  <c:v>0.8269</c:v>
                </c:pt>
                <c:pt idx="8">
                  <c:v>0.8997</c:v>
                </c:pt>
                <c:pt idx="9">
                  <c:v>0.9045</c:v>
                </c:pt>
                <c:pt idx="10">
                  <c:v>0.9326</c:v>
                </c:pt>
                <c:pt idx="11">
                  <c:v>0.9373</c:v>
                </c:pt>
                <c:pt idx="12">
                  <c:v>0.9789</c:v>
                </c:pt>
                <c:pt idx="13">
                  <c:v>0.9947</c:v>
                </c:pt>
                <c:pt idx="14">
                  <c:v>1.0302</c:v>
                </c:pt>
                <c:pt idx="15">
                  <c:v>1.0579</c:v>
                </c:pt>
                <c:pt idx="16">
                  <c:v>1.0677</c:v>
                </c:pt>
                <c:pt idx="17">
                  <c:v>1.091</c:v>
                </c:pt>
                <c:pt idx="18">
                  <c:v>1.1015</c:v>
                </c:pt>
                <c:pt idx="19">
                  <c:v>1.1026</c:v>
                </c:pt>
                <c:pt idx="20">
                  <c:v>1.0934</c:v>
                </c:pt>
                <c:pt idx="21">
                  <c:v>1.1296</c:v>
                </c:pt>
                <c:pt idx="22">
                  <c:v>1.1435</c:v>
                </c:pt>
                <c:pt idx="23">
                  <c:v>1.1427</c:v>
                </c:pt>
                <c:pt idx="24">
                  <c:v>1.1614</c:v>
                </c:pt>
              </c:numCache>
            </c:numRef>
          </c:yVal>
          <c:smooth val="0"/>
        </c:ser>
        <c:ser>
          <c:idx val="9"/>
          <c:order val="5"/>
          <c:spPr>
            <a:ln w="12700">
              <a:solidFill>
                <a:sysClr val="windowText" lastClr="000000"/>
              </a:solidFill>
              <a:prstDash val="lgDash"/>
            </a:ln>
          </c:spPr>
          <c:marker>
            <c:symbol val="none"/>
          </c:marker>
          <c:dPt>
            <c:idx val="1"/>
            <c:bubble3D val="0"/>
            <c:spPr>
              <a:ln w="12700">
                <a:solidFill>
                  <a:schemeClr val="bg1">
                    <a:lumMod val="50000"/>
                  </a:schemeClr>
                </a:solidFill>
                <a:prstDash val="lgDash"/>
              </a:ln>
            </c:spPr>
          </c:dPt>
          <c:xVal>
            <c:numRef>
              <c:f>('BMI-Absorption-10psi'!$D$51,'BMI-Absorption-10psi'!$D$51)</c:f>
              <c:numCache>
                <c:formatCode>General</c:formatCode>
                <c:ptCount val="2"/>
                <c:pt idx="0">
                  <c:v>132.363</c:v>
                </c:pt>
                <c:pt idx="1">
                  <c:v>132.363</c:v>
                </c:pt>
              </c:numCache>
            </c:numRef>
          </c:xVal>
          <c:yVal>
            <c:numLit>
              <c:formatCode>General</c:formatCode>
              <c:ptCount val="2"/>
              <c:pt idx="0">
                <c:v>0.0</c:v>
              </c:pt>
              <c:pt idx="1">
                <c:v>12.0</c:v>
              </c:pt>
            </c:numLit>
          </c:yVal>
          <c:smooth val="0"/>
        </c:ser>
        <c:dLbls>
          <c:showLegendKey val="0"/>
          <c:showVal val="0"/>
          <c:showCatName val="0"/>
          <c:showSerName val="0"/>
          <c:showPercent val="0"/>
          <c:showBubbleSize val="0"/>
        </c:dLbls>
        <c:axId val="424190184"/>
        <c:axId val="424184120"/>
      </c:scatterChart>
      <c:valAx>
        <c:axId val="424190184"/>
        <c:scaling>
          <c:orientation val="minMax"/>
          <c:max val="15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424184120"/>
        <c:crosses val="autoZero"/>
        <c:crossBetween val="midCat"/>
        <c:minorUnit val="12.5"/>
      </c:valAx>
      <c:valAx>
        <c:axId val="424184120"/>
        <c:scaling>
          <c:orientation val="minMax"/>
          <c:max val="3.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424190184"/>
        <c:crosses val="autoZero"/>
        <c:crossBetween val="midCat"/>
        <c:majorUnit val="1.0"/>
        <c:minorUnit val="0.25"/>
      </c:valAx>
      <c:spPr>
        <a:ln w="19050">
          <a:solidFill>
            <a:sysClr val="windowText" lastClr="000000"/>
          </a:solidFill>
        </a:ln>
      </c:spPr>
    </c:plotArea>
    <c:legend>
      <c:legendPos val="r"/>
      <c:legendEntry>
        <c:idx val="0"/>
        <c:delete val="1"/>
      </c:legendEntry>
      <c:legendEntry>
        <c:idx val="5"/>
        <c:delete val="1"/>
      </c:legendEntry>
      <c:layout>
        <c:manualLayout>
          <c:xMode val="edge"/>
          <c:yMode val="edge"/>
          <c:x val="0.181747284037942"/>
          <c:y val="0.0959115664876696"/>
          <c:w val="0.235029360736688"/>
          <c:h val="0.198320209973753"/>
        </c:manualLayout>
      </c:layout>
      <c:overlay val="1"/>
      <c:spPr>
        <a:solidFill>
          <a:schemeClr val="bg1"/>
        </a:solidFill>
      </c:spPr>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4324356685478"/>
          <c:y val="0.0333333333333333"/>
          <c:w val="0.759957604491145"/>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triangle"/>
            <c:size val="5"/>
            <c:spPr>
              <a:solidFill>
                <a:srgbClr val="0070C0">
                  <a:alpha val="50000"/>
                </a:srgbClr>
              </a:solidFill>
              <a:ln w="12700">
                <a:solidFill>
                  <a:schemeClr val="tx1"/>
                </a:solidFill>
              </a:ln>
            </c:spPr>
          </c:marker>
          <c:errBars>
            <c:errDir val="y"/>
            <c:errBarType val="both"/>
            <c:errValType val="cust"/>
            <c:noEndCap val="0"/>
            <c:plus>
              <c:numRef>
                <c:f>'TC-Absorption-10psi'!$C$4:$C$29</c:f>
                <c:numCache>
                  <c:formatCode>General</c:formatCode>
                  <c:ptCount val="26"/>
                  <c:pt idx="0">
                    <c:v>0.071</c:v>
                  </c:pt>
                  <c:pt idx="1">
                    <c:v>0.108</c:v>
                  </c:pt>
                  <c:pt idx="2">
                    <c:v>0.144</c:v>
                  </c:pt>
                  <c:pt idx="3">
                    <c:v>0.169</c:v>
                  </c:pt>
                  <c:pt idx="4">
                    <c:v>0.17</c:v>
                  </c:pt>
                  <c:pt idx="5">
                    <c:v>0.171</c:v>
                  </c:pt>
                  <c:pt idx="6">
                    <c:v>0.19</c:v>
                  </c:pt>
                  <c:pt idx="7">
                    <c:v>0.172</c:v>
                  </c:pt>
                  <c:pt idx="8">
                    <c:v>0.194</c:v>
                  </c:pt>
                  <c:pt idx="9">
                    <c:v>0.197</c:v>
                  </c:pt>
                  <c:pt idx="10">
                    <c:v>0.202</c:v>
                  </c:pt>
                  <c:pt idx="11">
                    <c:v>0.211</c:v>
                  </c:pt>
                  <c:pt idx="12">
                    <c:v>0.191</c:v>
                  </c:pt>
                  <c:pt idx="13">
                    <c:v>0.201</c:v>
                  </c:pt>
                  <c:pt idx="14">
                    <c:v>0.196</c:v>
                  </c:pt>
                  <c:pt idx="15">
                    <c:v>0.214</c:v>
                  </c:pt>
                  <c:pt idx="16">
                    <c:v>0.198</c:v>
                  </c:pt>
                  <c:pt idx="17">
                    <c:v>0.196</c:v>
                  </c:pt>
                  <c:pt idx="18">
                    <c:v>0.202</c:v>
                  </c:pt>
                  <c:pt idx="19">
                    <c:v>0.2</c:v>
                  </c:pt>
                  <c:pt idx="20">
                    <c:v>0.2</c:v>
                  </c:pt>
                </c:numCache>
              </c:numRef>
            </c:plus>
            <c:minus>
              <c:numRef>
                <c:f>'TC-Absorption-10psi'!$C$4:$C$29</c:f>
                <c:numCache>
                  <c:formatCode>General</c:formatCode>
                  <c:ptCount val="26"/>
                  <c:pt idx="0">
                    <c:v>0.071</c:v>
                  </c:pt>
                  <c:pt idx="1">
                    <c:v>0.108</c:v>
                  </c:pt>
                  <c:pt idx="2">
                    <c:v>0.144</c:v>
                  </c:pt>
                  <c:pt idx="3">
                    <c:v>0.169</c:v>
                  </c:pt>
                  <c:pt idx="4">
                    <c:v>0.17</c:v>
                  </c:pt>
                  <c:pt idx="5">
                    <c:v>0.171</c:v>
                  </c:pt>
                  <c:pt idx="6">
                    <c:v>0.19</c:v>
                  </c:pt>
                  <c:pt idx="7">
                    <c:v>0.172</c:v>
                  </c:pt>
                  <c:pt idx="8">
                    <c:v>0.194</c:v>
                  </c:pt>
                  <c:pt idx="9">
                    <c:v>0.197</c:v>
                  </c:pt>
                  <c:pt idx="10">
                    <c:v>0.202</c:v>
                  </c:pt>
                  <c:pt idx="11">
                    <c:v>0.211</c:v>
                  </c:pt>
                  <c:pt idx="12">
                    <c:v>0.191</c:v>
                  </c:pt>
                  <c:pt idx="13">
                    <c:v>0.201</c:v>
                  </c:pt>
                  <c:pt idx="14">
                    <c:v>0.196</c:v>
                  </c:pt>
                  <c:pt idx="15">
                    <c:v>0.214</c:v>
                  </c:pt>
                  <c:pt idx="16">
                    <c:v>0.198</c:v>
                  </c:pt>
                  <c:pt idx="17">
                    <c:v>0.196</c:v>
                  </c:pt>
                  <c:pt idx="18">
                    <c:v>0.202</c:v>
                  </c:pt>
                  <c:pt idx="19">
                    <c:v>0.2</c:v>
                  </c:pt>
                  <c:pt idx="20">
                    <c:v>0.2</c:v>
                  </c:pt>
                </c:numCache>
              </c:numRef>
            </c:minus>
            <c:spPr>
              <a:ln w="12700">
                <a:solidFill>
                  <a:srgbClr val="0070C0"/>
                </a:solidFill>
              </a:ln>
            </c:spPr>
          </c:errBars>
          <c:xVal>
            <c:numRef>
              <c:f>'TC-Absorption-10psi'!$A$4:$A$34</c:f>
              <c:numCache>
                <c:formatCode>General</c:formatCode>
                <c:ptCount val="31"/>
                <c:pt idx="0">
                  <c:v>2.31</c:v>
                </c:pt>
                <c:pt idx="1">
                  <c:v>5.38</c:v>
                </c:pt>
                <c:pt idx="2">
                  <c:v>8.620000000000001</c:v>
                </c:pt>
                <c:pt idx="3">
                  <c:v>13.89</c:v>
                </c:pt>
                <c:pt idx="4">
                  <c:v>20.36</c:v>
                </c:pt>
                <c:pt idx="5">
                  <c:v>25.98</c:v>
                </c:pt>
                <c:pt idx="6">
                  <c:v>31.03</c:v>
                </c:pt>
                <c:pt idx="7">
                  <c:v>35.71</c:v>
                </c:pt>
                <c:pt idx="8">
                  <c:v>43.02</c:v>
                </c:pt>
                <c:pt idx="9">
                  <c:v>48.49</c:v>
                </c:pt>
                <c:pt idx="10">
                  <c:v>54.32</c:v>
                </c:pt>
                <c:pt idx="11">
                  <c:v>59.81</c:v>
                </c:pt>
                <c:pt idx="12">
                  <c:v>65.37</c:v>
                </c:pt>
                <c:pt idx="13">
                  <c:v>71.48</c:v>
                </c:pt>
                <c:pt idx="14">
                  <c:v>77.91</c:v>
                </c:pt>
                <c:pt idx="15">
                  <c:v>82.55</c:v>
                </c:pt>
                <c:pt idx="16">
                  <c:v>89.14</c:v>
                </c:pt>
                <c:pt idx="17">
                  <c:v>94.63</c:v>
                </c:pt>
                <c:pt idx="18">
                  <c:v>99.81</c:v>
                </c:pt>
                <c:pt idx="19">
                  <c:v>104.61</c:v>
                </c:pt>
                <c:pt idx="20">
                  <c:v>110.3</c:v>
                </c:pt>
                <c:pt idx="30">
                  <c:v>130.07</c:v>
                </c:pt>
              </c:numCache>
            </c:numRef>
          </c:xVal>
          <c:yVal>
            <c:numRef>
              <c:f>'TC-Absorption-10psi'!$B$4:$B$34</c:f>
              <c:numCache>
                <c:formatCode>General</c:formatCode>
                <c:ptCount val="31"/>
                <c:pt idx="0">
                  <c:v>0.3287</c:v>
                </c:pt>
                <c:pt idx="1">
                  <c:v>0.4051</c:v>
                </c:pt>
                <c:pt idx="2">
                  <c:v>0.4546</c:v>
                </c:pt>
                <c:pt idx="3">
                  <c:v>0.4912</c:v>
                </c:pt>
                <c:pt idx="4">
                  <c:v>0.5034</c:v>
                </c:pt>
                <c:pt idx="5">
                  <c:v>0.56</c:v>
                </c:pt>
                <c:pt idx="6">
                  <c:v>0.5664</c:v>
                </c:pt>
                <c:pt idx="7">
                  <c:v>0.5738</c:v>
                </c:pt>
                <c:pt idx="8">
                  <c:v>0.6273</c:v>
                </c:pt>
                <c:pt idx="9">
                  <c:v>0.6998</c:v>
                </c:pt>
                <c:pt idx="10">
                  <c:v>0.7448</c:v>
                </c:pt>
                <c:pt idx="11">
                  <c:v>0.8159</c:v>
                </c:pt>
                <c:pt idx="12">
                  <c:v>0.8236</c:v>
                </c:pt>
                <c:pt idx="13">
                  <c:v>0.8615</c:v>
                </c:pt>
                <c:pt idx="14">
                  <c:v>0.9196</c:v>
                </c:pt>
                <c:pt idx="15">
                  <c:v>0.9437</c:v>
                </c:pt>
                <c:pt idx="16">
                  <c:v>0.9381</c:v>
                </c:pt>
                <c:pt idx="17">
                  <c:v>1.0036</c:v>
                </c:pt>
                <c:pt idx="18">
                  <c:v>1.0104</c:v>
                </c:pt>
                <c:pt idx="19">
                  <c:v>1.015</c:v>
                </c:pt>
                <c:pt idx="20">
                  <c:v>1.0596</c:v>
                </c:pt>
              </c:numCache>
            </c:numRef>
          </c:yVal>
          <c:smooth val="0"/>
        </c:ser>
        <c:ser>
          <c:idx val="1"/>
          <c:order val="2"/>
          <c:tx>
            <c:v>40% RH</c:v>
          </c:tx>
          <c:spPr>
            <a:ln w="28575">
              <a:noFill/>
            </a:ln>
          </c:spPr>
          <c:marker>
            <c:symbol val="triangle"/>
            <c:size val="5"/>
            <c:spPr>
              <a:solidFill>
                <a:srgbClr val="C00000">
                  <a:alpha val="50000"/>
                </a:srgbClr>
              </a:solidFill>
              <a:ln w="12700">
                <a:solidFill>
                  <a:sysClr val="windowText" lastClr="000000"/>
                </a:solidFill>
              </a:ln>
            </c:spPr>
          </c:marker>
          <c:errBars>
            <c:errDir val="y"/>
            <c:errBarType val="both"/>
            <c:errValType val="cust"/>
            <c:noEndCap val="0"/>
            <c:plus>
              <c:numRef>
                <c:f>'TC-Absorption-10psi'!$I$4:$I$29</c:f>
                <c:numCache>
                  <c:formatCode>General</c:formatCode>
                  <c:ptCount val="26"/>
                  <c:pt idx="0">
                    <c:v>0.057</c:v>
                  </c:pt>
                  <c:pt idx="1">
                    <c:v>0.097</c:v>
                  </c:pt>
                  <c:pt idx="2">
                    <c:v>0.1</c:v>
                  </c:pt>
                  <c:pt idx="3">
                    <c:v>0.114</c:v>
                  </c:pt>
                  <c:pt idx="4">
                    <c:v>0.155</c:v>
                  </c:pt>
                  <c:pt idx="5">
                    <c:v>0.162</c:v>
                  </c:pt>
                  <c:pt idx="6">
                    <c:v>0.16</c:v>
                  </c:pt>
                  <c:pt idx="7">
                    <c:v>0.152</c:v>
                  </c:pt>
                  <c:pt idx="8">
                    <c:v>0.137</c:v>
                  </c:pt>
                  <c:pt idx="9">
                    <c:v>0.141</c:v>
                  </c:pt>
                  <c:pt idx="10">
                    <c:v>0.162</c:v>
                  </c:pt>
                  <c:pt idx="11">
                    <c:v>0.187</c:v>
                  </c:pt>
                  <c:pt idx="12">
                    <c:v>0.168</c:v>
                  </c:pt>
                  <c:pt idx="13">
                    <c:v>0.156</c:v>
                  </c:pt>
                  <c:pt idx="14">
                    <c:v>0.185</c:v>
                  </c:pt>
                  <c:pt idx="15">
                    <c:v>0.19</c:v>
                  </c:pt>
                  <c:pt idx="16">
                    <c:v>0.149</c:v>
                  </c:pt>
                  <c:pt idx="17">
                    <c:v>0.159</c:v>
                  </c:pt>
                  <c:pt idx="18">
                    <c:v>0.177</c:v>
                  </c:pt>
                  <c:pt idx="19">
                    <c:v>0.194</c:v>
                  </c:pt>
                  <c:pt idx="20">
                    <c:v>0.158</c:v>
                  </c:pt>
                </c:numCache>
              </c:numRef>
            </c:plus>
            <c:minus>
              <c:numRef>
                <c:f>'TC-Absorption-10psi'!$I$4:$I$29</c:f>
                <c:numCache>
                  <c:formatCode>General</c:formatCode>
                  <c:ptCount val="26"/>
                  <c:pt idx="0">
                    <c:v>0.057</c:v>
                  </c:pt>
                  <c:pt idx="1">
                    <c:v>0.097</c:v>
                  </c:pt>
                  <c:pt idx="2">
                    <c:v>0.1</c:v>
                  </c:pt>
                  <c:pt idx="3">
                    <c:v>0.114</c:v>
                  </c:pt>
                  <c:pt idx="4">
                    <c:v>0.155</c:v>
                  </c:pt>
                  <c:pt idx="5">
                    <c:v>0.162</c:v>
                  </c:pt>
                  <c:pt idx="6">
                    <c:v>0.16</c:v>
                  </c:pt>
                  <c:pt idx="7">
                    <c:v>0.152</c:v>
                  </c:pt>
                  <c:pt idx="8">
                    <c:v>0.137</c:v>
                  </c:pt>
                  <c:pt idx="9">
                    <c:v>0.141</c:v>
                  </c:pt>
                  <c:pt idx="10">
                    <c:v>0.162</c:v>
                  </c:pt>
                  <c:pt idx="11">
                    <c:v>0.187</c:v>
                  </c:pt>
                  <c:pt idx="12">
                    <c:v>0.168</c:v>
                  </c:pt>
                  <c:pt idx="13">
                    <c:v>0.156</c:v>
                  </c:pt>
                  <c:pt idx="14">
                    <c:v>0.185</c:v>
                  </c:pt>
                  <c:pt idx="15">
                    <c:v>0.19</c:v>
                  </c:pt>
                  <c:pt idx="16">
                    <c:v>0.149</c:v>
                  </c:pt>
                  <c:pt idx="17">
                    <c:v>0.159</c:v>
                  </c:pt>
                  <c:pt idx="18">
                    <c:v>0.177</c:v>
                  </c:pt>
                  <c:pt idx="19">
                    <c:v>0.194</c:v>
                  </c:pt>
                  <c:pt idx="20">
                    <c:v>0.158</c:v>
                  </c:pt>
                </c:numCache>
              </c:numRef>
            </c:minus>
            <c:spPr>
              <a:ln w="12700">
                <a:solidFill>
                  <a:srgbClr val="C00000"/>
                </a:solidFill>
              </a:ln>
            </c:spPr>
          </c:errBars>
          <c:xVal>
            <c:numRef>
              <c:f>'TC-Absorption-10psi'!$G$4:$G$34</c:f>
              <c:numCache>
                <c:formatCode>General</c:formatCode>
                <c:ptCount val="31"/>
                <c:pt idx="0">
                  <c:v>2.33</c:v>
                </c:pt>
                <c:pt idx="1">
                  <c:v>5.39</c:v>
                </c:pt>
                <c:pt idx="2">
                  <c:v>8.629999999999998</c:v>
                </c:pt>
                <c:pt idx="3">
                  <c:v>13.9</c:v>
                </c:pt>
                <c:pt idx="4">
                  <c:v>20.36</c:v>
                </c:pt>
                <c:pt idx="5">
                  <c:v>25.98</c:v>
                </c:pt>
                <c:pt idx="6">
                  <c:v>31.03</c:v>
                </c:pt>
                <c:pt idx="7">
                  <c:v>35.71</c:v>
                </c:pt>
                <c:pt idx="8">
                  <c:v>43.02</c:v>
                </c:pt>
                <c:pt idx="9">
                  <c:v>48.49</c:v>
                </c:pt>
                <c:pt idx="10">
                  <c:v>54.32</c:v>
                </c:pt>
                <c:pt idx="11">
                  <c:v>59.81</c:v>
                </c:pt>
                <c:pt idx="12">
                  <c:v>65.38</c:v>
                </c:pt>
                <c:pt idx="13">
                  <c:v>71.48</c:v>
                </c:pt>
                <c:pt idx="14">
                  <c:v>77.91</c:v>
                </c:pt>
                <c:pt idx="15">
                  <c:v>82.56</c:v>
                </c:pt>
                <c:pt idx="16">
                  <c:v>89.14</c:v>
                </c:pt>
                <c:pt idx="17">
                  <c:v>94.63</c:v>
                </c:pt>
                <c:pt idx="18">
                  <c:v>99.81</c:v>
                </c:pt>
                <c:pt idx="19">
                  <c:v>104.61</c:v>
                </c:pt>
                <c:pt idx="20">
                  <c:v>110.3</c:v>
                </c:pt>
              </c:numCache>
            </c:numRef>
          </c:xVal>
          <c:yVal>
            <c:numRef>
              <c:f>'TC-Absorption-10psi'!$H$4:$H$34</c:f>
              <c:numCache>
                <c:formatCode>General</c:formatCode>
                <c:ptCount val="31"/>
                <c:pt idx="0">
                  <c:v>0.3518</c:v>
                </c:pt>
                <c:pt idx="1">
                  <c:v>0.5612</c:v>
                </c:pt>
                <c:pt idx="2">
                  <c:v>0.638</c:v>
                </c:pt>
                <c:pt idx="3">
                  <c:v>0.6884</c:v>
                </c:pt>
                <c:pt idx="4">
                  <c:v>0.7237</c:v>
                </c:pt>
                <c:pt idx="5">
                  <c:v>0.7723</c:v>
                </c:pt>
                <c:pt idx="6">
                  <c:v>0.7878</c:v>
                </c:pt>
                <c:pt idx="7">
                  <c:v>0.7896</c:v>
                </c:pt>
                <c:pt idx="8">
                  <c:v>0.8346</c:v>
                </c:pt>
                <c:pt idx="9">
                  <c:v>0.8434</c:v>
                </c:pt>
                <c:pt idx="10">
                  <c:v>0.8953</c:v>
                </c:pt>
                <c:pt idx="11">
                  <c:v>0.9799</c:v>
                </c:pt>
                <c:pt idx="12">
                  <c:v>1.0272</c:v>
                </c:pt>
                <c:pt idx="13">
                  <c:v>1.0776</c:v>
                </c:pt>
                <c:pt idx="14">
                  <c:v>1.1432</c:v>
                </c:pt>
                <c:pt idx="15">
                  <c:v>1.1187</c:v>
                </c:pt>
                <c:pt idx="16">
                  <c:v>1.1352</c:v>
                </c:pt>
                <c:pt idx="17">
                  <c:v>1.2182</c:v>
                </c:pt>
                <c:pt idx="18">
                  <c:v>1.231</c:v>
                </c:pt>
                <c:pt idx="19">
                  <c:v>1.2452</c:v>
                </c:pt>
                <c:pt idx="20">
                  <c:v>1.2753</c:v>
                </c:pt>
              </c:numCache>
            </c:numRef>
          </c:yVal>
          <c:smooth val="0"/>
        </c:ser>
        <c:ser>
          <c:idx val="2"/>
          <c:order val="3"/>
          <c:tx>
            <c:v>70% RH</c:v>
          </c:tx>
          <c:spPr>
            <a:ln w="28575">
              <a:noFill/>
            </a:ln>
          </c:spPr>
          <c:marker>
            <c:symbol val="triangle"/>
            <c:size val="5"/>
            <c:spPr>
              <a:solidFill>
                <a:srgbClr val="00B050">
                  <a:alpha val="50000"/>
                </a:srgbClr>
              </a:solidFill>
              <a:ln w="12700">
                <a:solidFill>
                  <a:sysClr val="windowText" lastClr="000000"/>
                </a:solidFill>
              </a:ln>
            </c:spPr>
          </c:marker>
          <c:errBars>
            <c:errDir val="y"/>
            <c:errBarType val="both"/>
            <c:errValType val="cust"/>
            <c:noEndCap val="0"/>
            <c:plus>
              <c:numRef>
                <c:f>'TC-Absorption-10psi'!$O$4:$O$29</c:f>
                <c:numCache>
                  <c:formatCode>General</c:formatCode>
                  <c:ptCount val="26"/>
                  <c:pt idx="0">
                    <c:v>0.124</c:v>
                  </c:pt>
                  <c:pt idx="1">
                    <c:v>0.228</c:v>
                  </c:pt>
                  <c:pt idx="2">
                    <c:v>0.268</c:v>
                  </c:pt>
                  <c:pt idx="3">
                    <c:v>0.277</c:v>
                  </c:pt>
                  <c:pt idx="4">
                    <c:v>0.272</c:v>
                  </c:pt>
                  <c:pt idx="5">
                    <c:v>0.262</c:v>
                  </c:pt>
                  <c:pt idx="6">
                    <c:v>0.283</c:v>
                  </c:pt>
                  <c:pt idx="7">
                    <c:v>0.275</c:v>
                  </c:pt>
                  <c:pt idx="8">
                    <c:v>0.284</c:v>
                  </c:pt>
                  <c:pt idx="9">
                    <c:v>0.293</c:v>
                  </c:pt>
                  <c:pt idx="10">
                    <c:v>0.293</c:v>
                  </c:pt>
                  <c:pt idx="11">
                    <c:v>0.283</c:v>
                  </c:pt>
                  <c:pt idx="12">
                    <c:v>0.272</c:v>
                  </c:pt>
                  <c:pt idx="13">
                    <c:v>0.289</c:v>
                  </c:pt>
                  <c:pt idx="14">
                    <c:v>0.291</c:v>
                  </c:pt>
                  <c:pt idx="15">
                    <c:v>0.283</c:v>
                  </c:pt>
                  <c:pt idx="16">
                    <c:v>0.301</c:v>
                  </c:pt>
                  <c:pt idx="17">
                    <c:v>0.306</c:v>
                  </c:pt>
                  <c:pt idx="18">
                    <c:v>0.265</c:v>
                  </c:pt>
                  <c:pt idx="19">
                    <c:v>0.29</c:v>
                  </c:pt>
                  <c:pt idx="20">
                    <c:v>0.288</c:v>
                  </c:pt>
                </c:numCache>
              </c:numRef>
            </c:plus>
            <c:minus>
              <c:numRef>
                <c:f>'TC-Absorption-10psi'!$O$4:$O$29</c:f>
                <c:numCache>
                  <c:formatCode>General</c:formatCode>
                  <c:ptCount val="26"/>
                  <c:pt idx="0">
                    <c:v>0.124</c:v>
                  </c:pt>
                  <c:pt idx="1">
                    <c:v>0.228</c:v>
                  </c:pt>
                  <c:pt idx="2">
                    <c:v>0.268</c:v>
                  </c:pt>
                  <c:pt idx="3">
                    <c:v>0.277</c:v>
                  </c:pt>
                  <c:pt idx="4">
                    <c:v>0.272</c:v>
                  </c:pt>
                  <c:pt idx="5">
                    <c:v>0.262</c:v>
                  </c:pt>
                  <c:pt idx="6">
                    <c:v>0.283</c:v>
                  </c:pt>
                  <c:pt idx="7">
                    <c:v>0.275</c:v>
                  </c:pt>
                  <c:pt idx="8">
                    <c:v>0.284</c:v>
                  </c:pt>
                  <c:pt idx="9">
                    <c:v>0.293</c:v>
                  </c:pt>
                  <c:pt idx="10">
                    <c:v>0.293</c:v>
                  </c:pt>
                  <c:pt idx="11">
                    <c:v>0.283</c:v>
                  </c:pt>
                  <c:pt idx="12">
                    <c:v>0.272</c:v>
                  </c:pt>
                  <c:pt idx="13">
                    <c:v>0.289</c:v>
                  </c:pt>
                  <c:pt idx="14">
                    <c:v>0.291</c:v>
                  </c:pt>
                  <c:pt idx="15">
                    <c:v>0.283</c:v>
                  </c:pt>
                  <c:pt idx="16">
                    <c:v>0.301</c:v>
                  </c:pt>
                  <c:pt idx="17">
                    <c:v>0.306</c:v>
                  </c:pt>
                  <c:pt idx="18">
                    <c:v>0.265</c:v>
                  </c:pt>
                  <c:pt idx="19">
                    <c:v>0.29</c:v>
                  </c:pt>
                  <c:pt idx="20">
                    <c:v>0.288</c:v>
                  </c:pt>
                </c:numCache>
              </c:numRef>
            </c:minus>
            <c:spPr>
              <a:ln w="12700">
                <a:solidFill>
                  <a:srgbClr val="00B050"/>
                </a:solidFill>
              </a:ln>
            </c:spPr>
          </c:errBars>
          <c:xVal>
            <c:numRef>
              <c:f>'TC-Absorption-10psi'!$M$4:$M$34</c:f>
              <c:numCache>
                <c:formatCode>General</c:formatCode>
                <c:ptCount val="31"/>
                <c:pt idx="0">
                  <c:v>2.36</c:v>
                </c:pt>
                <c:pt idx="1">
                  <c:v>5.4</c:v>
                </c:pt>
                <c:pt idx="2">
                  <c:v>8.64</c:v>
                </c:pt>
                <c:pt idx="3">
                  <c:v>13.9</c:v>
                </c:pt>
                <c:pt idx="4">
                  <c:v>20.37</c:v>
                </c:pt>
                <c:pt idx="5">
                  <c:v>25.98</c:v>
                </c:pt>
                <c:pt idx="6">
                  <c:v>31.04</c:v>
                </c:pt>
                <c:pt idx="7">
                  <c:v>35.71</c:v>
                </c:pt>
                <c:pt idx="8">
                  <c:v>43.02</c:v>
                </c:pt>
                <c:pt idx="9">
                  <c:v>48.49</c:v>
                </c:pt>
                <c:pt idx="10">
                  <c:v>54.32</c:v>
                </c:pt>
                <c:pt idx="11">
                  <c:v>59.81</c:v>
                </c:pt>
                <c:pt idx="12">
                  <c:v>65.38</c:v>
                </c:pt>
                <c:pt idx="13">
                  <c:v>71.48</c:v>
                </c:pt>
                <c:pt idx="14">
                  <c:v>77.91</c:v>
                </c:pt>
                <c:pt idx="15">
                  <c:v>82.56</c:v>
                </c:pt>
                <c:pt idx="16">
                  <c:v>89.14</c:v>
                </c:pt>
                <c:pt idx="17">
                  <c:v>94.63</c:v>
                </c:pt>
                <c:pt idx="18">
                  <c:v>99.81</c:v>
                </c:pt>
                <c:pt idx="19">
                  <c:v>104.61</c:v>
                </c:pt>
                <c:pt idx="20">
                  <c:v>110.3</c:v>
                </c:pt>
              </c:numCache>
            </c:numRef>
          </c:xVal>
          <c:yVal>
            <c:numRef>
              <c:f>'TC-Absorption-10psi'!$N$4:$N$34</c:f>
              <c:numCache>
                <c:formatCode>General</c:formatCode>
                <c:ptCount val="31"/>
                <c:pt idx="0">
                  <c:v>0.4851</c:v>
                </c:pt>
                <c:pt idx="1">
                  <c:v>0.8286</c:v>
                </c:pt>
                <c:pt idx="2">
                  <c:v>0.9983</c:v>
                </c:pt>
                <c:pt idx="3">
                  <c:v>1.1089</c:v>
                </c:pt>
                <c:pt idx="4">
                  <c:v>1.1316</c:v>
                </c:pt>
                <c:pt idx="5">
                  <c:v>1.1726</c:v>
                </c:pt>
                <c:pt idx="6">
                  <c:v>1.2018</c:v>
                </c:pt>
                <c:pt idx="7">
                  <c:v>1.2322</c:v>
                </c:pt>
                <c:pt idx="8">
                  <c:v>1.269</c:v>
                </c:pt>
                <c:pt idx="9">
                  <c:v>1.2975</c:v>
                </c:pt>
                <c:pt idx="10">
                  <c:v>1.3325</c:v>
                </c:pt>
                <c:pt idx="11">
                  <c:v>1.403</c:v>
                </c:pt>
                <c:pt idx="12">
                  <c:v>1.4896</c:v>
                </c:pt>
                <c:pt idx="13">
                  <c:v>1.5453</c:v>
                </c:pt>
                <c:pt idx="14">
                  <c:v>1.5757</c:v>
                </c:pt>
                <c:pt idx="15">
                  <c:v>1.5968</c:v>
                </c:pt>
                <c:pt idx="16">
                  <c:v>1.6222</c:v>
                </c:pt>
                <c:pt idx="17">
                  <c:v>1.6444</c:v>
                </c:pt>
                <c:pt idx="18">
                  <c:v>1.6547</c:v>
                </c:pt>
                <c:pt idx="19">
                  <c:v>1.6703</c:v>
                </c:pt>
                <c:pt idx="20">
                  <c:v>1.6972</c:v>
                </c:pt>
              </c:numCache>
            </c:numRef>
          </c:yVal>
          <c:smooth val="0"/>
        </c:ser>
        <c:ser>
          <c:idx val="3"/>
          <c:order val="4"/>
          <c:tx>
            <c:v>99% RH</c:v>
          </c:tx>
          <c:spPr>
            <a:ln w="28575">
              <a:noFill/>
            </a:ln>
          </c:spPr>
          <c:marker>
            <c:symbol val="triangle"/>
            <c:size val="5"/>
            <c:spPr>
              <a:solidFill>
                <a:srgbClr val="7030A0">
                  <a:alpha val="50000"/>
                </a:srgbClr>
              </a:solidFill>
              <a:ln w="12700">
                <a:solidFill>
                  <a:sysClr val="windowText" lastClr="000000"/>
                </a:solidFill>
              </a:ln>
            </c:spPr>
          </c:marker>
          <c:errBars>
            <c:errDir val="y"/>
            <c:errBarType val="both"/>
            <c:errValType val="cust"/>
            <c:noEndCap val="0"/>
            <c:plus>
              <c:numRef>
                <c:f>'TC-Absorption-10psi'!$U$4:$U$29</c:f>
                <c:numCache>
                  <c:formatCode>General</c:formatCode>
                  <c:ptCount val="26"/>
                  <c:pt idx="0">
                    <c:v>0.173</c:v>
                  </c:pt>
                  <c:pt idx="1">
                    <c:v>0.3</c:v>
                  </c:pt>
                  <c:pt idx="2">
                    <c:v>0.365</c:v>
                  </c:pt>
                  <c:pt idx="3">
                    <c:v>0.37</c:v>
                  </c:pt>
                  <c:pt idx="4">
                    <c:v>0.382</c:v>
                  </c:pt>
                  <c:pt idx="5">
                    <c:v>0.384</c:v>
                  </c:pt>
                  <c:pt idx="6">
                    <c:v>0.387</c:v>
                  </c:pt>
                  <c:pt idx="7">
                    <c:v>0.389</c:v>
                  </c:pt>
                  <c:pt idx="8">
                    <c:v>0.391</c:v>
                  </c:pt>
                  <c:pt idx="9">
                    <c:v>0.383</c:v>
                  </c:pt>
                  <c:pt idx="10">
                    <c:v>0.12</c:v>
                  </c:pt>
                  <c:pt idx="11">
                    <c:v>0.406</c:v>
                  </c:pt>
                  <c:pt idx="12">
                    <c:v>0.409</c:v>
                  </c:pt>
                  <c:pt idx="13">
                    <c:v>0.403</c:v>
                  </c:pt>
                  <c:pt idx="14">
                    <c:v>0.379</c:v>
                  </c:pt>
                  <c:pt idx="15">
                    <c:v>0.389</c:v>
                  </c:pt>
                  <c:pt idx="16">
                    <c:v>0.381</c:v>
                  </c:pt>
                  <c:pt idx="17">
                    <c:v>0.386</c:v>
                  </c:pt>
                  <c:pt idx="18">
                    <c:v>0.376</c:v>
                  </c:pt>
                  <c:pt idx="19">
                    <c:v>0.399</c:v>
                  </c:pt>
                  <c:pt idx="20">
                    <c:v>0.4</c:v>
                  </c:pt>
                </c:numCache>
              </c:numRef>
            </c:plus>
            <c:minus>
              <c:numRef>
                <c:f>'TC-Absorption-10psi'!$U$4:$U$29</c:f>
                <c:numCache>
                  <c:formatCode>General</c:formatCode>
                  <c:ptCount val="26"/>
                  <c:pt idx="0">
                    <c:v>0.173</c:v>
                  </c:pt>
                  <c:pt idx="1">
                    <c:v>0.3</c:v>
                  </c:pt>
                  <c:pt idx="2">
                    <c:v>0.365</c:v>
                  </c:pt>
                  <c:pt idx="3">
                    <c:v>0.37</c:v>
                  </c:pt>
                  <c:pt idx="4">
                    <c:v>0.382</c:v>
                  </c:pt>
                  <c:pt idx="5">
                    <c:v>0.384</c:v>
                  </c:pt>
                  <c:pt idx="6">
                    <c:v>0.387</c:v>
                  </c:pt>
                  <c:pt idx="7">
                    <c:v>0.389</c:v>
                  </c:pt>
                  <c:pt idx="8">
                    <c:v>0.391</c:v>
                  </c:pt>
                  <c:pt idx="9">
                    <c:v>0.383</c:v>
                  </c:pt>
                  <c:pt idx="10">
                    <c:v>0.12</c:v>
                  </c:pt>
                  <c:pt idx="11">
                    <c:v>0.406</c:v>
                  </c:pt>
                  <c:pt idx="12">
                    <c:v>0.409</c:v>
                  </c:pt>
                  <c:pt idx="13">
                    <c:v>0.403</c:v>
                  </c:pt>
                  <c:pt idx="14">
                    <c:v>0.379</c:v>
                  </c:pt>
                  <c:pt idx="15">
                    <c:v>0.389</c:v>
                  </c:pt>
                  <c:pt idx="16">
                    <c:v>0.381</c:v>
                  </c:pt>
                  <c:pt idx="17">
                    <c:v>0.386</c:v>
                  </c:pt>
                  <c:pt idx="18">
                    <c:v>0.376</c:v>
                  </c:pt>
                  <c:pt idx="19">
                    <c:v>0.399</c:v>
                  </c:pt>
                  <c:pt idx="20">
                    <c:v>0.4</c:v>
                  </c:pt>
                </c:numCache>
              </c:numRef>
            </c:minus>
            <c:spPr>
              <a:ln w="12700">
                <a:solidFill>
                  <a:srgbClr val="7030A0"/>
                </a:solidFill>
              </a:ln>
            </c:spPr>
          </c:errBars>
          <c:xVal>
            <c:numRef>
              <c:f>'TC-Absorption-10psi'!$S$4:$S$34</c:f>
              <c:numCache>
                <c:formatCode>General</c:formatCode>
                <c:ptCount val="31"/>
                <c:pt idx="0">
                  <c:v>2.39</c:v>
                </c:pt>
                <c:pt idx="1">
                  <c:v>5.42</c:v>
                </c:pt>
                <c:pt idx="2">
                  <c:v>8.65</c:v>
                </c:pt>
                <c:pt idx="3">
                  <c:v>13.91</c:v>
                </c:pt>
                <c:pt idx="4">
                  <c:v>20.37</c:v>
                </c:pt>
                <c:pt idx="5">
                  <c:v>25.99</c:v>
                </c:pt>
                <c:pt idx="6">
                  <c:v>31.04</c:v>
                </c:pt>
                <c:pt idx="7">
                  <c:v>35.72</c:v>
                </c:pt>
                <c:pt idx="8">
                  <c:v>43.03</c:v>
                </c:pt>
                <c:pt idx="9">
                  <c:v>48.49</c:v>
                </c:pt>
                <c:pt idx="10">
                  <c:v>54.32</c:v>
                </c:pt>
                <c:pt idx="11">
                  <c:v>59.82</c:v>
                </c:pt>
                <c:pt idx="12">
                  <c:v>65.38</c:v>
                </c:pt>
                <c:pt idx="13">
                  <c:v>71.49</c:v>
                </c:pt>
                <c:pt idx="14">
                  <c:v>77.91</c:v>
                </c:pt>
                <c:pt idx="15">
                  <c:v>82.56</c:v>
                </c:pt>
                <c:pt idx="16">
                  <c:v>89.14</c:v>
                </c:pt>
                <c:pt idx="17">
                  <c:v>94.64</c:v>
                </c:pt>
                <c:pt idx="18">
                  <c:v>99.81</c:v>
                </c:pt>
                <c:pt idx="19">
                  <c:v>104.61</c:v>
                </c:pt>
                <c:pt idx="20">
                  <c:v>110.31</c:v>
                </c:pt>
              </c:numCache>
            </c:numRef>
          </c:xVal>
          <c:yVal>
            <c:numRef>
              <c:f>'TC-Absorption-10psi'!$T$4:$T$34</c:f>
              <c:numCache>
                <c:formatCode>General</c:formatCode>
                <c:ptCount val="31"/>
                <c:pt idx="0">
                  <c:v>0.6093</c:v>
                </c:pt>
                <c:pt idx="1">
                  <c:v>0.9752</c:v>
                </c:pt>
                <c:pt idx="2">
                  <c:v>1.1243</c:v>
                </c:pt>
                <c:pt idx="3">
                  <c:v>1.1987</c:v>
                </c:pt>
                <c:pt idx="4">
                  <c:v>1.251</c:v>
                </c:pt>
                <c:pt idx="5">
                  <c:v>1.3047</c:v>
                </c:pt>
                <c:pt idx="6">
                  <c:v>1.3327</c:v>
                </c:pt>
                <c:pt idx="7">
                  <c:v>1.3695</c:v>
                </c:pt>
                <c:pt idx="8">
                  <c:v>1.421899999999999</c:v>
                </c:pt>
                <c:pt idx="9">
                  <c:v>1.4862</c:v>
                </c:pt>
                <c:pt idx="10">
                  <c:v>1.5705</c:v>
                </c:pt>
                <c:pt idx="11">
                  <c:v>1.6233</c:v>
                </c:pt>
                <c:pt idx="12">
                  <c:v>1.6641</c:v>
                </c:pt>
                <c:pt idx="13">
                  <c:v>1.7041</c:v>
                </c:pt>
                <c:pt idx="14">
                  <c:v>1.766</c:v>
                </c:pt>
                <c:pt idx="15">
                  <c:v>1.7638</c:v>
                </c:pt>
                <c:pt idx="16">
                  <c:v>1.7824</c:v>
                </c:pt>
                <c:pt idx="17">
                  <c:v>1.8124</c:v>
                </c:pt>
                <c:pt idx="18">
                  <c:v>1.8147</c:v>
                </c:pt>
                <c:pt idx="19">
                  <c:v>1.8279</c:v>
                </c:pt>
                <c:pt idx="20">
                  <c:v>1.8293</c:v>
                </c:pt>
              </c:numCache>
            </c:numRef>
          </c:yVal>
          <c:smooth val="0"/>
        </c:ser>
        <c:ser>
          <c:idx val="9"/>
          <c:order val="5"/>
          <c:spPr>
            <a:ln w="12700">
              <a:solidFill>
                <a:sysClr val="windowText" lastClr="000000"/>
              </a:solidFill>
              <a:prstDash val="lgDash"/>
            </a:ln>
          </c:spPr>
          <c:marker>
            <c:symbol val="none"/>
          </c:marker>
          <c:dPt>
            <c:idx val="1"/>
            <c:bubble3D val="0"/>
            <c:spPr>
              <a:ln w="12700">
                <a:solidFill>
                  <a:schemeClr val="bg1">
                    <a:lumMod val="50000"/>
                  </a:schemeClr>
                </a:solidFill>
                <a:prstDash val="lgDash"/>
              </a:ln>
            </c:spPr>
          </c:dPt>
          <c:xVal>
            <c:numRef>
              <c:f>('BMI-Absorption-10psi'!$D$51,'BMI-Absorption-10psi'!$D$51)</c:f>
              <c:numCache>
                <c:formatCode>General</c:formatCode>
                <c:ptCount val="2"/>
                <c:pt idx="0">
                  <c:v>132.363</c:v>
                </c:pt>
                <c:pt idx="1">
                  <c:v>132.363</c:v>
                </c:pt>
              </c:numCache>
            </c:numRef>
          </c:xVal>
          <c:yVal>
            <c:numLit>
              <c:formatCode>General</c:formatCode>
              <c:ptCount val="2"/>
              <c:pt idx="0">
                <c:v>0.0</c:v>
              </c:pt>
              <c:pt idx="1">
                <c:v>12.0</c:v>
              </c:pt>
            </c:numLit>
          </c:yVal>
          <c:smooth val="0"/>
        </c:ser>
        <c:dLbls>
          <c:showLegendKey val="0"/>
          <c:showVal val="0"/>
          <c:showCatName val="0"/>
          <c:showSerName val="0"/>
          <c:showPercent val="0"/>
          <c:showBubbleSize val="0"/>
        </c:dLbls>
        <c:axId val="424090664"/>
        <c:axId val="424064088"/>
      </c:scatterChart>
      <c:valAx>
        <c:axId val="424090664"/>
        <c:scaling>
          <c:orientation val="minMax"/>
          <c:max val="15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424064088"/>
        <c:crosses val="autoZero"/>
        <c:crossBetween val="midCat"/>
        <c:minorUnit val="12.5"/>
      </c:valAx>
      <c:valAx>
        <c:axId val="424064088"/>
        <c:scaling>
          <c:orientation val="minMax"/>
          <c:max val="3.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424090664"/>
        <c:crosses val="autoZero"/>
        <c:crossBetween val="midCat"/>
        <c:majorUnit val="1.0"/>
        <c:minorUnit val="0.25"/>
      </c:valAx>
      <c:spPr>
        <a:ln w="19050">
          <a:solidFill>
            <a:sysClr val="windowText" lastClr="000000"/>
          </a:solidFill>
        </a:ln>
      </c:spPr>
    </c:plotArea>
    <c:legend>
      <c:legendPos val="r"/>
      <c:legendEntry>
        <c:idx val="0"/>
        <c:delete val="1"/>
      </c:legendEntry>
      <c:legendEntry>
        <c:idx val="5"/>
        <c:delete val="1"/>
      </c:legendEntry>
      <c:layout>
        <c:manualLayout>
          <c:xMode val="edge"/>
          <c:yMode val="edge"/>
          <c:x val="0.181761874863033"/>
          <c:y val="0.0937006574315144"/>
          <c:w val="0.235230659726856"/>
          <c:h val="0.197189413823272"/>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4309458480601"/>
          <c:y val="0.0333333333333333"/>
          <c:w val="0.75997228425077"/>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triangle"/>
            <c:size val="5"/>
            <c:spPr>
              <a:solidFill>
                <a:srgbClr val="0070C0">
                  <a:alpha val="50000"/>
                </a:srgbClr>
              </a:solidFill>
              <a:ln w="12700">
                <a:solidFill>
                  <a:schemeClr val="tx1"/>
                </a:solidFill>
              </a:ln>
            </c:spPr>
          </c:marker>
          <c:errBars>
            <c:errDir val="y"/>
            <c:errBarType val="both"/>
            <c:errValType val="cust"/>
            <c:noEndCap val="0"/>
            <c:plus>
              <c:numRef>
                <c:f>'TC-Absorption-30psi'!$C$4:$C$29</c:f>
                <c:numCache>
                  <c:formatCode>General</c:formatCode>
                  <c:ptCount val="26"/>
                  <c:pt idx="0">
                    <c:v>0.012</c:v>
                  </c:pt>
                  <c:pt idx="1">
                    <c:v>0.028</c:v>
                  </c:pt>
                  <c:pt idx="2">
                    <c:v>0.033</c:v>
                  </c:pt>
                  <c:pt idx="3">
                    <c:v>0.031</c:v>
                  </c:pt>
                  <c:pt idx="4">
                    <c:v>0.032</c:v>
                  </c:pt>
                  <c:pt idx="5">
                    <c:v>0.036</c:v>
                  </c:pt>
                  <c:pt idx="6">
                    <c:v>0.034</c:v>
                  </c:pt>
                  <c:pt idx="7">
                    <c:v>0.037</c:v>
                  </c:pt>
                  <c:pt idx="8">
                    <c:v>0.056</c:v>
                  </c:pt>
                  <c:pt idx="9">
                    <c:v>0.049</c:v>
                  </c:pt>
                  <c:pt idx="10">
                    <c:v>0.034</c:v>
                  </c:pt>
                  <c:pt idx="11">
                    <c:v>0.034</c:v>
                  </c:pt>
                  <c:pt idx="12">
                    <c:v>0.035</c:v>
                  </c:pt>
                  <c:pt idx="13">
                    <c:v>0.064</c:v>
                  </c:pt>
                  <c:pt idx="14">
                    <c:v>0.061</c:v>
                  </c:pt>
                  <c:pt idx="15">
                    <c:v>0.045</c:v>
                  </c:pt>
                  <c:pt idx="16">
                    <c:v>0.062</c:v>
                  </c:pt>
                  <c:pt idx="17">
                    <c:v>0.058</c:v>
                  </c:pt>
                  <c:pt idx="18">
                    <c:v>0.037</c:v>
                  </c:pt>
                  <c:pt idx="19">
                    <c:v>0.056</c:v>
                  </c:pt>
                  <c:pt idx="20">
                    <c:v>0.061</c:v>
                  </c:pt>
                </c:numCache>
              </c:numRef>
            </c:plus>
            <c:minus>
              <c:numRef>
                <c:f>'TC-Absorption-30psi'!$C$4:$C$29</c:f>
                <c:numCache>
                  <c:formatCode>General</c:formatCode>
                  <c:ptCount val="26"/>
                  <c:pt idx="0">
                    <c:v>0.012</c:v>
                  </c:pt>
                  <c:pt idx="1">
                    <c:v>0.028</c:v>
                  </c:pt>
                  <c:pt idx="2">
                    <c:v>0.033</c:v>
                  </c:pt>
                  <c:pt idx="3">
                    <c:v>0.031</c:v>
                  </c:pt>
                  <c:pt idx="4">
                    <c:v>0.032</c:v>
                  </c:pt>
                  <c:pt idx="5">
                    <c:v>0.036</c:v>
                  </c:pt>
                  <c:pt idx="6">
                    <c:v>0.034</c:v>
                  </c:pt>
                  <c:pt idx="7">
                    <c:v>0.037</c:v>
                  </c:pt>
                  <c:pt idx="8">
                    <c:v>0.056</c:v>
                  </c:pt>
                  <c:pt idx="9">
                    <c:v>0.049</c:v>
                  </c:pt>
                  <c:pt idx="10">
                    <c:v>0.034</c:v>
                  </c:pt>
                  <c:pt idx="11">
                    <c:v>0.034</c:v>
                  </c:pt>
                  <c:pt idx="12">
                    <c:v>0.035</c:v>
                  </c:pt>
                  <c:pt idx="13">
                    <c:v>0.064</c:v>
                  </c:pt>
                  <c:pt idx="14">
                    <c:v>0.061</c:v>
                  </c:pt>
                  <c:pt idx="15">
                    <c:v>0.045</c:v>
                  </c:pt>
                  <c:pt idx="16">
                    <c:v>0.062</c:v>
                  </c:pt>
                  <c:pt idx="17">
                    <c:v>0.058</c:v>
                  </c:pt>
                  <c:pt idx="18">
                    <c:v>0.037</c:v>
                  </c:pt>
                  <c:pt idx="19">
                    <c:v>0.056</c:v>
                  </c:pt>
                  <c:pt idx="20">
                    <c:v>0.061</c:v>
                  </c:pt>
                </c:numCache>
              </c:numRef>
            </c:minus>
            <c:spPr>
              <a:ln w="12700">
                <a:solidFill>
                  <a:srgbClr val="0070C0"/>
                </a:solidFill>
              </a:ln>
            </c:spPr>
          </c:errBars>
          <c:xVal>
            <c:numRef>
              <c:f>'TC-Absorption-30psi'!$A$4:$A$34</c:f>
              <c:numCache>
                <c:formatCode>General</c:formatCode>
                <c:ptCount val="31"/>
                <c:pt idx="0">
                  <c:v>2.319999999999998</c:v>
                </c:pt>
                <c:pt idx="1">
                  <c:v>5.39</c:v>
                </c:pt>
                <c:pt idx="2">
                  <c:v>8.620000000000001</c:v>
                </c:pt>
                <c:pt idx="3">
                  <c:v>13.9</c:v>
                </c:pt>
                <c:pt idx="4">
                  <c:v>20.37</c:v>
                </c:pt>
                <c:pt idx="5">
                  <c:v>25.97</c:v>
                </c:pt>
                <c:pt idx="6">
                  <c:v>31.03</c:v>
                </c:pt>
                <c:pt idx="7">
                  <c:v>35.71</c:v>
                </c:pt>
                <c:pt idx="8">
                  <c:v>43.02</c:v>
                </c:pt>
                <c:pt idx="9">
                  <c:v>48.49</c:v>
                </c:pt>
                <c:pt idx="10">
                  <c:v>54.32</c:v>
                </c:pt>
                <c:pt idx="11">
                  <c:v>59.81</c:v>
                </c:pt>
                <c:pt idx="12">
                  <c:v>65.37</c:v>
                </c:pt>
                <c:pt idx="13">
                  <c:v>71.48</c:v>
                </c:pt>
                <c:pt idx="14">
                  <c:v>77.91</c:v>
                </c:pt>
                <c:pt idx="15">
                  <c:v>82.57</c:v>
                </c:pt>
                <c:pt idx="16">
                  <c:v>89.14</c:v>
                </c:pt>
                <c:pt idx="17">
                  <c:v>94.63</c:v>
                </c:pt>
                <c:pt idx="18">
                  <c:v>99.81</c:v>
                </c:pt>
                <c:pt idx="19">
                  <c:v>104.61</c:v>
                </c:pt>
                <c:pt idx="20">
                  <c:v>110.3</c:v>
                </c:pt>
                <c:pt idx="30">
                  <c:v>130.07</c:v>
                </c:pt>
              </c:numCache>
            </c:numRef>
          </c:xVal>
          <c:yVal>
            <c:numRef>
              <c:f>'TC-Absorption-30psi'!$B$4:$B$34</c:f>
              <c:numCache>
                <c:formatCode>General</c:formatCode>
                <c:ptCount val="31"/>
                <c:pt idx="0">
                  <c:v>0.1434</c:v>
                </c:pt>
                <c:pt idx="1">
                  <c:v>0.1963</c:v>
                </c:pt>
                <c:pt idx="2">
                  <c:v>0.2105</c:v>
                </c:pt>
                <c:pt idx="3">
                  <c:v>0.2378</c:v>
                </c:pt>
                <c:pt idx="4">
                  <c:v>0.2598</c:v>
                </c:pt>
                <c:pt idx="5">
                  <c:v>0.2884</c:v>
                </c:pt>
                <c:pt idx="6">
                  <c:v>0.3108</c:v>
                </c:pt>
                <c:pt idx="7">
                  <c:v>0.3334</c:v>
                </c:pt>
                <c:pt idx="8">
                  <c:v>0.3583</c:v>
                </c:pt>
                <c:pt idx="9">
                  <c:v>0.3727</c:v>
                </c:pt>
                <c:pt idx="10">
                  <c:v>0.405</c:v>
                </c:pt>
                <c:pt idx="11">
                  <c:v>0.4347</c:v>
                </c:pt>
                <c:pt idx="12">
                  <c:v>0.4633</c:v>
                </c:pt>
                <c:pt idx="13">
                  <c:v>0.4921</c:v>
                </c:pt>
                <c:pt idx="14">
                  <c:v>0.5339</c:v>
                </c:pt>
                <c:pt idx="15">
                  <c:v>0.5716</c:v>
                </c:pt>
                <c:pt idx="16">
                  <c:v>0.6185</c:v>
                </c:pt>
                <c:pt idx="17">
                  <c:v>0.6412</c:v>
                </c:pt>
                <c:pt idx="18">
                  <c:v>0.6769</c:v>
                </c:pt>
                <c:pt idx="19">
                  <c:v>0.6985</c:v>
                </c:pt>
                <c:pt idx="20">
                  <c:v>0.7121</c:v>
                </c:pt>
              </c:numCache>
            </c:numRef>
          </c:yVal>
          <c:smooth val="0"/>
        </c:ser>
        <c:ser>
          <c:idx val="1"/>
          <c:order val="2"/>
          <c:tx>
            <c:v>40% RH</c:v>
          </c:tx>
          <c:spPr>
            <a:ln w="28575">
              <a:noFill/>
            </a:ln>
          </c:spPr>
          <c:marker>
            <c:symbol val="triangle"/>
            <c:size val="5"/>
            <c:spPr>
              <a:solidFill>
                <a:srgbClr val="C00000">
                  <a:alpha val="50000"/>
                </a:srgbClr>
              </a:solidFill>
              <a:ln w="12700">
                <a:solidFill>
                  <a:sysClr val="windowText" lastClr="000000"/>
                </a:solidFill>
              </a:ln>
            </c:spPr>
          </c:marker>
          <c:errBars>
            <c:errDir val="y"/>
            <c:errBarType val="both"/>
            <c:errValType val="cust"/>
            <c:noEndCap val="0"/>
            <c:plus>
              <c:numRef>
                <c:f>'TC-Absorption-30psi'!$I$4:$I$29</c:f>
                <c:numCache>
                  <c:formatCode>General</c:formatCode>
                  <c:ptCount val="26"/>
                  <c:pt idx="0">
                    <c:v>0.033</c:v>
                  </c:pt>
                  <c:pt idx="1">
                    <c:v>0.049</c:v>
                  </c:pt>
                  <c:pt idx="2">
                    <c:v>0.064</c:v>
                  </c:pt>
                  <c:pt idx="3">
                    <c:v>0.071</c:v>
                  </c:pt>
                  <c:pt idx="4">
                    <c:v>0.107</c:v>
                  </c:pt>
                  <c:pt idx="5">
                    <c:v>0.107</c:v>
                  </c:pt>
                  <c:pt idx="6">
                    <c:v>0.118</c:v>
                  </c:pt>
                  <c:pt idx="7">
                    <c:v>0.112</c:v>
                  </c:pt>
                  <c:pt idx="8">
                    <c:v>0.087</c:v>
                  </c:pt>
                  <c:pt idx="9">
                    <c:v>0.088</c:v>
                  </c:pt>
                  <c:pt idx="10">
                    <c:v>0.104</c:v>
                  </c:pt>
                  <c:pt idx="11">
                    <c:v>0.122</c:v>
                  </c:pt>
                  <c:pt idx="12">
                    <c:v>0.126</c:v>
                  </c:pt>
                  <c:pt idx="13">
                    <c:v>0.103</c:v>
                  </c:pt>
                  <c:pt idx="14">
                    <c:v>0.103</c:v>
                  </c:pt>
                  <c:pt idx="15">
                    <c:v>0.124</c:v>
                  </c:pt>
                  <c:pt idx="16">
                    <c:v>0.102</c:v>
                  </c:pt>
                  <c:pt idx="17">
                    <c:v>0.118</c:v>
                  </c:pt>
                  <c:pt idx="18">
                    <c:v>0.132</c:v>
                  </c:pt>
                  <c:pt idx="19">
                    <c:v>0.129</c:v>
                  </c:pt>
                  <c:pt idx="20">
                    <c:v>0.11</c:v>
                  </c:pt>
                </c:numCache>
              </c:numRef>
            </c:plus>
            <c:minus>
              <c:numRef>
                <c:f>'TC-Absorption-30psi'!$I$4:$I$29</c:f>
                <c:numCache>
                  <c:formatCode>General</c:formatCode>
                  <c:ptCount val="26"/>
                  <c:pt idx="0">
                    <c:v>0.033</c:v>
                  </c:pt>
                  <c:pt idx="1">
                    <c:v>0.049</c:v>
                  </c:pt>
                  <c:pt idx="2">
                    <c:v>0.064</c:v>
                  </c:pt>
                  <c:pt idx="3">
                    <c:v>0.071</c:v>
                  </c:pt>
                  <c:pt idx="4">
                    <c:v>0.107</c:v>
                  </c:pt>
                  <c:pt idx="5">
                    <c:v>0.107</c:v>
                  </c:pt>
                  <c:pt idx="6">
                    <c:v>0.118</c:v>
                  </c:pt>
                  <c:pt idx="7">
                    <c:v>0.112</c:v>
                  </c:pt>
                  <c:pt idx="8">
                    <c:v>0.087</c:v>
                  </c:pt>
                  <c:pt idx="9">
                    <c:v>0.088</c:v>
                  </c:pt>
                  <c:pt idx="10">
                    <c:v>0.104</c:v>
                  </c:pt>
                  <c:pt idx="11">
                    <c:v>0.122</c:v>
                  </c:pt>
                  <c:pt idx="12">
                    <c:v>0.126</c:v>
                  </c:pt>
                  <c:pt idx="13">
                    <c:v>0.103</c:v>
                  </c:pt>
                  <c:pt idx="14">
                    <c:v>0.103</c:v>
                  </c:pt>
                  <c:pt idx="15">
                    <c:v>0.124</c:v>
                  </c:pt>
                  <c:pt idx="16">
                    <c:v>0.102</c:v>
                  </c:pt>
                  <c:pt idx="17">
                    <c:v>0.118</c:v>
                  </c:pt>
                  <c:pt idx="18">
                    <c:v>0.132</c:v>
                  </c:pt>
                  <c:pt idx="19">
                    <c:v>0.129</c:v>
                  </c:pt>
                  <c:pt idx="20">
                    <c:v>0.11</c:v>
                  </c:pt>
                </c:numCache>
              </c:numRef>
            </c:minus>
            <c:spPr>
              <a:ln w="12700">
                <a:solidFill>
                  <a:srgbClr val="C00000"/>
                </a:solidFill>
              </a:ln>
            </c:spPr>
          </c:errBars>
          <c:xVal>
            <c:numRef>
              <c:f>'TC-Absorption-30psi'!$G$4:$G$34</c:f>
              <c:numCache>
                <c:formatCode>General</c:formatCode>
                <c:ptCount val="31"/>
                <c:pt idx="0">
                  <c:v>2.35</c:v>
                </c:pt>
                <c:pt idx="1">
                  <c:v>5.41</c:v>
                </c:pt>
                <c:pt idx="2">
                  <c:v>8.629999999999998</c:v>
                </c:pt>
                <c:pt idx="3">
                  <c:v>13.9</c:v>
                </c:pt>
                <c:pt idx="4">
                  <c:v>20.37</c:v>
                </c:pt>
                <c:pt idx="5">
                  <c:v>25.98</c:v>
                </c:pt>
                <c:pt idx="6">
                  <c:v>31.04</c:v>
                </c:pt>
                <c:pt idx="7">
                  <c:v>35.71</c:v>
                </c:pt>
                <c:pt idx="8">
                  <c:v>43.02</c:v>
                </c:pt>
                <c:pt idx="9">
                  <c:v>48.49</c:v>
                </c:pt>
                <c:pt idx="10">
                  <c:v>54.32</c:v>
                </c:pt>
                <c:pt idx="11">
                  <c:v>59.81</c:v>
                </c:pt>
                <c:pt idx="12">
                  <c:v>65.38</c:v>
                </c:pt>
                <c:pt idx="13">
                  <c:v>71.48</c:v>
                </c:pt>
                <c:pt idx="14">
                  <c:v>77.91</c:v>
                </c:pt>
                <c:pt idx="15">
                  <c:v>82.57</c:v>
                </c:pt>
                <c:pt idx="16">
                  <c:v>89.14</c:v>
                </c:pt>
                <c:pt idx="17">
                  <c:v>94.63</c:v>
                </c:pt>
                <c:pt idx="18">
                  <c:v>99.81</c:v>
                </c:pt>
                <c:pt idx="19">
                  <c:v>104.61</c:v>
                </c:pt>
                <c:pt idx="20">
                  <c:v>110.3</c:v>
                </c:pt>
              </c:numCache>
            </c:numRef>
          </c:xVal>
          <c:yVal>
            <c:numRef>
              <c:f>'TC-Absorption-30psi'!$H$4:$H$34</c:f>
              <c:numCache>
                <c:formatCode>General</c:formatCode>
                <c:ptCount val="31"/>
                <c:pt idx="0">
                  <c:v>0.2234</c:v>
                </c:pt>
                <c:pt idx="1">
                  <c:v>0.3231</c:v>
                </c:pt>
                <c:pt idx="2">
                  <c:v>0.38</c:v>
                </c:pt>
                <c:pt idx="3">
                  <c:v>0.4204</c:v>
                </c:pt>
                <c:pt idx="4">
                  <c:v>0.4706</c:v>
                </c:pt>
                <c:pt idx="5">
                  <c:v>0.5278</c:v>
                </c:pt>
                <c:pt idx="6">
                  <c:v>0.5386</c:v>
                </c:pt>
                <c:pt idx="7">
                  <c:v>0.5592</c:v>
                </c:pt>
                <c:pt idx="8">
                  <c:v>0.6029</c:v>
                </c:pt>
                <c:pt idx="9">
                  <c:v>0.6439</c:v>
                </c:pt>
                <c:pt idx="10">
                  <c:v>0.6879</c:v>
                </c:pt>
                <c:pt idx="11">
                  <c:v>0.766</c:v>
                </c:pt>
                <c:pt idx="12">
                  <c:v>0.8129</c:v>
                </c:pt>
                <c:pt idx="13">
                  <c:v>0.8199</c:v>
                </c:pt>
                <c:pt idx="14">
                  <c:v>0.8765</c:v>
                </c:pt>
                <c:pt idx="15">
                  <c:v>0.8665</c:v>
                </c:pt>
                <c:pt idx="16">
                  <c:v>0.9292</c:v>
                </c:pt>
                <c:pt idx="17">
                  <c:v>0.9445</c:v>
                </c:pt>
                <c:pt idx="18">
                  <c:v>0.9422</c:v>
                </c:pt>
                <c:pt idx="19">
                  <c:v>0.9559</c:v>
                </c:pt>
                <c:pt idx="20">
                  <c:v>0.9976</c:v>
                </c:pt>
              </c:numCache>
            </c:numRef>
          </c:yVal>
          <c:smooth val="0"/>
        </c:ser>
        <c:ser>
          <c:idx val="2"/>
          <c:order val="3"/>
          <c:tx>
            <c:v>70% RH</c:v>
          </c:tx>
          <c:spPr>
            <a:ln w="28575">
              <a:noFill/>
            </a:ln>
          </c:spPr>
          <c:marker>
            <c:symbol val="triangle"/>
            <c:size val="5"/>
            <c:spPr>
              <a:solidFill>
                <a:srgbClr val="00B050">
                  <a:alpha val="50000"/>
                </a:srgbClr>
              </a:solidFill>
              <a:ln w="12700">
                <a:solidFill>
                  <a:sysClr val="windowText" lastClr="000000"/>
                </a:solidFill>
              </a:ln>
            </c:spPr>
          </c:marker>
          <c:errBars>
            <c:errDir val="y"/>
            <c:errBarType val="both"/>
            <c:errValType val="cust"/>
            <c:noEndCap val="0"/>
            <c:plus>
              <c:numRef>
                <c:f>'TC-Absorption-30psi'!$O$4:$O$29</c:f>
                <c:numCache>
                  <c:formatCode>General</c:formatCode>
                  <c:ptCount val="26"/>
                  <c:pt idx="0">
                    <c:v>0.066</c:v>
                  </c:pt>
                  <c:pt idx="1">
                    <c:v>0.123</c:v>
                  </c:pt>
                  <c:pt idx="2">
                    <c:v>0.183</c:v>
                  </c:pt>
                  <c:pt idx="3">
                    <c:v>0.198</c:v>
                  </c:pt>
                  <c:pt idx="4">
                    <c:v>0.205</c:v>
                  </c:pt>
                  <c:pt idx="5">
                    <c:v>0.228</c:v>
                  </c:pt>
                  <c:pt idx="6">
                    <c:v>0.212</c:v>
                  </c:pt>
                  <c:pt idx="7">
                    <c:v>0.208</c:v>
                  </c:pt>
                  <c:pt idx="8">
                    <c:v>0.217</c:v>
                  </c:pt>
                  <c:pt idx="9">
                    <c:v>0.221</c:v>
                  </c:pt>
                  <c:pt idx="10">
                    <c:v>0.229</c:v>
                  </c:pt>
                  <c:pt idx="11">
                    <c:v>0.23</c:v>
                  </c:pt>
                  <c:pt idx="12">
                    <c:v>0.218</c:v>
                  </c:pt>
                  <c:pt idx="13">
                    <c:v>0.214</c:v>
                  </c:pt>
                  <c:pt idx="14">
                    <c:v>0.225</c:v>
                  </c:pt>
                  <c:pt idx="15">
                    <c:v>0.221</c:v>
                  </c:pt>
                  <c:pt idx="16">
                    <c:v>0.22</c:v>
                  </c:pt>
                  <c:pt idx="17">
                    <c:v>0.218</c:v>
                  </c:pt>
                  <c:pt idx="18">
                    <c:v>0.224</c:v>
                  </c:pt>
                  <c:pt idx="19">
                    <c:v>0.216</c:v>
                  </c:pt>
                  <c:pt idx="20">
                    <c:v>0.215</c:v>
                  </c:pt>
                </c:numCache>
              </c:numRef>
            </c:plus>
            <c:minus>
              <c:numRef>
                <c:f>'TC-Absorption-30psi'!$O$4:$O$29</c:f>
                <c:numCache>
                  <c:formatCode>General</c:formatCode>
                  <c:ptCount val="26"/>
                  <c:pt idx="0">
                    <c:v>0.066</c:v>
                  </c:pt>
                  <c:pt idx="1">
                    <c:v>0.123</c:v>
                  </c:pt>
                  <c:pt idx="2">
                    <c:v>0.183</c:v>
                  </c:pt>
                  <c:pt idx="3">
                    <c:v>0.198</c:v>
                  </c:pt>
                  <c:pt idx="4">
                    <c:v>0.205</c:v>
                  </c:pt>
                  <c:pt idx="5">
                    <c:v>0.228</c:v>
                  </c:pt>
                  <c:pt idx="6">
                    <c:v>0.212</c:v>
                  </c:pt>
                  <c:pt idx="7">
                    <c:v>0.208</c:v>
                  </c:pt>
                  <c:pt idx="8">
                    <c:v>0.217</c:v>
                  </c:pt>
                  <c:pt idx="9">
                    <c:v>0.221</c:v>
                  </c:pt>
                  <c:pt idx="10">
                    <c:v>0.229</c:v>
                  </c:pt>
                  <c:pt idx="11">
                    <c:v>0.23</c:v>
                  </c:pt>
                  <c:pt idx="12">
                    <c:v>0.218</c:v>
                  </c:pt>
                  <c:pt idx="13">
                    <c:v>0.214</c:v>
                  </c:pt>
                  <c:pt idx="14">
                    <c:v>0.225</c:v>
                  </c:pt>
                  <c:pt idx="15">
                    <c:v>0.221</c:v>
                  </c:pt>
                  <c:pt idx="16">
                    <c:v>0.22</c:v>
                  </c:pt>
                  <c:pt idx="17">
                    <c:v>0.218</c:v>
                  </c:pt>
                  <c:pt idx="18">
                    <c:v>0.224</c:v>
                  </c:pt>
                  <c:pt idx="19">
                    <c:v>0.216</c:v>
                  </c:pt>
                  <c:pt idx="20">
                    <c:v>0.215</c:v>
                  </c:pt>
                </c:numCache>
              </c:numRef>
            </c:minus>
            <c:spPr>
              <a:ln w="12700">
                <a:solidFill>
                  <a:srgbClr val="00B050"/>
                </a:solidFill>
              </a:ln>
            </c:spPr>
          </c:errBars>
          <c:xVal>
            <c:numRef>
              <c:f>'TC-Absorption-30psi'!$M$4:$M$34</c:f>
              <c:numCache>
                <c:formatCode>General</c:formatCode>
                <c:ptCount val="31"/>
                <c:pt idx="0">
                  <c:v>2.37</c:v>
                </c:pt>
                <c:pt idx="1">
                  <c:v>5.42</c:v>
                </c:pt>
                <c:pt idx="2">
                  <c:v>8.64</c:v>
                </c:pt>
                <c:pt idx="3">
                  <c:v>13.91</c:v>
                </c:pt>
                <c:pt idx="4">
                  <c:v>20.38</c:v>
                </c:pt>
                <c:pt idx="5">
                  <c:v>25.98</c:v>
                </c:pt>
                <c:pt idx="6">
                  <c:v>31.04</c:v>
                </c:pt>
                <c:pt idx="7">
                  <c:v>35.71</c:v>
                </c:pt>
                <c:pt idx="8">
                  <c:v>43.02</c:v>
                </c:pt>
                <c:pt idx="9">
                  <c:v>48.49</c:v>
                </c:pt>
                <c:pt idx="10">
                  <c:v>54.32</c:v>
                </c:pt>
                <c:pt idx="11">
                  <c:v>59.81</c:v>
                </c:pt>
                <c:pt idx="12">
                  <c:v>65.38</c:v>
                </c:pt>
                <c:pt idx="13">
                  <c:v>71.48</c:v>
                </c:pt>
                <c:pt idx="14">
                  <c:v>77.91</c:v>
                </c:pt>
                <c:pt idx="15">
                  <c:v>82.57</c:v>
                </c:pt>
                <c:pt idx="16">
                  <c:v>89.14</c:v>
                </c:pt>
                <c:pt idx="17">
                  <c:v>94.63</c:v>
                </c:pt>
                <c:pt idx="18">
                  <c:v>99.81</c:v>
                </c:pt>
                <c:pt idx="19">
                  <c:v>104.61</c:v>
                </c:pt>
                <c:pt idx="20">
                  <c:v>110.3</c:v>
                </c:pt>
              </c:numCache>
            </c:numRef>
          </c:xVal>
          <c:yVal>
            <c:numRef>
              <c:f>'TC-Absorption-30psi'!$N$4:$N$34</c:f>
              <c:numCache>
                <c:formatCode>General</c:formatCode>
                <c:ptCount val="31"/>
                <c:pt idx="0">
                  <c:v>0.3124</c:v>
                </c:pt>
                <c:pt idx="1">
                  <c:v>0.4933</c:v>
                </c:pt>
                <c:pt idx="2">
                  <c:v>0.6047</c:v>
                </c:pt>
                <c:pt idx="3">
                  <c:v>0.6694</c:v>
                </c:pt>
                <c:pt idx="4">
                  <c:v>0.7138</c:v>
                </c:pt>
                <c:pt idx="5">
                  <c:v>0.7848</c:v>
                </c:pt>
                <c:pt idx="6">
                  <c:v>0.8003</c:v>
                </c:pt>
                <c:pt idx="7">
                  <c:v>0.81</c:v>
                </c:pt>
                <c:pt idx="8">
                  <c:v>0.8472</c:v>
                </c:pt>
                <c:pt idx="9">
                  <c:v>0.8929</c:v>
                </c:pt>
                <c:pt idx="10">
                  <c:v>0.9447</c:v>
                </c:pt>
                <c:pt idx="11">
                  <c:v>1.0226</c:v>
                </c:pt>
                <c:pt idx="12">
                  <c:v>1.0623</c:v>
                </c:pt>
                <c:pt idx="13">
                  <c:v>1.1018</c:v>
                </c:pt>
                <c:pt idx="14">
                  <c:v>1.1297</c:v>
                </c:pt>
                <c:pt idx="15">
                  <c:v>1.1381</c:v>
                </c:pt>
                <c:pt idx="16">
                  <c:v>1.176</c:v>
                </c:pt>
                <c:pt idx="17">
                  <c:v>1.2071</c:v>
                </c:pt>
                <c:pt idx="18">
                  <c:v>1.2012</c:v>
                </c:pt>
                <c:pt idx="19">
                  <c:v>1.1904</c:v>
                </c:pt>
                <c:pt idx="20">
                  <c:v>1.2281</c:v>
                </c:pt>
              </c:numCache>
            </c:numRef>
          </c:yVal>
          <c:smooth val="0"/>
        </c:ser>
        <c:ser>
          <c:idx val="3"/>
          <c:order val="4"/>
          <c:tx>
            <c:v>99% RH</c:v>
          </c:tx>
          <c:spPr>
            <a:ln w="28575">
              <a:noFill/>
            </a:ln>
          </c:spPr>
          <c:marker>
            <c:symbol val="triangle"/>
            <c:size val="5"/>
            <c:spPr>
              <a:solidFill>
                <a:srgbClr val="7030A0">
                  <a:alpha val="50000"/>
                </a:srgbClr>
              </a:solidFill>
              <a:ln w="12700">
                <a:solidFill>
                  <a:sysClr val="windowText" lastClr="000000"/>
                </a:solidFill>
              </a:ln>
            </c:spPr>
          </c:marker>
          <c:errBars>
            <c:errDir val="y"/>
            <c:errBarType val="both"/>
            <c:errValType val="cust"/>
            <c:noEndCap val="0"/>
            <c:plus>
              <c:numRef>
                <c:f>'TC-Absorption-30psi'!$U$4:$U$29</c:f>
                <c:numCache>
                  <c:formatCode>General</c:formatCode>
                  <c:ptCount val="26"/>
                  <c:pt idx="0">
                    <c:v>0.06</c:v>
                  </c:pt>
                  <c:pt idx="1">
                    <c:v>0.094</c:v>
                  </c:pt>
                  <c:pt idx="2">
                    <c:v>0.137</c:v>
                  </c:pt>
                  <c:pt idx="3">
                    <c:v>0.141</c:v>
                  </c:pt>
                  <c:pt idx="4">
                    <c:v>0.158</c:v>
                  </c:pt>
                  <c:pt idx="5">
                    <c:v>0.163</c:v>
                  </c:pt>
                  <c:pt idx="6">
                    <c:v>0.164</c:v>
                  </c:pt>
                  <c:pt idx="7">
                    <c:v>0.163</c:v>
                  </c:pt>
                  <c:pt idx="8">
                    <c:v>0.144</c:v>
                  </c:pt>
                  <c:pt idx="9">
                    <c:v>0.167</c:v>
                  </c:pt>
                  <c:pt idx="10">
                    <c:v>0.147</c:v>
                  </c:pt>
                  <c:pt idx="11">
                    <c:v>0.164</c:v>
                  </c:pt>
                  <c:pt idx="12">
                    <c:v>0.177</c:v>
                  </c:pt>
                  <c:pt idx="13">
                    <c:v>0.146</c:v>
                  </c:pt>
                  <c:pt idx="14">
                    <c:v>0.16</c:v>
                  </c:pt>
                  <c:pt idx="15">
                    <c:v>0.179</c:v>
                  </c:pt>
                  <c:pt idx="16">
                    <c:v>0.132</c:v>
                  </c:pt>
                  <c:pt idx="17">
                    <c:v>0.15</c:v>
                  </c:pt>
                  <c:pt idx="18">
                    <c:v>0.169</c:v>
                  </c:pt>
                  <c:pt idx="19">
                    <c:v>0.161</c:v>
                  </c:pt>
                  <c:pt idx="20">
                    <c:v>0.158</c:v>
                  </c:pt>
                </c:numCache>
              </c:numRef>
            </c:plus>
            <c:minus>
              <c:numRef>
                <c:f>'TC-Absorption-30psi'!$U$4:$U$29</c:f>
                <c:numCache>
                  <c:formatCode>General</c:formatCode>
                  <c:ptCount val="26"/>
                  <c:pt idx="0">
                    <c:v>0.06</c:v>
                  </c:pt>
                  <c:pt idx="1">
                    <c:v>0.094</c:v>
                  </c:pt>
                  <c:pt idx="2">
                    <c:v>0.137</c:v>
                  </c:pt>
                  <c:pt idx="3">
                    <c:v>0.141</c:v>
                  </c:pt>
                  <c:pt idx="4">
                    <c:v>0.158</c:v>
                  </c:pt>
                  <c:pt idx="5">
                    <c:v>0.163</c:v>
                  </c:pt>
                  <c:pt idx="6">
                    <c:v>0.164</c:v>
                  </c:pt>
                  <c:pt idx="7">
                    <c:v>0.163</c:v>
                  </c:pt>
                  <c:pt idx="8">
                    <c:v>0.144</c:v>
                  </c:pt>
                  <c:pt idx="9">
                    <c:v>0.167</c:v>
                  </c:pt>
                  <c:pt idx="10">
                    <c:v>0.147</c:v>
                  </c:pt>
                  <c:pt idx="11">
                    <c:v>0.164</c:v>
                  </c:pt>
                  <c:pt idx="12">
                    <c:v>0.177</c:v>
                  </c:pt>
                  <c:pt idx="13">
                    <c:v>0.146</c:v>
                  </c:pt>
                  <c:pt idx="14">
                    <c:v>0.16</c:v>
                  </c:pt>
                  <c:pt idx="15">
                    <c:v>0.179</c:v>
                  </c:pt>
                  <c:pt idx="16">
                    <c:v>0.132</c:v>
                  </c:pt>
                  <c:pt idx="17">
                    <c:v>0.15</c:v>
                  </c:pt>
                  <c:pt idx="18">
                    <c:v>0.169</c:v>
                  </c:pt>
                  <c:pt idx="19">
                    <c:v>0.161</c:v>
                  </c:pt>
                  <c:pt idx="20">
                    <c:v>0.158</c:v>
                  </c:pt>
                </c:numCache>
              </c:numRef>
            </c:minus>
            <c:spPr>
              <a:ln w="12700">
                <a:solidFill>
                  <a:srgbClr val="7030A0"/>
                </a:solidFill>
              </a:ln>
            </c:spPr>
          </c:errBars>
          <c:xVal>
            <c:numRef>
              <c:f>'TC-Absorption-30psi'!$S$4:$S$34</c:f>
              <c:numCache>
                <c:formatCode>General</c:formatCode>
                <c:ptCount val="31"/>
                <c:pt idx="0">
                  <c:v>2.39</c:v>
                </c:pt>
                <c:pt idx="1">
                  <c:v>5.43</c:v>
                </c:pt>
                <c:pt idx="2">
                  <c:v>8.65</c:v>
                </c:pt>
                <c:pt idx="3">
                  <c:v>13.91</c:v>
                </c:pt>
                <c:pt idx="4">
                  <c:v>20.38</c:v>
                </c:pt>
                <c:pt idx="5">
                  <c:v>25.98</c:v>
                </c:pt>
                <c:pt idx="6">
                  <c:v>31.04</c:v>
                </c:pt>
                <c:pt idx="7">
                  <c:v>35.72</c:v>
                </c:pt>
                <c:pt idx="8">
                  <c:v>43.03</c:v>
                </c:pt>
                <c:pt idx="9">
                  <c:v>48.49</c:v>
                </c:pt>
                <c:pt idx="10">
                  <c:v>54.32</c:v>
                </c:pt>
                <c:pt idx="11">
                  <c:v>59.82</c:v>
                </c:pt>
                <c:pt idx="12">
                  <c:v>65.38</c:v>
                </c:pt>
                <c:pt idx="13">
                  <c:v>71.49</c:v>
                </c:pt>
                <c:pt idx="14">
                  <c:v>77.91</c:v>
                </c:pt>
                <c:pt idx="15">
                  <c:v>82.57</c:v>
                </c:pt>
                <c:pt idx="16">
                  <c:v>89.14</c:v>
                </c:pt>
                <c:pt idx="17">
                  <c:v>94.63</c:v>
                </c:pt>
                <c:pt idx="18">
                  <c:v>99.81</c:v>
                </c:pt>
                <c:pt idx="19">
                  <c:v>104.61</c:v>
                </c:pt>
                <c:pt idx="20">
                  <c:v>110.3</c:v>
                </c:pt>
              </c:numCache>
            </c:numRef>
          </c:xVal>
          <c:yVal>
            <c:numRef>
              <c:f>'TC-Absorption-30psi'!$T$4:$T$34</c:f>
              <c:numCache>
                <c:formatCode>General</c:formatCode>
                <c:ptCount val="31"/>
                <c:pt idx="0">
                  <c:v>0.5416</c:v>
                </c:pt>
                <c:pt idx="1">
                  <c:v>0.9574</c:v>
                </c:pt>
                <c:pt idx="2">
                  <c:v>1.1939</c:v>
                </c:pt>
                <c:pt idx="3">
                  <c:v>1.3006</c:v>
                </c:pt>
                <c:pt idx="4">
                  <c:v>1.3304</c:v>
                </c:pt>
                <c:pt idx="5">
                  <c:v>1.3852</c:v>
                </c:pt>
                <c:pt idx="6">
                  <c:v>1.4164</c:v>
                </c:pt>
                <c:pt idx="7">
                  <c:v>1.4616</c:v>
                </c:pt>
                <c:pt idx="8">
                  <c:v>1.536</c:v>
                </c:pt>
                <c:pt idx="9">
                  <c:v>1.5892</c:v>
                </c:pt>
                <c:pt idx="10">
                  <c:v>1.6283</c:v>
                </c:pt>
                <c:pt idx="11">
                  <c:v>1.6767</c:v>
                </c:pt>
                <c:pt idx="12">
                  <c:v>1.727</c:v>
                </c:pt>
                <c:pt idx="13">
                  <c:v>1.751</c:v>
                </c:pt>
                <c:pt idx="14">
                  <c:v>1.7692</c:v>
                </c:pt>
                <c:pt idx="15">
                  <c:v>1.7544</c:v>
                </c:pt>
                <c:pt idx="16">
                  <c:v>1.8139</c:v>
                </c:pt>
                <c:pt idx="17">
                  <c:v>1.8733</c:v>
                </c:pt>
                <c:pt idx="18">
                  <c:v>1.8927</c:v>
                </c:pt>
                <c:pt idx="19">
                  <c:v>1.8998</c:v>
                </c:pt>
                <c:pt idx="20">
                  <c:v>1.9195</c:v>
                </c:pt>
              </c:numCache>
            </c:numRef>
          </c:yVal>
          <c:smooth val="0"/>
        </c:ser>
        <c:ser>
          <c:idx val="9"/>
          <c:order val="5"/>
          <c:spPr>
            <a:ln w="12700">
              <a:solidFill>
                <a:sysClr val="windowText" lastClr="000000"/>
              </a:solidFill>
              <a:prstDash val="lgDash"/>
            </a:ln>
          </c:spPr>
          <c:marker>
            <c:symbol val="none"/>
          </c:marker>
          <c:dPt>
            <c:idx val="1"/>
            <c:bubble3D val="0"/>
            <c:spPr>
              <a:ln w="12700">
                <a:solidFill>
                  <a:schemeClr val="bg1">
                    <a:lumMod val="50000"/>
                  </a:schemeClr>
                </a:solidFill>
                <a:prstDash val="lgDash"/>
              </a:ln>
            </c:spPr>
          </c:dPt>
          <c:xVal>
            <c:numRef>
              <c:f>('BMI-Absorption-10psi'!$D$51,'BMI-Absorption-10psi'!$D$51)</c:f>
              <c:numCache>
                <c:formatCode>General</c:formatCode>
                <c:ptCount val="2"/>
                <c:pt idx="0">
                  <c:v>132.363</c:v>
                </c:pt>
                <c:pt idx="1">
                  <c:v>132.363</c:v>
                </c:pt>
              </c:numCache>
            </c:numRef>
          </c:xVal>
          <c:yVal>
            <c:numLit>
              <c:formatCode>General</c:formatCode>
              <c:ptCount val="2"/>
              <c:pt idx="0">
                <c:v>0.0</c:v>
              </c:pt>
              <c:pt idx="1">
                <c:v>12.0</c:v>
              </c:pt>
            </c:numLit>
          </c:yVal>
          <c:smooth val="0"/>
        </c:ser>
        <c:dLbls>
          <c:showLegendKey val="0"/>
          <c:showVal val="0"/>
          <c:showCatName val="0"/>
          <c:showSerName val="0"/>
          <c:showPercent val="0"/>
          <c:showBubbleSize val="0"/>
        </c:dLbls>
        <c:axId val="424033816"/>
        <c:axId val="424039768"/>
      </c:scatterChart>
      <c:valAx>
        <c:axId val="424033816"/>
        <c:scaling>
          <c:orientation val="minMax"/>
          <c:max val="15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424039768"/>
        <c:crosses val="autoZero"/>
        <c:crossBetween val="midCat"/>
        <c:minorUnit val="12.5"/>
      </c:valAx>
      <c:valAx>
        <c:axId val="424039768"/>
        <c:scaling>
          <c:orientation val="minMax"/>
          <c:max val="3.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424033816"/>
        <c:crosses val="autoZero"/>
        <c:crossBetween val="midCat"/>
        <c:majorUnit val="1.0"/>
        <c:minorUnit val="0.25"/>
      </c:valAx>
      <c:spPr>
        <a:ln w="19050">
          <a:solidFill>
            <a:sysClr val="windowText" lastClr="000000"/>
          </a:solidFill>
        </a:ln>
      </c:spPr>
    </c:plotArea>
    <c:legend>
      <c:legendPos val="r"/>
      <c:legendEntry>
        <c:idx val="0"/>
        <c:delete val="1"/>
      </c:legendEntry>
      <c:legendEntry>
        <c:idx val="5"/>
        <c:delete val="1"/>
      </c:legendEntry>
      <c:layout>
        <c:manualLayout>
          <c:xMode val="edge"/>
          <c:yMode val="edge"/>
          <c:x val="0.177046562680788"/>
          <c:y val="0.095813664636131"/>
          <c:w val="0.235230659726856"/>
          <c:h val="0.198320209973753"/>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4324356685478"/>
          <c:y val="0.0333333333333333"/>
          <c:w val="0.759957604491145"/>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triangle"/>
            <c:size val="5"/>
            <c:spPr>
              <a:solidFill>
                <a:srgbClr val="0070C0">
                  <a:alpha val="50000"/>
                </a:srgbClr>
              </a:solidFill>
              <a:ln w="12700">
                <a:solidFill>
                  <a:schemeClr val="tx1"/>
                </a:solidFill>
              </a:ln>
            </c:spPr>
          </c:marker>
          <c:errBars>
            <c:errDir val="y"/>
            <c:errBarType val="both"/>
            <c:errValType val="cust"/>
            <c:noEndCap val="0"/>
            <c:plus>
              <c:numRef>
                <c:f>'TC-Absorption-50psi'!$C$4:$C$29</c:f>
                <c:numCache>
                  <c:formatCode>General</c:formatCode>
                  <c:ptCount val="26"/>
                  <c:pt idx="0">
                    <c:v>0.013</c:v>
                  </c:pt>
                  <c:pt idx="1">
                    <c:v>0.016</c:v>
                  </c:pt>
                  <c:pt idx="2">
                    <c:v>0.015</c:v>
                  </c:pt>
                  <c:pt idx="3">
                    <c:v>0.02</c:v>
                  </c:pt>
                  <c:pt idx="4">
                    <c:v>0.02</c:v>
                  </c:pt>
                  <c:pt idx="5">
                    <c:v>0.028</c:v>
                  </c:pt>
                  <c:pt idx="6">
                    <c:v>0.016</c:v>
                  </c:pt>
                  <c:pt idx="7">
                    <c:v>0.024</c:v>
                  </c:pt>
                  <c:pt idx="8">
                    <c:v>0.029</c:v>
                  </c:pt>
                  <c:pt idx="9">
                    <c:v>0.039</c:v>
                  </c:pt>
                  <c:pt idx="10">
                    <c:v>0.037</c:v>
                  </c:pt>
                  <c:pt idx="11">
                    <c:v>0.023</c:v>
                  </c:pt>
                  <c:pt idx="12">
                    <c:v>0.023</c:v>
                  </c:pt>
                  <c:pt idx="13">
                    <c:v>0.049</c:v>
                  </c:pt>
                  <c:pt idx="14">
                    <c:v>0.036</c:v>
                  </c:pt>
                  <c:pt idx="15">
                    <c:v>0.039</c:v>
                  </c:pt>
                  <c:pt idx="16">
                    <c:v>0.04</c:v>
                  </c:pt>
                  <c:pt idx="17">
                    <c:v>0.041</c:v>
                  </c:pt>
                  <c:pt idx="18">
                    <c:v>0.016</c:v>
                  </c:pt>
                  <c:pt idx="19">
                    <c:v>0.029</c:v>
                  </c:pt>
                  <c:pt idx="20">
                    <c:v>0.033</c:v>
                  </c:pt>
                </c:numCache>
              </c:numRef>
            </c:plus>
            <c:minus>
              <c:numRef>
                <c:f>'TC-Absorption-50psi'!$C$4:$C$29</c:f>
                <c:numCache>
                  <c:formatCode>General</c:formatCode>
                  <c:ptCount val="26"/>
                  <c:pt idx="0">
                    <c:v>0.013</c:v>
                  </c:pt>
                  <c:pt idx="1">
                    <c:v>0.016</c:v>
                  </c:pt>
                  <c:pt idx="2">
                    <c:v>0.015</c:v>
                  </c:pt>
                  <c:pt idx="3">
                    <c:v>0.02</c:v>
                  </c:pt>
                  <c:pt idx="4">
                    <c:v>0.02</c:v>
                  </c:pt>
                  <c:pt idx="5">
                    <c:v>0.028</c:v>
                  </c:pt>
                  <c:pt idx="6">
                    <c:v>0.016</c:v>
                  </c:pt>
                  <c:pt idx="7">
                    <c:v>0.024</c:v>
                  </c:pt>
                  <c:pt idx="8">
                    <c:v>0.029</c:v>
                  </c:pt>
                  <c:pt idx="9">
                    <c:v>0.039</c:v>
                  </c:pt>
                  <c:pt idx="10">
                    <c:v>0.037</c:v>
                  </c:pt>
                  <c:pt idx="11">
                    <c:v>0.023</c:v>
                  </c:pt>
                  <c:pt idx="12">
                    <c:v>0.023</c:v>
                  </c:pt>
                  <c:pt idx="13">
                    <c:v>0.049</c:v>
                  </c:pt>
                  <c:pt idx="14">
                    <c:v>0.036</c:v>
                  </c:pt>
                  <c:pt idx="15">
                    <c:v>0.039</c:v>
                  </c:pt>
                  <c:pt idx="16">
                    <c:v>0.04</c:v>
                  </c:pt>
                  <c:pt idx="17">
                    <c:v>0.041</c:v>
                  </c:pt>
                  <c:pt idx="18">
                    <c:v>0.016</c:v>
                  </c:pt>
                  <c:pt idx="19">
                    <c:v>0.029</c:v>
                  </c:pt>
                  <c:pt idx="20">
                    <c:v>0.033</c:v>
                  </c:pt>
                </c:numCache>
              </c:numRef>
            </c:minus>
            <c:spPr>
              <a:ln w="12700">
                <a:solidFill>
                  <a:srgbClr val="0070C0"/>
                </a:solidFill>
              </a:ln>
            </c:spPr>
          </c:errBars>
          <c:xVal>
            <c:numRef>
              <c:f>'TC-Absorption-50psi'!$A$4:$A$34</c:f>
              <c:numCache>
                <c:formatCode>General</c:formatCode>
                <c:ptCount val="31"/>
                <c:pt idx="0">
                  <c:v>2.31</c:v>
                </c:pt>
                <c:pt idx="1">
                  <c:v>5.4</c:v>
                </c:pt>
                <c:pt idx="2">
                  <c:v>8.629999999999998</c:v>
                </c:pt>
                <c:pt idx="3">
                  <c:v>13.9</c:v>
                </c:pt>
                <c:pt idx="4">
                  <c:v>20.37</c:v>
                </c:pt>
                <c:pt idx="5">
                  <c:v>25.98</c:v>
                </c:pt>
                <c:pt idx="6">
                  <c:v>31.03</c:v>
                </c:pt>
                <c:pt idx="7">
                  <c:v>35.71</c:v>
                </c:pt>
                <c:pt idx="8">
                  <c:v>43.02</c:v>
                </c:pt>
                <c:pt idx="9">
                  <c:v>48.49</c:v>
                </c:pt>
                <c:pt idx="10">
                  <c:v>54.32</c:v>
                </c:pt>
                <c:pt idx="11">
                  <c:v>59.81</c:v>
                </c:pt>
                <c:pt idx="12">
                  <c:v>65.37</c:v>
                </c:pt>
                <c:pt idx="13">
                  <c:v>71.48</c:v>
                </c:pt>
                <c:pt idx="14">
                  <c:v>77.91</c:v>
                </c:pt>
                <c:pt idx="15">
                  <c:v>82.57</c:v>
                </c:pt>
                <c:pt idx="16">
                  <c:v>89.14</c:v>
                </c:pt>
                <c:pt idx="17">
                  <c:v>94.63</c:v>
                </c:pt>
                <c:pt idx="18">
                  <c:v>99.81</c:v>
                </c:pt>
                <c:pt idx="19">
                  <c:v>104.61</c:v>
                </c:pt>
                <c:pt idx="20">
                  <c:v>110.3</c:v>
                </c:pt>
                <c:pt idx="30">
                  <c:v>130.07</c:v>
                </c:pt>
              </c:numCache>
            </c:numRef>
          </c:xVal>
          <c:yVal>
            <c:numRef>
              <c:f>'TC-Absorption-50psi'!$B$4:$B$34</c:f>
              <c:numCache>
                <c:formatCode>General</c:formatCode>
                <c:ptCount val="31"/>
                <c:pt idx="0">
                  <c:v>0.1683</c:v>
                </c:pt>
                <c:pt idx="1">
                  <c:v>0.1859</c:v>
                </c:pt>
                <c:pt idx="2">
                  <c:v>0.2105</c:v>
                </c:pt>
                <c:pt idx="3">
                  <c:v>0.2302</c:v>
                </c:pt>
                <c:pt idx="4">
                  <c:v>0.2541</c:v>
                </c:pt>
                <c:pt idx="5">
                  <c:v>0.2921</c:v>
                </c:pt>
                <c:pt idx="6">
                  <c:v>0.2877</c:v>
                </c:pt>
                <c:pt idx="7">
                  <c:v>0.3073</c:v>
                </c:pt>
                <c:pt idx="8">
                  <c:v>0.3308</c:v>
                </c:pt>
                <c:pt idx="9">
                  <c:v>0.3482</c:v>
                </c:pt>
                <c:pt idx="10">
                  <c:v>0.3663</c:v>
                </c:pt>
                <c:pt idx="11">
                  <c:v>0.409</c:v>
                </c:pt>
                <c:pt idx="12">
                  <c:v>0.4344</c:v>
                </c:pt>
                <c:pt idx="13">
                  <c:v>0.519</c:v>
                </c:pt>
                <c:pt idx="14">
                  <c:v>0.5767</c:v>
                </c:pt>
                <c:pt idx="15">
                  <c:v>0.6101</c:v>
                </c:pt>
                <c:pt idx="16">
                  <c:v>0.6634</c:v>
                </c:pt>
                <c:pt idx="17">
                  <c:v>0.646</c:v>
                </c:pt>
                <c:pt idx="18">
                  <c:v>0.6755</c:v>
                </c:pt>
                <c:pt idx="19">
                  <c:v>0.6774</c:v>
                </c:pt>
                <c:pt idx="20">
                  <c:v>0.6837</c:v>
                </c:pt>
              </c:numCache>
            </c:numRef>
          </c:yVal>
          <c:smooth val="0"/>
        </c:ser>
        <c:ser>
          <c:idx val="1"/>
          <c:order val="2"/>
          <c:tx>
            <c:v>40% RH</c:v>
          </c:tx>
          <c:spPr>
            <a:ln w="28575">
              <a:noFill/>
            </a:ln>
          </c:spPr>
          <c:marker>
            <c:symbol val="triangle"/>
            <c:size val="5"/>
            <c:spPr>
              <a:solidFill>
                <a:srgbClr val="C00000">
                  <a:alpha val="50000"/>
                </a:srgbClr>
              </a:solidFill>
              <a:ln w="12700">
                <a:solidFill>
                  <a:sysClr val="windowText" lastClr="000000"/>
                </a:solidFill>
              </a:ln>
            </c:spPr>
          </c:marker>
          <c:errBars>
            <c:errDir val="y"/>
            <c:errBarType val="both"/>
            <c:errValType val="cust"/>
            <c:noEndCap val="0"/>
            <c:plus>
              <c:numRef>
                <c:f>'TC-Absorption-50psi'!$I$4:$I$29</c:f>
                <c:numCache>
                  <c:formatCode>General</c:formatCode>
                  <c:ptCount val="26"/>
                  <c:pt idx="0">
                    <c:v>0.019</c:v>
                  </c:pt>
                  <c:pt idx="1">
                    <c:v>0.053</c:v>
                  </c:pt>
                  <c:pt idx="2">
                    <c:v>0.036</c:v>
                  </c:pt>
                  <c:pt idx="3">
                    <c:v>0.062</c:v>
                  </c:pt>
                  <c:pt idx="4">
                    <c:v>0.047</c:v>
                  </c:pt>
                  <c:pt idx="5">
                    <c:v>0.041</c:v>
                  </c:pt>
                  <c:pt idx="6">
                    <c:v>0.046</c:v>
                  </c:pt>
                  <c:pt idx="7">
                    <c:v>0.054</c:v>
                  </c:pt>
                  <c:pt idx="8">
                    <c:v>0.056</c:v>
                  </c:pt>
                  <c:pt idx="9">
                    <c:v>0.046</c:v>
                  </c:pt>
                  <c:pt idx="10">
                    <c:v>0.061</c:v>
                  </c:pt>
                  <c:pt idx="11">
                    <c:v>0.043</c:v>
                  </c:pt>
                  <c:pt idx="12">
                    <c:v>0.045</c:v>
                  </c:pt>
                  <c:pt idx="13">
                    <c:v>0.061</c:v>
                  </c:pt>
                  <c:pt idx="14">
                    <c:v>0.044</c:v>
                  </c:pt>
                  <c:pt idx="15">
                    <c:v>0.036</c:v>
                  </c:pt>
                  <c:pt idx="16">
                    <c:v>0.047</c:v>
                  </c:pt>
                  <c:pt idx="17">
                    <c:v>0.056</c:v>
                  </c:pt>
                  <c:pt idx="18">
                    <c:v>0.054</c:v>
                  </c:pt>
                  <c:pt idx="19">
                    <c:v>0.051</c:v>
                  </c:pt>
                  <c:pt idx="20">
                    <c:v>0.078</c:v>
                  </c:pt>
                </c:numCache>
              </c:numRef>
            </c:plus>
            <c:minus>
              <c:numRef>
                <c:f>'TC-Absorption-50psi'!$I$4:$I$29</c:f>
                <c:numCache>
                  <c:formatCode>General</c:formatCode>
                  <c:ptCount val="26"/>
                  <c:pt idx="0">
                    <c:v>0.019</c:v>
                  </c:pt>
                  <c:pt idx="1">
                    <c:v>0.053</c:v>
                  </c:pt>
                  <c:pt idx="2">
                    <c:v>0.036</c:v>
                  </c:pt>
                  <c:pt idx="3">
                    <c:v>0.062</c:v>
                  </c:pt>
                  <c:pt idx="4">
                    <c:v>0.047</c:v>
                  </c:pt>
                  <c:pt idx="5">
                    <c:v>0.041</c:v>
                  </c:pt>
                  <c:pt idx="6">
                    <c:v>0.046</c:v>
                  </c:pt>
                  <c:pt idx="7">
                    <c:v>0.054</c:v>
                  </c:pt>
                  <c:pt idx="8">
                    <c:v>0.056</c:v>
                  </c:pt>
                  <c:pt idx="9">
                    <c:v>0.046</c:v>
                  </c:pt>
                  <c:pt idx="10">
                    <c:v>0.061</c:v>
                  </c:pt>
                  <c:pt idx="11">
                    <c:v>0.043</c:v>
                  </c:pt>
                  <c:pt idx="12">
                    <c:v>0.045</c:v>
                  </c:pt>
                  <c:pt idx="13">
                    <c:v>0.061</c:v>
                  </c:pt>
                  <c:pt idx="14">
                    <c:v>0.044</c:v>
                  </c:pt>
                  <c:pt idx="15">
                    <c:v>0.036</c:v>
                  </c:pt>
                  <c:pt idx="16">
                    <c:v>0.047</c:v>
                  </c:pt>
                  <c:pt idx="17">
                    <c:v>0.056</c:v>
                  </c:pt>
                  <c:pt idx="18">
                    <c:v>0.054</c:v>
                  </c:pt>
                  <c:pt idx="19">
                    <c:v>0.051</c:v>
                  </c:pt>
                  <c:pt idx="20">
                    <c:v>0.078</c:v>
                  </c:pt>
                </c:numCache>
              </c:numRef>
            </c:minus>
            <c:spPr>
              <a:ln w="12700">
                <a:solidFill>
                  <a:srgbClr val="C00000"/>
                </a:solidFill>
              </a:ln>
            </c:spPr>
          </c:errBars>
          <c:xVal>
            <c:numRef>
              <c:f>'TC-Absorption-50psi'!$G$4:$G$34</c:f>
              <c:numCache>
                <c:formatCode>General</c:formatCode>
                <c:ptCount val="31"/>
                <c:pt idx="0">
                  <c:v>2.34</c:v>
                </c:pt>
                <c:pt idx="1">
                  <c:v>5.41</c:v>
                </c:pt>
                <c:pt idx="2">
                  <c:v>8.64</c:v>
                </c:pt>
                <c:pt idx="3">
                  <c:v>13.9</c:v>
                </c:pt>
                <c:pt idx="4">
                  <c:v>20.37</c:v>
                </c:pt>
                <c:pt idx="5">
                  <c:v>25.98</c:v>
                </c:pt>
                <c:pt idx="6">
                  <c:v>31.04</c:v>
                </c:pt>
                <c:pt idx="7">
                  <c:v>35.71</c:v>
                </c:pt>
                <c:pt idx="8">
                  <c:v>43.02</c:v>
                </c:pt>
                <c:pt idx="9">
                  <c:v>48.49</c:v>
                </c:pt>
                <c:pt idx="10">
                  <c:v>54.32</c:v>
                </c:pt>
                <c:pt idx="11">
                  <c:v>59.81</c:v>
                </c:pt>
                <c:pt idx="12">
                  <c:v>65.37</c:v>
                </c:pt>
                <c:pt idx="13">
                  <c:v>71.48</c:v>
                </c:pt>
                <c:pt idx="14">
                  <c:v>77.91</c:v>
                </c:pt>
                <c:pt idx="15">
                  <c:v>82.57</c:v>
                </c:pt>
                <c:pt idx="16">
                  <c:v>89.14</c:v>
                </c:pt>
                <c:pt idx="17">
                  <c:v>94.63</c:v>
                </c:pt>
                <c:pt idx="18">
                  <c:v>99.81</c:v>
                </c:pt>
                <c:pt idx="19">
                  <c:v>104.61</c:v>
                </c:pt>
                <c:pt idx="20">
                  <c:v>110.31</c:v>
                </c:pt>
              </c:numCache>
            </c:numRef>
          </c:xVal>
          <c:yVal>
            <c:numRef>
              <c:f>'TC-Absorption-50psi'!$H$4:$H$34</c:f>
              <c:numCache>
                <c:formatCode>General</c:formatCode>
                <c:ptCount val="31"/>
                <c:pt idx="0">
                  <c:v>0.1877</c:v>
                </c:pt>
                <c:pt idx="1">
                  <c:v>0.2583</c:v>
                </c:pt>
                <c:pt idx="2">
                  <c:v>0.2898</c:v>
                </c:pt>
                <c:pt idx="3">
                  <c:v>0.323</c:v>
                </c:pt>
                <c:pt idx="4">
                  <c:v>0.358</c:v>
                </c:pt>
                <c:pt idx="5">
                  <c:v>0.3841</c:v>
                </c:pt>
                <c:pt idx="6">
                  <c:v>0.4162</c:v>
                </c:pt>
                <c:pt idx="7">
                  <c:v>0.4501</c:v>
                </c:pt>
                <c:pt idx="8">
                  <c:v>0.4835</c:v>
                </c:pt>
                <c:pt idx="9">
                  <c:v>0.5124</c:v>
                </c:pt>
                <c:pt idx="10">
                  <c:v>0.5517</c:v>
                </c:pt>
                <c:pt idx="11">
                  <c:v>0.5825</c:v>
                </c:pt>
                <c:pt idx="12">
                  <c:v>0.6213</c:v>
                </c:pt>
                <c:pt idx="13">
                  <c:v>0.66</c:v>
                </c:pt>
                <c:pt idx="14">
                  <c:v>0.6713</c:v>
                </c:pt>
                <c:pt idx="15">
                  <c:v>0.6961</c:v>
                </c:pt>
                <c:pt idx="16">
                  <c:v>0.7615</c:v>
                </c:pt>
                <c:pt idx="17">
                  <c:v>0.7983</c:v>
                </c:pt>
                <c:pt idx="18">
                  <c:v>0.789</c:v>
                </c:pt>
                <c:pt idx="19">
                  <c:v>0.8257</c:v>
                </c:pt>
                <c:pt idx="20">
                  <c:v>0.8395</c:v>
                </c:pt>
              </c:numCache>
            </c:numRef>
          </c:yVal>
          <c:smooth val="0"/>
        </c:ser>
        <c:ser>
          <c:idx val="2"/>
          <c:order val="3"/>
          <c:tx>
            <c:v>70% RH</c:v>
          </c:tx>
          <c:spPr>
            <a:ln w="28575">
              <a:noFill/>
            </a:ln>
          </c:spPr>
          <c:marker>
            <c:symbol val="triangle"/>
            <c:size val="5"/>
            <c:spPr>
              <a:solidFill>
                <a:srgbClr val="00B050">
                  <a:alpha val="50000"/>
                </a:srgbClr>
              </a:solidFill>
              <a:ln w="12700">
                <a:solidFill>
                  <a:sysClr val="windowText" lastClr="000000"/>
                </a:solidFill>
              </a:ln>
            </c:spPr>
          </c:marker>
          <c:errBars>
            <c:errDir val="y"/>
            <c:errBarType val="both"/>
            <c:errValType val="cust"/>
            <c:noEndCap val="0"/>
            <c:plus>
              <c:numRef>
                <c:f>'TC-Absorption-50psi'!$O$4:$O$29</c:f>
                <c:numCache>
                  <c:formatCode>General</c:formatCode>
                  <c:ptCount val="26"/>
                  <c:pt idx="0">
                    <c:v>0.124</c:v>
                  </c:pt>
                  <c:pt idx="1">
                    <c:v>0.191</c:v>
                  </c:pt>
                  <c:pt idx="2">
                    <c:v>0.275</c:v>
                  </c:pt>
                  <c:pt idx="3">
                    <c:v>0.34</c:v>
                  </c:pt>
                  <c:pt idx="4">
                    <c:v>0.381</c:v>
                  </c:pt>
                  <c:pt idx="5">
                    <c:v>0.363</c:v>
                  </c:pt>
                  <c:pt idx="6">
                    <c:v>0.387</c:v>
                  </c:pt>
                  <c:pt idx="7">
                    <c:v>0.362</c:v>
                  </c:pt>
                  <c:pt idx="8">
                    <c:v>0.375</c:v>
                  </c:pt>
                  <c:pt idx="9">
                    <c:v>0.372</c:v>
                  </c:pt>
                  <c:pt idx="10">
                    <c:v>0.372</c:v>
                  </c:pt>
                  <c:pt idx="11">
                    <c:v>0.42</c:v>
                  </c:pt>
                  <c:pt idx="12">
                    <c:v>0.391</c:v>
                  </c:pt>
                  <c:pt idx="13">
                    <c:v>0.373</c:v>
                  </c:pt>
                  <c:pt idx="14">
                    <c:v>0.362</c:v>
                  </c:pt>
                  <c:pt idx="15">
                    <c:v>0.373</c:v>
                  </c:pt>
                  <c:pt idx="16">
                    <c:v>0.355</c:v>
                  </c:pt>
                  <c:pt idx="17">
                    <c:v>0.381</c:v>
                  </c:pt>
                  <c:pt idx="18">
                    <c:v>0.39</c:v>
                  </c:pt>
                  <c:pt idx="19">
                    <c:v>0.411</c:v>
                  </c:pt>
                  <c:pt idx="20">
                    <c:v>0.365</c:v>
                  </c:pt>
                </c:numCache>
              </c:numRef>
            </c:plus>
            <c:minus>
              <c:numRef>
                <c:f>'TC-Absorption-50psi'!$O$4:$O$29</c:f>
                <c:numCache>
                  <c:formatCode>General</c:formatCode>
                  <c:ptCount val="26"/>
                  <c:pt idx="0">
                    <c:v>0.124</c:v>
                  </c:pt>
                  <c:pt idx="1">
                    <c:v>0.191</c:v>
                  </c:pt>
                  <c:pt idx="2">
                    <c:v>0.275</c:v>
                  </c:pt>
                  <c:pt idx="3">
                    <c:v>0.34</c:v>
                  </c:pt>
                  <c:pt idx="4">
                    <c:v>0.381</c:v>
                  </c:pt>
                  <c:pt idx="5">
                    <c:v>0.363</c:v>
                  </c:pt>
                  <c:pt idx="6">
                    <c:v>0.387</c:v>
                  </c:pt>
                  <c:pt idx="7">
                    <c:v>0.362</c:v>
                  </c:pt>
                  <c:pt idx="8">
                    <c:v>0.375</c:v>
                  </c:pt>
                  <c:pt idx="9">
                    <c:v>0.372</c:v>
                  </c:pt>
                  <c:pt idx="10">
                    <c:v>0.372</c:v>
                  </c:pt>
                  <c:pt idx="11">
                    <c:v>0.42</c:v>
                  </c:pt>
                  <c:pt idx="12">
                    <c:v>0.391</c:v>
                  </c:pt>
                  <c:pt idx="13">
                    <c:v>0.373</c:v>
                  </c:pt>
                  <c:pt idx="14">
                    <c:v>0.362</c:v>
                  </c:pt>
                  <c:pt idx="15">
                    <c:v>0.373</c:v>
                  </c:pt>
                  <c:pt idx="16">
                    <c:v>0.355</c:v>
                  </c:pt>
                  <c:pt idx="17">
                    <c:v>0.381</c:v>
                  </c:pt>
                  <c:pt idx="18">
                    <c:v>0.39</c:v>
                  </c:pt>
                  <c:pt idx="19">
                    <c:v>0.411</c:v>
                  </c:pt>
                  <c:pt idx="20">
                    <c:v>0.365</c:v>
                  </c:pt>
                </c:numCache>
              </c:numRef>
            </c:minus>
            <c:spPr>
              <a:ln w="12700">
                <a:solidFill>
                  <a:srgbClr val="00B050"/>
                </a:solidFill>
              </a:ln>
            </c:spPr>
          </c:errBars>
          <c:xVal>
            <c:numRef>
              <c:f>'TC-Absorption-50psi'!$M$4:$M$34</c:f>
              <c:numCache>
                <c:formatCode>General</c:formatCode>
                <c:ptCount val="31"/>
                <c:pt idx="0">
                  <c:v>2.36</c:v>
                </c:pt>
                <c:pt idx="1">
                  <c:v>5.42</c:v>
                </c:pt>
                <c:pt idx="2">
                  <c:v>8.65</c:v>
                </c:pt>
                <c:pt idx="3">
                  <c:v>13.91</c:v>
                </c:pt>
                <c:pt idx="4">
                  <c:v>20.38</c:v>
                </c:pt>
                <c:pt idx="5">
                  <c:v>25.98</c:v>
                </c:pt>
                <c:pt idx="6">
                  <c:v>31.04</c:v>
                </c:pt>
                <c:pt idx="7">
                  <c:v>35.72</c:v>
                </c:pt>
                <c:pt idx="8">
                  <c:v>43.03</c:v>
                </c:pt>
                <c:pt idx="9">
                  <c:v>48.49</c:v>
                </c:pt>
                <c:pt idx="10">
                  <c:v>54.32</c:v>
                </c:pt>
                <c:pt idx="11">
                  <c:v>59.81</c:v>
                </c:pt>
                <c:pt idx="12">
                  <c:v>65.38</c:v>
                </c:pt>
                <c:pt idx="13">
                  <c:v>71.48</c:v>
                </c:pt>
                <c:pt idx="14">
                  <c:v>77.91</c:v>
                </c:pt>
                <c:pt idx="15">
                  <c:v>82.57</c:v>
                </c:pt>
                <c:pt idx="16">
                  <c:v>89.14</c:v>
                </c:pt>
                <c:pt idx="17">
                  <c:v>94.63</c:v>
                </c:pt>
                <c:pt idx="18">
                  <c:v>99.81</c:v>
                </c:pt>
                <c:pt idx="19">
                  <c:v>104.61</c:v>
                </c:pt>
                <c:pt idx="20">
                  <c:v>110.31</c:v>
                </c:pt>
              </c:numCache>
            </c:numRef>
          </c:xVal>
          <c:yVal>
            <c:numRef>
              <c:f>'TC-Absorption-50psi'!$N$4:$N$34</c:f>
              <c:numCache>
                <c:formatCode>General</c:formatCode>
                <c:ptCount val="31"/>
                <c:pt idx="0">
                  <c:v>0.3367</c:v>
                </c:pt>
                <c:pt idx="1">
                  <c:v>0.5359</c:v>
                </c:pt>
                <c:pt idx="2">
                  <c:v>0.672</c:v>
                </c:pt>
                <c:pt idx="3">
                  <c:v>0.7744</c:v>
                </c:pt>
                <c:pt idx="4">
                  <c:v>0.8101</c:v>
                </c:pt>
                <c:pt idx="5">
                  <c:v>0.8391</c:v>
                </c:pt>
                <c:pt idx="6">
                  <c:v>0.8774</c:v>
                </c:pt>
                <c:pt idx="7">
                  <c:v>0.887</c:v>
                </c:pt>
                <c:pt idx="8">
                  <c:v>0.973</c:v>
                </c:pt>
                <c:pt idx="9">
                  <c:v>1.0125</c:v>
                </c:pt>
                <c:pt idx="10">
                  <c:v>1.0678</c:v>
                </c:pt>
                <c:pt idx="11">
                  <c:v>1.1121</c:v>
                </c:pt>
                <c:pt idx="12">
                  <c:v>1.1518</c:v>
                </c:pt>
                <c:pt idx="13">
                  <c:v>1.1732</c:v>
                </c:pt>
                <c:pt idx="14">
                  <c:v>1.1827</c:v>
                </c:pt>
                <c:pt idx="15">
                  <c:v>1.1727</c:v>
                </c:pt>
                <c:pt idx="16">
                  <c:v>1.2522</c:v>
                </c:pt>
                <c:pt idx="17">
                  <c:v>1.2593</c:v>
                </c:pt>
                <c:pt idx="18">
                  <c:v>1.2779</c:v>
                </c:pt>
                <c:pt idx="19">
                  <c:v>1.3319</c:v>
                </c:pt>
                <c:pt idx="20">
                  <c:v>1.3447</c:v>
                </c:pt>
              </c:numCache>
            </c:numRef>
          </c:yVal>
          <c:smooth val="0"/>
        </c:ser>
        <c:ser>
          <c:idx val="3"/>
          <c:order val="4"/>
          <c:tx>
            <c:v>99% RH</c:v>
          </c:tx>
          <c:spPr>
            <a:ln w="28575">
              <a:noFill/>
            </a:ln>
          </c:spPr>
          <c:marker>
            <c:symbol val="triangle"/>
            <c:size val="5"/>
            <c:spPr>
              <a:solidFill>
                <a:srgbClr val="7030A0">
                  <a:alpha val="50000"/>
                </a:srgbClr>
              </a:solidFill>
              <a:ln w="12700">
                <a:solidFill>
                  <a:sysClr val="windowText" lastClr="000000"/>
                </a:solidFill>
              </a:ln>
            </c:spPr>
          </c:marker>
          <c:errBars>
            <c:errDir val="y"/>
            <c:errBarType val="both"/>
            <c:errValType val="cust"/>
            <c:noEndCap val="0"/>
            <c:plus>
              <c:numRef>
                <c:f>'TC-Absorption-50psi'!$U$4:$U$29</c:f>
                <c:numCache>
                  <c:formatCode>General</c:formatCode>
                  <c:ptCount val="26"/>
                  <c:pt idx="0">
                    <c:v>0.264</c:v>
                  </c:pt>
                  <c:pt idx="1">
                    <c:v>0.447</c:v>
                  </c:pt>
                  <c:pt idx="2">
                    <c:v>0.536</c:v>
                  </c:pt>
                  <c:pt idx="3">
                    <c:v>0.555</c:v>
                  </c:pt>
                  <c:pt idx="4">
                    <c:v>0.595</c:v>
                  </c:pt>
                  <c:pt idx="5">
                    <c:v>0.617</c:v>
                  </c:pt>
                  <c:pt idx="6">
                    <c:v>0.645</c:v>
                  </c:pt>
                  <c:pt idx="7">
                    <c:v>0.638</c:v>
                  </c:pt>
                  <c:pt idx="8">
                    <c:v>0.626</c:v>
                  </c:pt>
                  <c:pt idx="9">
                    <c:v>0.609</c:v>
                  </c:pt>
                  <c:pt idx="10">
                    <c:v>0.631</c:v>
                  </c:pt>
                  <c:pt idx="11">
                    <c:v>0.654</c:v>
                  </c:pt>
                  <c:pt idx="12">
                    <c:v>0.652</c:v>
                  </c:pt>
                  <c:pt idx="13">
                    <c:v>0.629</c:v>
                  </c:pt>
                  <c:pt idx="14">
                    <c:v>0.649</c:v>
                  </c:pt>
                  <c:pt idx="15">
                    <c:v>0.649</c:v>
                  </c:pt>
                  <c:pt idx="16">
                    <c:v>0.624</c:v>
                  </c:pt>
                  <c:pt idx="17">
                    <c:v>0.668</c:v>
                  </c:pt>
                  <c:pt idx="18">
                    <c:v>0.651</c:v>
                  </c:pt>
                  <c:pt idx="19">
                    <c:v>0.664</c:v>
                  </c:pt>
                  <c:pt idx="20">
                    <c:v>0.67</c:v>
                  </c:pt>
                </c:numCache>
              </c:numRef>
            </c:plus>
            <c:minus>
              <c:numRef>
                <c:f>'TC-Absorption-50psi'!$U$4:$U$29</c:f>
                <c:numCache>
                  <c:formatCode>General</c:formatCode>
                  <c:ptCount val="26"/>
                  <c:pt idx="0">
                    <c:v>0.264</c:v>
                  </c:pt>
                  <c:pt idx="1">
                    <c:v>0.447</c:v>
                  </c:pt>
                  <c:pt idx="2">
                    <c:v>0.536</c:v>
                  </c:pt>
                  <c:pt idx="3">
                    <c:v>0.555</c:v>
                  </c:pt>
                  <c:pt idx="4">
                    <c:v>0.595</c:v>
                  </c:pt>
                  <c:pt idx="5">
                    <c:v>0.617</c:v>
                  </c:pt>
                  <c:pt idx="6">
                    <c:v>0.645</c:v>
                  </c:pt>
                  <c:pt idx="7">
                    <c:v>0.638</c:v>
                  </c:pt>
                  <c:pt idx="8">
                    <c:v>0.626</c:v>
                  </c:pt>
                  <c:pt idx="9">
                    <c:v>0.609</c:v>
                  </c:pt>
                  <c:pt idx="10">
                    <c:v>0.631</c:v>
                  </c:pt>
                  <c:pt idx="11">
                    <c:v>0.654</c:v>
                  </c:pt>
                  <c:pt idx="12">
                    <c:v>0.652</c:v>
                  </c:pt>
                  <c:pt idx="13">
                    <c:v>0.629</c:v>
                  </c:pt>
                  <c:pt idx="14">
                    <c:v>0.649</c:v>
                  </c:pt>
                  <c:pt idx="15">
                    <c:v>0.649</c:v>
                  </c:pt>
                  <c:pt idx="16">
                    <c:v>0.624</c:v>
                  </c:pt>
                  <c:pt idx="17">
                    <c:v>0.668</c:v>
                  </c:pt>
                  <c:pt idx="18">
                    <c:v>0.651</c:v>
                  </c:pt>
                  <c:pt idx="19">
                    <c:v>0.664</c:v>
                  </c:pt>
                  <c:pt idx="20">
                    <c:v>0.67</c:v>
                  </c:pt>
                </c:numCache>
              </c:numRef>
            </c:minus>
            <c:spPr>
              <a:ln w="12700">
                <a:solidFill>
                  <a:srgbClr val="7030A0"/>
                </a:solidFill>
              </a:ln>
            </c:spPr>
          </c:errBars>
          <c:xVal>
            <c:numRef>
              <c:f>'TC-Absorption-50psi'!$S$4:$S$34</c:f>
              <c:numCache>
                <c:formatCode>General</c:formatCode>
                <c:ptCount val="31"/>
                <c:pt idx="0">
                  <c:v>2.38</c:v>
                </c:pt>
                <c:pt idx="1">
                  <c:v>5.43</c:v>
                </c:pt>
                <c:pt idx="2">
                  <c:v>8.65</c:v>
                </c:pt>
                <c:pt idx="3">
                  <c:v>13.91</c:v>
                </c:pt>
                <c:pt idx="4">
                  <c:v>20.38</c:v>
                </c:pt>
                <c:pt idx="5">
                  <c:v>25.99</c:v>
                </c:pt>
                <c:pt idx="6">
                  <c:v>31.04</c:v>
                </c:pt>
                <c:pt idx="7">
                  <c:v>35.72</c:v>
                </c:pt>
                <c:pt idx="8">
                  <c:v>43.03</c:v>
                </c:pt>
                <c:pt idx="9">
                  <c:v>48.49</c:v>
                </c:pt>
                <c:pt idx="10">
                  <c:v>54.32</c:v>
                </c:pt>
                <c:pt idx="11">
                  <c:v>59.82</c:v>
                </c:pt>
                <c:pt idx="12">
                  <c:v>65.38</c:v>
                </c:pt>
                <c:pt idx="13">
                  <c:v>71.49</c:v>
                </c:pt>
                <c:pt idx="14">
                  <c:v>77.91</c:v>
                </c:pt>
                <c:pt idx="15">
                  <c:v>82.57</c:v>
                </c:pt>
                <c:pt idx="16">
                  <c:v>89.14</c:v>
                </c:pt>
                <c:pt idx="17">
                  <c:v>94.64</c:v>
                </c:pt>
                <c:pt idx="18">
                  <c:v>99.81</c:v>
                </c:pt>
                <c:pt idx="19">
                  <c:v>104.61</c:v>
                </c:pt>
                <c:pt idx="20">
                  <c:v>110.31</c:v>
                </c:pt>
              </c:numCache>
            </c:numRef>
          </c:xVal>
          <c:yVal>
            <c:numRef>
              <c:f>'TC-Absorption-50psi'!$T$4:$T$34</c:f>
              <c:numCache>
                <c:formatCode>General</c:formatCode>
                <c:ptCount val="31"/>
                <c:pt idx="0">
                  <c:v>0.6864</c:v>
                </c:pt>
                <c:pt idx="1">
                  <c:v>1.1928</c:v>
                </c:pt>
                <c:pt idx="2">
                  <c:v>1.4123</c:v>
                </c:pt>
                <c:pt idx="3">
                  <c:v>1.5081</c:v>
                </c:pt>
                <c:pt idx="4">
                  <c:v>1.5572</c:v>
                </c:pt>
                <c:pt idx="5">
                  <c:v>1.6523</c:v>
                </c:pt>
                <c:pt idx="6">
                  <c:v>1.6891</c:v>
                </c:pt>
                <c:pt idx="7">
                  <c:v>1.7078</c:v>
                </c:pt>
                <c:pt idx="8">
                  <c:v>1.7919</c:v>
                </c:pt>
                <c:pt idx="9">
                  <c:v>1.8302</c:v>
                </c:pt>
                <c:pt idx="10">
                  <c:v>1.8807</c:v>
                </c:pt>
                <c:pt idx="11">
                  <c:v>1.9271</c:v>
                </c:pt>
                <c:pt idx="12">
                  <c:v>1.9584</c:v>
                </c:pt>
                <c:pt idx="13">
                  <c:v>1.9743</c:v>
                </c:pt>
                <c:pt idx="14">
                  <c:v>1.9826</c:v>
                </c:pt>
                <c:pt idx="15">
                  <c:v>1.9938</c:v>
                </c:pt>
                <c:pt idx="16">
                  <c:v>2.014</c:v>
                </c:pt>
                <c:pt idx="17">
                  <c:v>2.0754</c:v>
                </c:pt>
                <c:pt idx="18">
                  <c:v>2.0805</c:v>
                </c:pt>
                <c:pt idx="19">
                  <c:v>2.093</c:v>
                </c:pt>
                <c:pt idx="20">
                  <c:v>2.1298</c:v>
                </c:pt>
              </c:numCache>
            </c:numRef>
          </c:yVal>
          <c:smooth val="0"/>
        </c:ser>
        <c:ser>
          <c:idx val="9"/>
          <c:order val="5"/>
          <c:spPr>
            <a:ln w="12700">
              <a:solidFill>
                <a:sysClr val="windowText" lastClr="000000"/>
              </a:solidFill>
              <a:prstDash val="lgDash"/>
            </a:ln>
          </c:spPr>
          <c:marker>
            <c:symbol val="none"/>
          </c:marker>
          <c:dPt>
            <c:idx val="1"/>
            <c:bubble3D val="0"/>
            <c:spPr>
              <a:ln w="12700">
                <a:solidFill>
                  <a:schemeClr val="bg1">
                    <a:lumMod val="50000"/>
                  </a:schemeClr>
                </a:solidFill>
                <a:prstDash val="lgDash"/>
              </a:ln>
            </c:spPr>
          </c:dPt>
          <c:xVal>
            <c:numRef>
              <c:f>('BMI-Absorption-10psi'!$D$51,'BMI-Absorption-10psi'!$D$51)</c:f>
              <c:numCache>
                <c:formatCode>General</c:formatCode>
                <c:ptCount val="2"/>
                <c:pt idx="0">
                  <c:v>132.363</c:v>
                </c:pt>
                <c:pt idx="1">
                  <c:v>132.363</c:v>
                </c:pt>
              </c:numCache>
            </c:numRef>
          </c:xVal>
          <c:yVal>
            <c:numLit>
              <c:formatCode>General</c:formatCode>
              <c:ptCount val="2"/>
              <c:pt idx="0">
                <c:v>0.0</c:v>
              </c:pt>
              <c:pt idx="1">
                <c:v>12.0</c:v>
              </c:pt>
            </c:numLit>
          </c:yVal>
          <c:smooth val="0"/>
        </c:ser>
        <c:dLbls>
          <c:showLegendKey val="0"/>
          <c:showVal val="0"/>
          <c:showCatName val="0"/>
          <c:showSerName val="0"/>
          <c:showPercent val="0"/>
          <c:showBubbleSize val="0"/>
        </c:dLbls>
        <c:axId val="423886504"/>
        <c:axId val="423892456"/>
      </c:scatterChart>
      <c:valAx>
        <c:axId val="423886504"/>
        <c:scaling>
          <c:orientation val="minMax"/>
          <c:max val="15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423892456"/>
        <c:crosses val="autoZero"/>
        <c:crossBetween val="midCat"/>
        <c:minorUnit val="12.5"/>
      </c:valAx>
      <c:valAx>
        <c:axId val="423892456"/>
        <c:scaling>
          <c:orientation val="minMax"/>
          <c:max val="3.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423886504"/>
        <c:crosses val="autoZero"/>
        <c:crossBetween val="midCat"/>
        <c:majorUnit val="1.0"/>
        <c:minorUnit val="0.25"/>
      </c:valAx>
      <c:spPr>
        <a:ln w="19050">
          <a:solidFill>
            <a:sysClr val="windowText" lastClr="000000"/>
          </a:solidFill>
        </a:ln>
      </c:spPr>
    </c:plotArea>
    <c:legend>
      <c:legendPos val="r"/>
      <c:legendEntry>
        <c:idx val="0"/>
        <c:delete val="1"/>
      </c:legendEntry>
      <c:legendEntry>
        <c:idx val="5"/>
        <c:delete val="1"/>
      </c:legendEntry>
      <c:layout>
        <c:manualLayout>
          <c:xMode val="edge"/>
          <c:yMode val="edge"/>
          <c:x val="0.181761874863033"/>
          <c:y val="0.0958137954880468"/>
          <c:w val="0.235230659726856"/>
          <c:h val="0.198320209973753"/>
        </c:manualLayout>
      </c:layout>
      <c:overlay val="1"/>
      <c:spPr>
        <a:solidFill>
          <a:schemeClr val="bg1"/>
        </a:solidFill>
      </c:spPr>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4309458480601"/>
          <c:y val="0.0333333333333333"/>
          <c:w val="0.75997228425077"/>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triangle"/>
            <c:size val="5"/>
            <c:spPr>
              <a:solidFill>
                <a:srgbClr val="0070C0">
                  <a:alpha val="50000"/>
                </a:srgbClr>
              </a:solidFill>
              <a:ln w="12700">
                <a:solidFill>
                  <a:schemeClr val="tx1"/>
                </a:solidFill>
              </a:ln>
            </c:spPr>
          </c:marker>
          <c:errBars>
            <c:errDir val="y"/>
            <c:errBarType val="both"/>
            <c:errValType val="cust"/>
            <c:noEndCap val="0"/>
            <c:plus>
              <c:numRef>
                <c:f>'TC-Absorption-70psi'!$C$4:$C$29</c:f>
                <c:numCache>
                  <c:formatCode>General</c:formatCode>
                  <c:ptCount val="26"/>
                  <c:pt idx="0">
                    <c:v>0.034</c:v>
                  </c:pt>
                  <c:pt idx="1">
                    <c:v>0.037</c:v>
                  </c:pt>
                  <c:pt idx="2">
                    <c:v>0.038</c:v>
                  </c:pt>
                  <c:pt idx="3">
                    <c:v>0.052</c:v>
                  </c:pt>
                  <c:pt idx="4">
                    <c:v>0.051</c:v>
                  </c:pt>
                  <c:pt idx="5">
                    <c:v>0.054</c:v>
                  </c:pt>
                  <c:pt idx="6">
                    <c:v>0.054</c:v>
                  </c:pt>
                  <c:pt idx="7">
                    <c:v>0.049</c:v>
                  </c:pt>
                  <c:pt idx="8">
                    <c:v>0.057</c:v>
                  </c:pt>
                  <c:pt idx="9">
                    <c:v>0.049</c:v>
                  </c:pt>
                  <c:pt idx="10">
                    <c:v>0.046</c:v>
                  </c:pt>
                  <c:pt idx="11">
                    <c:v>0.055</c:v>
                  </c:pt>
                  <c:pt idx="12">
                    <c:v>0.052</c:v>
                  </c:pt>
                  <c:pt idx="13">
                    <c:v>0.044</c:v>
                  </c:pt>
                  <c:pt idx="14">
                    <c:v>0.052</c:v>
                  </c:pt>
                  <c:pt idx="15">
                    <c:v>0.051</c:v>
                  </c:pt>
                  <c:pt idx="16">
                    <c:v>0.057</c:v>
                  </c:pt>
                  <c:pt idx="17">
                    <c:v>0.052</c:v>
                  </c:pt>
                  <c:pt idx="18">
                    <c:v>0.052</c:v>
                  </c:pt>
                  <c:pt idx="19">
                    <c:v>0.048</c:v>
                  </c:pt>
                  <c:pt idx="20">
                    <c:v>0.066</c:v>
                  </c:pt>
                </c:numCache>
              </c:numRef>
            </c:plus>
            <c:minus>
              <c:numRef>
                <c:f>'TC-Absorption-70psi'!$C$4:$C$29</c:f>
                <c:numCache>
                  <c:formatCode>General</c:formatCode>
                  <c:ptCount val="26"/>
                  <c:pt idx="0">
                    <c:v>0.034</c:v>
                  </c:pt>
                  <c:pt idx="1">
                    <c:v>0.037</c:v>
                  </c:pt>
                  <c:pt idx="2">
                    <c:v>0.038</c:v>
                  </c:pt>
                  <c:pt idx="3">
                    <c:v>0.052</c:v>
                  </c:pt>
                  <c:pt idx="4">
                    <c:v>0.051</c:v>
                  </c:pt>
                  <c:pt idx="5">
                    <c:v>0.054</c:v>
                  </c:pt>
                  <c:pt idx="6">
                    <c:v>0.054</c:v>
                  </c:pt>
                  <c:pt idx="7">
                    <c:v>0.049</c:v>
                  </c:pt>
                  <c:pt idx="8">
                    <c:v>0.057</c:v>
                  </c:pt>
                  <c:pt idx="9">
                    <c:v>0.049</c:v>
                  </c:pt>
                  <c:pt idx="10">
                    <c:v>0.046</c:v>
                  </c:pt>
                  <c:pt idx="11">
                    <c:v>0.055</c:v>
                  </c:pt>
                  <c:pt idx="12">
                    <c:v>0.052</c:v>
                  </c:pt>
                  <c:pt idx="13">
                    <c:v>0.044</c:v>
                  </c:pt>
                  <c:pt idx="14">
                    <c:v>0.052</c:v>
                  </c:pt>
                  <c:pt idx="15">
                    <c:v>0.051</c:v>
                  </c:pt>
                  <c:pt idx="16">
                    <c:v>0.057</c:v>
                  </c:pt>
                  <c:pt idx="17">
                    <c:v>0.052</c:v>
                  </c:pt>
                  <c:pt idx="18">
                    <c:v>0.052</c:v>
                  </c:pt>
                  <c:pt idx="19">
                    <c:v>0.048</c:v>
                  </c:pt>
                  <c:pt idx="20">
                    <c:v>0.066</c:v>
                  </c:pt>
                </c:numCache>
              </c:numRef>
            </c:minus>
            <c:spPr>
              <a:ln w="12700">
                <a:solidFill>
                  <a:srgbClr val="0070C0"/>
                </a:solidFill>
              </a:ln>
            </c:spPr>
          </c:errBars>
          <c:xVal>
            <c:numRef>
              <c:f>'TC-Absorption-70psi'!$A$4:$A$34</c:f>
              <c:numCache>
                <c:formatCode>General</c:formatCode>
                <c:ptCount val="31"/>
                <c:pt idx="0">
                  <c:v>2.31</c:v>
                </c:pt>
                <c:pt idx="1">
                  <c:v>5.4</c:v>
                </c:pt>
                <c:pt idx="2">
                  <c:v>8.629999999999998</c:v>
                </c:pt>
                <c:pt idx="3">
                  <c:v>13.9</c:v>
                </c:pt>
                <c:pt idx="4">
                  <c:v>20.37</c:v>
                </c:pt>
                <c:pt idx="5">
                  <c:v>25.98</c:v>
                </c:pt>
                <c:pt idx="6">
                  <c:v>31.03</c:v>
                </c:pt>
                <c:pt idx="7">
                  <c:v>35.71</c:v>
                </c:pt>
                <c:pt idx="8">
                  <c:v>43.04</c:v>
                </c:pt>
                <c:pt idx="9">
                  <c:v>48.49</c:v>
                </c:pt>
                <c:pt idx="10">
                  <c:v>54.32</c:v>
                </c:pt>
                <c:pt idx="11">
                  <c:v>59.81</c:v>
                </c:pt>
                <c:pt idx="12">
                  <c:v>65.37</c:v>
                </c:pt>
                <c:pt idx="13">
                  <c:v>71.48</c:v>
                </c:pt>
                <c:pt idx="14">
                  <c:v>77.91</c:v>
                </c:pt>
                <c:pt idx="15">
                  <c:v>82.57</c:v>
                </c:pt>
                <c:pt idx="16">
                  <c:v>89.13</c:v>
                </c:pt>
                <c:pt idx="17">
                  <c:v>94.63</c:v>
                </c:pt>
                <c:pt idx="18">
                  <c:v>99.81</c:v>
                </c:pt>
                <c:pt idx="19">
                  <c:v>104.61</c:v>
                </c:pt>
                <c:pt idx="20">
                  <c:v>110.3</c:v>
                </c:pt>
                <c:pt idx="30">
                  <c:v>130.07</c:v>
                </c:pt>
              </c:numCache>
            </c:numRef>
          </c:xVal>
          <c:yVal>
            <c:numRef>
              <c:f>'TC-Absorption-70psi'!$B$4:$B$34</c:f>
              <c:numCache>
                <c:formatCode>General</c:formatCode>
                <c:ptCount val="31"/>
                <c:pt idx="0">
                  <c:v>0.1537</c:v>
                </c:pt>
                <c:pt idx="1">
                  <c:v>0.1765</c:v>
                </c:pt>
                <c:pt idx="2">
                  <c:v>0.1852</c:v>
                </c:pt>
                <c:pt idx="3">
                  <c:v>0.2176</c:v>
                </c:pt>
                <c:pt idx="4">
                  <c:v>0.2303</c:v>
                </c:pt>
                <c:pt idx="5">
                  <c:v>0.2695</c:v>
                </c:pt>
                <c:pt idx="6">
                  <c:v>0.2902</c:v>
                </c:pt>
                <c:pt idx="7">
                  <c:v>0.3024</c:v>
                </c:pt>
                <c:pt idx="8">
                  <c:v>0.3244</c:v>
                </c:pt>
                <c:pt idx="9">
                  <c:v>0.3393</c:v>
                </c:pt>
                <c:pt idx="10">
                  <c:v>0.3542</c:v>
                </c:pt>
                <c:pt idx="11">
                  <c:v>0.4252</c:v>
                </c:pt>
                <c:pt idx="12">
                  <c:v>0.4485</c:v>
                </c:pt>
                <c:pt idx="13">
                  <c:v>0.4462</c:v>
                </c:pt>
                <c:pt idx="14">
                  <c:v>0.5091</c:v>
                </c:pt>
                <c:pt idx="15">
                  <c:v>0.5305</c:v>
                </c:pt>
                <c:pt idx="16">
                  <c:v>0.5505</c:v>
                </c:pt>
                <c:pt idx="17">
                  <c:v>0.5963</c:v>
                </c:pt>
                <c:pt idx="18">
                  <c:v>0.618</c:v>
                </c:pt>
                <c:pt idx="19">
                  <c:v>0.62</c:v>
                </c:pt>
                <c:pt idx="20">
                  <c:v>0.6729</c:v>
                </c:pt>
              </c:numCache>
            </c:numRef>
          </c:yVal>
          <c:smooth val="0"/>
        </c:ser>
        <c:ser>
          <c:idx val="1"/>
          <c:order val="2"/>
          <c:tx>
            <c:v>40% RH</c:v>
          </c:tx>
          <c:spPr>
            <a:ln w="28575">
              <a:noFill/>
            </a:ln>
          </c:spPr>
          <c:marker>
            <c:symbol val="triangle"/>
            <c:size val="5"/>
            <c:spPr>
              <a:solidFill>
                <a:srgbClr val="C00000">
                  <a:alpha val="50000"/>
                </a:srgbClr>
              </a:solidFill>
              <a:ln w="12700">
                <a:solidFill>
                  <a:sysClr val="windowText" lastClr="000000"/>
                </a:solidFill>
              </a:ln>
            </c:spPr>
          </c:marker>
          <c:errBars>
            <c:errDir val="y"/>
            <c:errBarType val="both"/>
            <c:errValType val="cust"/>
            <c:noEndCap val="0"/>
            <c:plus>
              <c:numRef>
                <c:f>'TC-Absorption-70psi'!$I$4:$I$29</c:f>
                <c:numCache>
                  <c:formatCode>General</c:formatCode>
                  <c:ptCount val="26"/>
                  <c:pt idx="0">
                    <c:v>0.053</c:v>
                  </c:pt>
                  <c:pt idx="1">
                    <c:v>0.099</c:v>
                  </c:pt>
                  <c:pt idx="2">
                    <c:v>0.118</c:v>
                  </c:pt>
                  <c:pt idx="3">
                    <c:v>0.137</c:v>
                  </c:pt>
                  <c:pt idx="4">
                    <c:v>0.149</c:v>
                  </c:pt>
                  <c:pt idx="5">
                    <c:v>0.146</c:v>
                  </c:pt>
                  <c:pt idx="6">
                    <c:v>0.159</c:v>
                  </c:pt>
                  <c:pt idx="7">
                    <c:v>0.159</c:v>
                  </c:pt>
                  <c:pt idx="8">
                    <c:v>0.14</c:v>
                  </c:pt>
                  <c:pt idx="9">
                    <c:v>0.142</c:v>
                  </c:pt>
                  <c:pt idx="10">
                    <c:v>0.15</c:v>
                  </c:pt>
                  <c:pt idx="11">
                    <c:v>0.16</c:v>
                  </c:pt>
                  <c:pt idx="12">
                    <c:v>0.171</c:v>
                  </c:pt>
                  <c:pt idx="13">
                    <c:v>0.152</c:v>
                  </c:pt>
                  <c:pt idx="14">
                    <c:v>0.174</c:v>
                  </c:pt>
                  <c:pt idx="15">
                    <c:v>0.187</c:v>
                  </c:pt>
                  <c:pt idx="16">
                    <c:v>0.167</c:v>
                  </c:pt>
                  <c:pt idx="17">
                    <c:v>0.165</c:v>
                  </c:pt>
                  <c:pt idx="18">
                    <c:v>0.178</c:v>
                  </c:pt>
                  <c:pt idx="19">
                    <c:v>0.176</c:v>
                  </c:pt>
                  <c:pt idx="20">
                    <c:v>0.172</c:v>
                  </c:pt>
                </c:numCache>
              </c:numRef>
            </c:plus>
            <c:minus>
              <c:numRef>
                <c:f>'TC-Absorption-70psi'!$I$4:$I$29</c:f>
                <c:numCache>
                  <c:formatCode>General</c:formatCode>
                  <c:ptCount val="26"/>
                  <c:pt idx="0">
                    <c:v>0.053</c:v>
                  </c:pt>
                  <c:pt idx="1">
                    <c:v>0.099</c:v>
                  </c:pt>
                  <c:pt idx="2">
                    <c:v>0.118</c:v>
                  </c:pt>
                  <c:pt idx="3">
                    <c:v>0.137</c:v>
                  </c:pt>
                  <c:pt idx="4">
                    <c:v>0.149</c:v>
                  </c:pt>
                  <c:pt idx="5">
                    <c:v>0.146</c:v>
                  </c:pt>
                  <c:pt idx="6">
                    <c:v>0.159</c:v>
                  </c:pt>
                  <c:pt idx="7">
                    <c:v>0.159</c:v>
                  </c:pt>
                  <c:pt idx="8">
                    <c:v>0.14</c:v>
                  </c:pt>
                  <c:pt idx="9">
                    <c:v>0.142</c:v>
                  </c:pt>
                  <c:pt idx="10">
                    <c:v>0.15</c:v>
                  </c:pt>
                  <c:pt idx="11">
                    <c:v>0.16</c:v>
                  </c:pt>
                  <c:pt idx="12">
                    <c:v>0.171</c:v>
                  </c:pt>
                  <c:pt idx="13">
                    <c:v>0.152</c:v>
                  </c:pt>
                  <c:pt idx="14">
                    <c:v>0.174</c:v>
                  </c:pt>
                  <c:pt idx="15">
                    <c:v>0.187</c:v>
                  </c:pt>
                  <c:pt idx="16">
                    <c:v>0.167</c:v>
                  </c:pt>
                  <c:pt idx="17">
                    <c:v>0.165</c:v>
                  </c:pt>
                  <c:pt idx="18">
                    <c:v>0.178</c:v>
                  </c:pt>
                  <c:pt idx="19">
                    <c:v>0.176</c:v>
                  </c:pt>
                  <c:pt idx="20">
                    <c:v>0.172</c:v>
                  </c:pt>
                </c:numCache>
              </c:numRef>
            </c:minus>
            <c:spPr>
              <a:ln w="12700">
                <a:solidFill>
                  <a:srgbClr val="C00000"/>
                </a:solidFill>
              </a:ln>
            </c:spPr>
          </c:errBars>
          <c:xVal>
            <c:numRef>
              <c:f>'TC-Absorption-70psi'!$G$4:$G$34</c:f>
              <c:numCache>
                <c:formatCode>General</c:formatCode>
                <c:ptCount val="31"/>
                <c:pt idx="0">
                  <c:v>2.33</c:v>
                </c:pt>
                <c:pt idx="1">
                  <c:v>5.42</c:v>
                </c:pt>
                <c:pt idx="2">
                  <c:v>8.64</c:v>
                </c:pt>
                <c:pt idx="3">
                  <c:v>13.91</c:v>
                </c:pt>
                <c:pt idx="4">
                  <c:v>20.37</c:v>
                </c:pt>
                <c:pt idx="5">
                  <c:v>25.98</c:v>
                </c:pt>
                <c:pt idx="6">
                  <c:v>31.04</c:v>
                </c:pt>
                <c:pt idx="7">
                  <c:v>35.71</c:v>
                </c:pt>
                <c:pt idx="8">
                  <c:v>43.04</c:v>
                </c:pt>
                <c:pt idx="9">
                  <c:v>48.49</c:v>
                </c:pt>
                <c:pt idx="10">
                  <c:v>54.32</c:v>
                </c:pt>
                <c:pt idx="11">
                  <c:v>59.81</c:v>
                </c:pt>
                <c:pt idx="12">
                  <c:v>65.37</c:v>
                </c:pt>
                <c:pt idx="13">
                  <c:v>71.48</c:v>
                </c:pt>
                <c:pt idx="14">
                  <c:v>77.91</c:v>
                </c:pt>
                <c:pt idx="15">
                  <c:v>82.57</c:v>
                </c:pt>
                <c:pt idx="16">
                  <c:v>89.14</c:v>
                </c:pt>
                <c:pt idx="17">
                  <c:v>94.63</c:v>
                </c:pt>
                <c:pt idx="18">
                  <c:v>99.81</c:v>
                </c:pt>
                <c:pt idx="19">
                  <c:v>104.61</c:v>
                </c:pt>
                <c:pt idx="20">
                  <c:v>110.31</c:v>
                </c:pt>
              </c:numCache>
            </c:numRef>
          </c:xVal>
          <c:yVal>
            <c:numRef>
              <c:f>'TC-Absorption-70psi'!$H$4:$H$34</c:f>
              <c:numCache>
                <c:formatCode>General</c:formatCode>
                <c:ptCount val="31"/>
                <c:pt idx="0">
                  <c:v>0.2401</c:v>
                </c:pt>
                <c:pt idx="1">
                  <c:v>0.3458</c:v>
                </c:pt>
                <c:pt idx="2">
                  <c:v>0.4126</c:v>
                </c:pt>
                <c:pt idx="3">
                  <c:v>0.4586</c:v>
                </c:pt>
                <c:pt idx="4">
                  <c:v>0.4995</c:v>
                </c:pt>
                <c:pt idx="5">
                  <c:v>0.5141</c:v>
                </c:pt>
                <c:pt idx="6">
                  <c:v>0.5427</c:v>
                </c:pt>
                <c:pt idx="7">
                  <c:v>0.5599</c:v>
                </c:pt>
                <c:pt idx="8">
                  <c:v>0.6115</c:v>
                </c:pt>
                <c:pt idx="9">
                  <c:v>0.6643</c:v>
                </c:pt>
                <c:pt idx="10">
                  <c:v>0.6788</c:v>
                </c:pt>
                <c:pt idx="11">
                  <c:v>0.7465</c:v>
                </c:pt>
                <c:pt idx="12">
                  <c:v>0.8165</c:v>
                </c:pt>
                <c:pt idx="13">
                  <c:v>0.8125</c:v>
                </c:pt>
                <c:pt idx="14">
                  <c:v>0.8902</c:v>
                </c:pt>
                <c:pt idx="15">
                  <c:v>0.8826</c:v>
                </c:pt>
                <c:pt idx="16">
                  <c:v>0.9179</c:v>
                </c:pt>
                <c:pt idx="17">
                  <c:v>0.9381</c:v>
                </c:pt>
                <c:pt idx="18">
                  <c:v>0.9535</c:v>
                </c:pt>
                <c:pt idx="19">
                  <c:v>0.9581</c:v>
                </c:pt>
                <c:pt idx="20">
                  <c:v>0.9785</c:v>
                </c:pt>
              </c:numCache>
            </c:numRef>
          </c:yVal>
          <c:smooth val="0"/>
        </c:ser>
        <c:ser>
          <c:idx val="2"/>
          <c:order val="3"/>
          <c:tx>
            <c:v>70% RH</c:v>
          </c:tx>
          <c:spPr>
            <a:ln w="28575">
              <a:noFill/>
            </a:ln>
          </c:spPr>
          <c:marker>
            <c:symbol val="triangle"/>
            <c:size val="5"/>
            <c:spPr>
              <a:solidFill>
                <a:srgbClr val="00B050">
                  <a:alpha val="50000"/>
                </a:srgbClr>
              </a:solidFill>
              <a:ln w="12700">
                <a:solidFill>
                  <a:sysClr val="windowText" lastClr="000000"/>
                </a:solidFill>
              </a:ln>
            </c:spPr>
          </c:marker>
          <c:errBars>
            <c:errDir val="y"/>
            <c:errBarType val="both"/>
            <c:errValType val="cust"/>
            <c:noEndCap val="0"/>
            <c:plus>
              <c:numRef>
                <c:f>'TC-Absorption-70psi'!$O$4:$O$29</c:f>
                <c:numCache>
                  <c:formatCode>General</c:formatCode>
                  <c:ptCount val="26"/>
                  <c:pt idx="0">
                    <c:v>0.034</c:v>
                  </c:pt>
                  <c:pt idx="1">
                    <c:v>0.076</c:v>
                  </c:pt>
                  <c:pt idx="2">
                    <c:v>0.112</c:v>
                  </c:pt>
                  <c:pt idx="3">
                    <c:v>0.14</c:v>
                  </c:pt>
                  <c:pt idx="4">
                    <c:v>0.155</c:v>
                  </c:pt>
                  <c:pt idx="5">
                    <c:v>0.158</c:v>
                  </c:pt>
                  <c:pt idx="6">
                    <c:v>0.17</c:v>
                  </c:pt>
                  <c:pt idx="7">
                    <c:v>0.159</c:v>
                  </c:pt>
                  <c:pt idx="8">
                    <c:v>0.154</c:v>
                  </c:pt>
                  <c:pt idx="9">
                    <c:v>0.151</c:v>
                  </c:pt>
                  <c:pt idx="10">
                    <c:v>0.149</c:v>
                  </c:pt>
                  <c:pt idx="11">
                    <c:v>0.167</c:v>
                  </c:pt>
                  <c:pt idx="12">
                    <c:v>0.171</c:v>
                  </c:pt>
                  <c:pt idx="13">
                    <c:v>0.153</c:v>
                  </c:pt>
                  <c:pt idx="14">
                    <c:v>0.164</c:v>
                  </c:pt>
                  <c:pt idx="15">
                    <c:v>0.162</c:v>
                  </c:pt>
                  <c:pt idx="16">
                    <c:v>0.149</c:v>
                  </c:pt>
                  <c:pt idx="17">
                    <c:v>0.156</c:v>
                  </c:pt>
                  <c:pt idx="18">
                    <c:v>0.168</c:v>
                  </c:pt>
                  <c:pt idx="19">
                    <c:v>0.166</c:v>
                  </c:pt>
                  <c:pt idx="20">
                    <c:v>0.145</c:v>
                  </c:pt>
                </c:numCache>
              </c:numRef>
            </c:plus>
            <c:minus>
              <c:numRef>
                <c:f>'TC-Absorption-70psi'!$O$4:$O$29</c:f>
                <c:numCache>
                  <c:formatCode>General</c:formatCode>
                  <c:ptCount val="26"/>
                  <c:pt idx="0">
                    <c:v>0.034</c:v>
                  </c:pt>
                  <c:pt idx="1">
                    <c:v>0.076</c:v>
                  </c:pt>
                  <c:pt idx="2">
                    <c:v>0.112</c:v>
                  </c:pt>
                  <c:pt idx="3">
                    <c:v>0.14</c:v>
                  </c:pt>
                  <c:pt idx="4">
                    <c:v>0.155</c:v>
                  </c:pt>
                  <c:pt idx="5">
                    <c:v>0.158</c:v>
                  </c:pt>
                  <c:pt idx="6">
                    <c:v>0.17</c:v>
                  </c:pt>
                  <c:pt idx="7">
                    <c:v>0.159</c:v>
                  </c:pt>
                  <c:pt idx="8">
                    <c:v>0.154</c:v>
                  </c:pt>
                  <c:pt idx="9">
                    <c:v>0.151</c:v>
                  </c:pt>
                  <c:pt idx="10">
                    <c:v>0.149</c:v>
                  </c:pt>
                  <c:pt idx="11">
                    <c:v>0.167</c:v>
                  </c:pt>
                  <c:pt idx="12">
                    <c:v>0.171</c:v>
                  </c:pt>
                  <c:pt idx="13">
                    <c:v>0.153</c:v>
                  </c:pt>
                  <c:pt idx="14">
                    <c:v>0.164</c:v>
                  </c:pt>
                  <c:pt idx="15">
                    <c:v>0.162</c:v>
                  </c:pt>
                  <c:pt idx="16">
                    <c:v>0.149</c:v>
                  </c:pt>
                  <c:pt idx="17">
                    <c:v>0.156</c:v>
                  </c:pt>
                  <c:pt idx="18">
                    <c:v>0.168</c:v>
                  </c:pt>
                  <c:pt idx="19">
                    <c:v>0.166</c:v>
                  </c:pt>
                  <c:pt idx="20">
                    <c:v>0.145</c:v>
                  </c:pt>
                </c:numCache>
              </c:numRef>
            </c:minus>
            <c:spPr>
              <a:ln w="12700">
                <a:solidFill>
                  <a:srgbClr val="00B050"/>
                </a:solidFill>
              </a:ln>
            </c:spPr>
          </c:errBars>
          <c:xVal>
            <c:numRef>
              <c:f>'TC-Absorption-70psi'!$M$4:$M$34</c:f>
              <c:numCache>
                <c:formatCode>General</c:formatCode>
                <c:ptCount val="31"/>
                <c:pt idx="0">
                  <c:v>2.36</c:v>
                </c:pt>
                <c:pt idx="1">
                  <c:v>5.43</c:v>
                </c:pt>
                <c:pt idx="2">
                  <c:v>8.65</c:v>
                </c:pt>
                <c:pt idx="3">
                  <c:v>13.91</c:v>
                </c:pt>
                <c:pt idx="4">
                  <c:v>20.38</c:v>
                </c:pt>
                <c:pt idx="5">
                  <c:v>25.98</c:v>
                </c:pt>
                <c:pt idx="6">
                  <c:v>31.04</c:v>
                </c:pt>
                <c:pt idx="7">
                  <c:v>35.72</c:v>
                </c:pt>
                <c:pt idx="8">
                  <c:v>43.04</c:v>
                </c:pt>
                <c:pt idx="9">
                  <c:v>48.49</c:v>
                </c:pt>
                <c:pt idx="10">
                  <c:v>54.32</c:v>
                </c:pt>
                <c:pt idx="11">
                  <c:v>59.81</c:v>
                </c:pt>
                <c:pt idx="12">
                  <c:v>65.38</c:v>
                </c:pt>
                <c:pt idx="13">
                  <c:v>71.49</c:v>
                </c:pt>
                <c:pt idx="14">
                  <c:v>77.91</c:v>
                </c:pt>
                <c:pt idx="15">
                  <c:v>82.57</c:v>
                </c:pt>
                <c:pt idx="16">
                  <c:v>89.14</c:v>
                </c:pt>
                <c:pt idx="17">
                  <c:v>94.63</c:v>
                </c:pt>
                <c:pt idx="18">
                  <c:v>99.81</c:v>
                </c:pt>
                <c:pt idx="19">
                  <c:v>104.61</c:v>
                </c:pt>
                <c:pt idx="20">
                  <c:v>110.31</c:v>
                </c:pt>
              </c:numCache>
            </c:numRef>
          </c:xVal>
          <c:yVal>
            <c:numRef>
              <c:f>'TC-Absorption-70psi'!$N$4:$N$34</c:f>
              <c:numCache>
                <c:formatCode>General</c:formatCode>
                <c:ptCount val="31"/>
                <c:pt idx="0">
                  <c:v>0.264</c:v>
                </c:pt>
                <c:pt idx="1">
                  <c:v>0.3994</c:v>
                </c:pt>
                <c:pt idx="2">
                  <c:v>0.4881</c:v>
                </c:pt>
                <c:pt idx="3">
                  <c:v>0.5633</c:v>
                </c:pt>
                <c:pt idx="4">
                  <c:v>0.5943</c:v>
                </c:pt>
                <c:pt idx="5">
                  <c:v>0.6124</c:v>
                </c:pt>
                <c:pt idx="6">
                  <c:v>0.6385</c:v>
                </c:pt>
                <c:pt idx="7">
                  <c:v>0.6213</c:v>
                </c:pt>
                <c:pt idx="8">
                  <c:v>0.6667</c:v>
                </c:pt>
                <c:pt idx="9">
                  <c:v>0.6945</c:v>
                </c:pt>
                <c:pt idx="10">
                  <c:v>0.7578</c:v>
                </c:pt>
                <c:pt idx="11">
                  <c:v>0.772</c:v>
                </c:pt>
                <c:pt idx="12">
                  <c:v>0.8445</c:v>
                </c:pt>
                <c:pt idx="13">
                  <c:v>0.8582</c:v>
                </c:pt>
                <c:pt idx="14">
                  <c:v>0.8977</c:v>
                </c:pt>
                <c:pt idx="15">
                  <c:v>0.8916</c:v>
                </c:pt>
                <c:pt idx="16">
                  <c:v>0.9553</c:v>
                </c:pt>
                <c:pt idx="17">
                  <c:v>0.977</c:v>
                </c:pt>
                <c:pt idx="18">
                  <c:v>1.018</c:v>
                </c:pt>
                <c:pt idx="19">
                  <c:v>1.0494</c:v>
                </c:pt>
                <c:pt idx="20">
                  <c:v>1.0835</c:v>
                </c:pt>
              </c:numCache>
            </c:numRef>
          </c:yVal>
          <c:smooth val="0"/>
        </c:ser>
        <c:ser>
          <c:idx val="3"/>
          <c:order val="4"/>
          <c:tx>
            <c:v>99% RH</c:v>
          </c:tx>
          <c:spPr>
            <a:ln w="28575">
              <a:noFill/>
            </a:ln>
          </c:spPr>
          <c:marker>
            <c:symbol val="triangle"/>
            <c:size val="5"/>
            <c:spPr>
              <a:solidFill>
                <a:srgbClr val="7030A0">
                  <a:alpha val="50000"/>
                </a:srgbClr>
              </a:solidFill>
              <a:ln w="12700">
                <a:solidFill>
                  <a:sysClr val="windowText" lastClr="000000"/>
                </a:solidFill>
              </a:ln>
            </c:spPr>
          </c:marker>
          <c:errBars>
            <c:errDir val="y"/>
            <c:errBarType val="both"/>
            <c:errValType val="cust"/>
            <c:noEndCap val="0"/>
            <c:plus>
              <c:numRef>
                <c:f>'TC-Absorption-70psi'!$U$4:$U$29</c:f>
                <c:numCache>
                  <c:formatCode>General</c:formatCode>
                  <c:ptCount val="26"/>
                  <c:pt idx="0">
                    <c:v>0.039</c:v>
                  </c:pt>
                  <c:pt idx="1">
                    <c:v>0.141</c:v>
                  </c:pt>
                  <c:pt idx="2">
                    <c:v>0.228</c:v>
                  </c:pt>
                  <c:pt idx="3">
                    <c:v>0.263</c:v>
                  </c:pt>
                  <c:pt idx="4">
                    <c:v>0.258</c:v>
                  </c:pt>
                  <c:pt idx="5">
                    <c:v>0.23</c:v>
                  </c:pt>
                  <c:pt idx="6">
                    <c:v>0.226</c:v>
                  </c:pt>
                  <c:pt idx="7">
                    <c:v>0.238</c:v>
                  </c:pt>
                  <c:pt idx="8">
                    <c:v>0.25</c:v>
                  </c:pt>
                  <c:pt idx="9">
                    <c:v>0.256</c:v>
                  </c:pt>
                  <c:pt idx="10">
                    <c:v>0.238</c:v>
                  </c:pt>
                  <c:pt idx="11">
                    <c:v>0.228</c:v>
                  </c:pt>
                  <c:pt idx="12">
                    <c:v>0.232</c:v>
                  </c:pt>
                  <c:pt idx="13">
                    <c:v>0.22</c:v>
                  </c:pt>
                  <c:pt idx="14">
                    <c:v>0.223</c:v>
                  </c:pt>
                  <c:pt idx="15">
                    <c:v>0.234</c:v>
                  </c:pt>
                  <c:pt idx="16">
                    <c:v>0.235</c:v>
                  </c:pt>
                  <c:pt idx="17">
                    <c:v>0.237</c:v>
                  </c:pt>
                  <c:pt idx="18">
                    <c:v>0.222</c:v>
                  </c:pt>
                  <c:pt idx="19">
                    <c:v>0.226</c:v>
                  </c:pt>
                  <c:pt idx="20">
                    <c:v>0.234</c:v>
                  </c:pt>
                </c:numCache>
              </c:numRef>
            </c:plus>
            <c:minus>
              <c:numRef>
                <c:f>'TC-Absorption-70psi'!$U$4:$U$29</c:f>
                <c:numCache>
                  <c:formatCode>General</c:formatCode>
                  <c:ptCount val="26"/>
                  <c:pt idx="0">
                    <c:v>0.039</c:v>
                  </c:pt>
                  <c:pt idx="1">
                    <c:v>0.141</c:v>
                  </c:pt>
                  <c:pt idx="2">
                    <c:v>0.228</c:v>
                  </c:pt>
                  <c:pt idx="3">
                    <c:v>0.263</c:v>
                  </c:pt>
                  <c:pt idx="4">
                    <c:v>0.258</c:v>
                  </c:pt>
                  <c:pt idx="5">
                    <c:v>0.23</c:v>
                  </c:pt>
                  <c:pt idx="6">
                    <c:v>0.226</c:v>
                  </c:pt>
                  <c:pt idx="7">
                    <c:v>0.238</c:v>
                  </c:pt>
                  <c:pt idx="8">
                    <c:v>0.25</c:v>
                  </c:pt>
                  <c:pt idx="9">
                    <c:v>0.256</c:v>
                  </c:pt>
                  <c:pt idx="10">
                    <c:v>0.238</c:v>
                  </c:pt>
                  <c:pt idx="11">
                    <c:v>0.228</c:v>
                  </c:pt>
                  <c:pt idx="12">
                    <c:v>0.232</c:v>
                  </c:pt>
                  <c:pt idx="13">
                    <c:v>0.22</c:v>
                  </c:pt>
                  <c:pt idx="14">
                    <c:v>0.223</c:v>
                  </c:pt>
                  <c:pt idx="15">
                    <c:v>0.234</c:v>
                  </c:pt>
                  <c:pt idx="16">
                    <c:v>0.235</c:v>
                  </c:pt>
                  <c:pt idx="17">
                    <c:v>0.237</c:v>
                  </c:pt>
                  <c:pt idx="18">
                    <c:v>0.222</c:v>
                  </c:pt>
                  <c:pt idx="19">
                    <c:v>0.226</c:v>
                  </c:pt>
                  <c:pt idx="20">
                    <c:v>0.234</c:v>
                  </c:pt>
                </c:numCache>
              </c:numRef>
            </c:minus>
            <c:spPr>
              <a:ln w="12700">
                <a:solidFill>
                  <a:srgbClr val="7030A0"/>
                </a:solidFill>
              </a:ln>
            </c:spPr>
          </c:errBars>
          <c:xVal>
            <c:numRef>
              <c:f>'TC-Absorption-70psi'!$S$4:$S$34</c:f>
              <c:numCache>
                <c:formatCode>General</c:formatCode>
                <c:ptCount val="31"/>
                <c:pt idx="0">
                  <c:v>2.38</c:v>
                </c:pt>
                <c:pt idx="1">
                  <c:v>5.45</c:v>
                </c:pt>
                <c:pt idx="2">
                  <c:v>8.66</c:v>
                </c:pt>
                <c:pt idx="3">
                  <c:v>12.92</c:v>
                </c:pt>
                <c:pt idx="4">
                  <c:v>20.38</c:v>
                </c:pt>
                <c:pt idx="5">
                  <c:v>25.98</c:v>
                </c:pt>
                <c:pt idx="6">
                  <c:v>31.04</c:v>
                </c:pt>
                <c:pt idx="7">
                  <c:v>35.72</c:v>
                </c:pt>
                <c:pt idx="8">
                  <c:v>43.04</c:v>
                </c:pt>
                <c:pt idx="9">
                  <c:v>48.49</c:v>
                </c:pt>
                <c:pt idx="10">
                  <c:v>54.32</c:v>
                </c:pt>
                <c:pt idx="11">
                  <c:v>59.81</c:v>
                </c:pt>
                <c:pt idx="12">
                  <c:v>65.38</c:v>
                </c:pt>
                <c:pt idx="13">
                  <c:v>71.49</c:v>
                </c:pt>
                <c:pt idx="14">
                  <c:v>77.91</c:v>
                </c:pt>
                <c:pt idx="15">
                  <c:v>82.57</c:v>
                </c:pt>
                <c:pt idx="16">
                  <c:v>89.14</c:v>
                </c:pt>
                <c:pt idx="17">
                  <c:v>94.63</c:v>
                </c:pt>
                <c:pt idx="18">
                  <c:v>99.81</c:v>
                </c:pt>
                <c:pt idx="19">
                  <c:v>104.61</c:v>
                </c:pt>
                <c:pt idx="20">
                  <c:v>110.31</c:v>
                </c:pt>
              </c:numCache>
            </c:numRef>
          </c:xVal>
          <c:yVal>
            <c:numRef>
              <c:f>'TC-Absorption-70psi'!$T$4:$T$34</c:f>
              <c:numCache>
                <c:formatCode>General</c:formatCode>
                <c:ptCount val="31"/>
                <c:pt idx="0">
                  <c:v>0.461</c:v>
                </c:pt>
                <c:pt idx="1">
                  <c:v>0.8512</c:v>
                </c:pt>
                <c:pt idx="2">
                  <c:v>1.0508</c:v>
                </c:pt>
                <c:pt idx="3">
                  <c:v>1.1725</c:v>
                </c:pt>
                <c:pt idx="4">
                  <c:v>1.2274</c:v>
                </c:pt>
                <c:pt idx="5">
                  <c:v>1.2941</c:v>
                </c:pt>
                <c:pt idx="6">
                  <c:v>1.3763</c:v>
                </c:pt>
                <c:pt idx="7">
                  <c:v>1.407999999999999</c:v>
                </c:pt>
                <c:pt idx="8">
                  <c:v>1.4703</c:v>
                </c:pt>
                <c:pt idx="9">
                  <c:v>1.5423</c:v>
                </c:pt>
                <c:pt idx="10">
                  <c:v>1.5708</c:v>
                </c:pt>
                <c:pt idx="11">
                  <c:v>1.6187</c:v>
                </c:pt>
                <c:pt idx="12">
                  <c:v>1.6303</c:v>
                </c:pt>
                <c:pt idx="13">
                  <c:v>1.6551</c:v>
                </c:pt>
                <c:pt idx="14">
                  <c:v>1.6779</c:v>
                </c:pt>
                <c:pt idx="15">
                  <c:v>1.6759</c:v>
                </c:pt>
                <c:pt idx="16">
                  <c:v>1.698</c:v>
                </c:pt>
                <c:pt idx="17">
                  <c:v>1.7077</c:v>
                </c:pt>
                <c:pt idx="18">
                  <c:v>1.7141</c:v>
                </c:pt>
                <c:pt idx="19">
                  <c:v>1.7089</c:v>
                </c:pt>
                <c:pt idx="20">
                  <c:v>1.7491</c:v>
                </c:pt>
              </c:numCache>
            </c:numRef>
          </c:yVal>
          <c:smooth val="0"/>
        </c:ser>
        <c:ser>
          <c:idx val="9"/>
          <c:order val="5"/>
          <c:spPr>
            <a:ln w="12700">
              <a:solidFill>
                <a:sysClr val="windowText" lastClr="000000"/>
              </a:solidFill>
              <a:prstDash val="lgDash"/>
            </a:ln>
          </c:spPr>
          <c:marker>
            <c:symbol val="none"/>
          </c:marker>
          <c:dPt>
            <c:idx val="1"/>
            <c:bubble3D val="0"/>
            <c:spPr>
              <a:ln w="12700">
                <a:solidFill>
                  <a:schemeClr val="bg1">
                    <a:lumMod val="50000"/>
                  </a:schemeClr>
                </a:solidFill>
                <a:prstDash val="lgDash"/>
              </a:ln>
            </c:spPr>
          </c:dPt>
          <c:xVal>
            <c:numRef>
              <c:f>('BMI-Absorption-10psi'!$D$51,'BMI-Absorption-10psi'!$D$51)</c:f>
              <c:numCache>
                <c:formatCode>General</c:formatCode>
                <c:ptCount val="2"/>
                <c:pt idx="0">
                  <c:v>132.363</c:v>
                </c:pt>
                <c:pt idx="1">
                  <c:v>132.363</c:v>
                </c:pt>
              </c:numCache>
            </c:numRef>
          </c:xVal>
          <c:yVal>
            <c:numLit>
              <c:formatCode>General</c:formatCode>
              <c:ptCount val="2"/>
              <c:pt idx="0">
                <c:v>0.0</c:v>
              </c:pt>
              <c:pt idx="1">
                <c:v>12.0</c:v>
              </c:pt>
            </c:numLit>
          </c:yVal>
          <c:smooth val="0"/>
        </c:ser>
        <c:dLbls>
          <c:showLegendKey val="0"/>
          <c:showVal val="0"/>
          <c:showCatName val="0"/>
          <c:showSerName val="0"/>
          <c:showPercent val="0"/>
          <c:showBubbleSize val="0"/>
        </c:dLbls>
        <c:axId val="423796504"/>
        <c:axId val="423802456"/>
      </c:scatterChart>
      <c:valAx>
        <c:axId val="423796504"/>
        <c:scaling>
          <c:orientation val="minMax"/>
          <c:max val="15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423802456"/>
        <c:crosses val="autoZero"/>
        <c:crossBetween val="midCat"/>
        <c:minorUnit val="12.5"/>
      </c:valAx>
      <c:valAx>
        <c:axId val="423802456"/>
        <c:scaling>
          <c:orientation val="minMax"/>
          <c:max val="3.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423796504"/>
        <c:crosses val="autoZero"/>
        <c:crossBetween val="midCat"/>
        <c:majorUnit val="1.0"/>
        <c:minorUnit val="0.25"/>
      </c:valAx>
      <c:spPr>
        <a:ln w="19050">
          <a:solidFill>
            <a:sysClr val="windowText" lastClr="000000"/>
          </a:solidFill>
        </a:ln>
      </c:spPr>
    </c:plotArea>
    <c:legend>
      <c:legendPos val="r"/>
      <c:legendEntry>
        <c:idx val="0"/>
        <c:delete val="1"/>
      </c:legendEntry>
      <c:legendEntry>
        <c:idx val="5"/>
        <c:delete val="1"/>
      </c:legendEntry>
      <c:layout>
        <c:manualLayout>
          <c:xMode val="edge"/>
          <c:yMode val="edge"/>
          <c:x val="0.181747284037942"/>
          <c:y val="0.0959115664876696"/>
          <c:w val="0.235029360736688"/>
          <c:h val="0.198320209973753"/>
        </c:manualLayout>
      </c:layout>
      <c:overlay val="1"/>
      <c:spPr>
        <a:solidFill>
          <a:schemeClr val="bg1"/>
        </a:solidFill>
      </c:spPr>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5724009075137"/>
          <c:y val="0.0333333333333333"/>
          <c:w val="0.745862805284932"/>
          <c:h val="0.793114975211432"/>
        </c:manualLayout>
      </c:layout>
      <c:scatterChart>
        <c:scatterStyle val="lineMarker"/>
        <c:varyColors val="0"/>
        <c:ser>
          <c:idx val="0"/>
          <c:order val="0"/>
          <c:tx>
            <c:v>2% RH</c:v>
          </c:tx>
          <c:spPr>
            <a:ln w="28575">
              <a:noFill/>
            </a:ln>
          </c:spPr>
          <c:marker>
            <c:symbol val="square"/>
            <c:size val="4"/>
            <c:spPr>
              <a:solidFill>
                <a:srgbClr val="0070C0">
                  <a:alpha val="50000"/>
                </a:srgbClr>
              </a:solidFill>
              <a:ln w="12700">
                <a:solidFill>
                  <a:schemeClr val="tx1"/>
                </a:solidFill>
              </a:ln>
            </c:spPr>
          </c:marker>
          <c:xVal>
            <c:numRef>
              <c:f>'BMI-Absorption-10psi'!$A$4:$A$34</c:f>
              <c:numCache>
                <c:formatCode>General</c:formatCode>
                <c:ptCount val="31"/>
                <c:pt idx="0">
                  <c:v>1.45</c:v>
                </c:pt>
                <c:pt idx="1">
                  <c:v>2.22</c:v>
                </c:pt>
                <c:pt idx="2">
                  <c:v>5.22</c:v>
                </c:pt>
                <c:pt idx="3">
                  <c:v>8.5</c:v>
                </c:pt>
                <c:pt idx="4">
                  <c:v>13.88</c:v>
                </c:pt>
                <c:pt idx="5">
                  <c:v>19.66</c:v>
                </c:pt>
                <c:pt idx="6">
                  <c:v>25.49</c:v>
                </c:pt>
                <c:pt idx="7">
                  <c:v>31.39</c:v>
                </c:pt>
                <c:pt idx="8">
                  <c:v>37.34</c:v>
                </c:pt>
                <c:pt idx="9">
                  <c:v>42.7</c:v>
                </c:pt>
                <c:pt idx="10">
                  <c:v>48.48</c:v>
                </c:pt>
                <c:pt idx="11">
                  <c:v>53.89</c:v>
                </c:pt>
                <c:pt idx="12">
                  <c:v>59.42</c:v>
                </c:pt>
                <c:pt idx="13">
                  <c:v>66.6</c:v>
                </c:pt>
                <c:pt idx="14">
                  <c:v>71.33</c:v>
                </c:pt>
                <c:pt idx="15">
                  <c:v>76.99</c:v>
                </c:pt>
                <c:pt idx="16">
                  <c:v>82.25</c:v>
                </c:pt>
                <c:pt idx="17">
                  <c:v>88.72</c:v>
                </c:pt>
                <c:pt idx="18">
                  <c:v>93.7</c:v>
                </c:pt>
                <c:pt idx="19">
                  <c:v>98.93</c:v>
                </c:pt>
                <c:pt idx="20">
                  <c:v>105.41</c:v>
                </c:pt>
                <c:pt idx="21">
                  <c:v>111.49</c:v>
                </c:pt>
                <c:pt idx="22">
                  <c:v>116.64</c:v>
                </c:pt>
                <c:pt idx="23">
                  <c:v>121.68</c:v>
                </c:pt>
                <c:pt idx="24">
                  <c:v>127.94</c:v>
                </c:pt>
                <c:pt idx="25">
                  <c:v>133.33</c:v>
                </c:pt>
                <c:pt idx="30">
                  <c:v>138.54</c:v>
                </c:pt>
              </c:numCache>
            </c:numRef>
          </c:xVal>
          <c:yVal>
            <c:numRef>
              <c:f>'BMI-Absorption-10psi'!$B$4:$B$34</c:f>
              <c:numCache>
                <c:formatCode>General</c:formatCode>
                <c:ptCount val="31"/>
                <c:pt idx="0">
                  <c:v>0.3625</c:v>
                </c:pt>
                <c:pt idx="1">
                  <c:v>0.4303</c:v>
                </c:pt>
                <c:pt idx="2">
                  <c:v>0.7592</c:v>
                </c:pt>
                <c:pt idx="3">
                  <c:v>1.0642</c:v>
                </c:pt>
                <c:pt idx="4">
                  <c:v>1.3768</c:v>
                </c:pt>
                <c:pt idx="5">
                  <c:v>1.589</c:v>
                </c:pt>
                <c:pt idx="6">
                  <c:v>1.6893</c:v>
                </c:pt>
                <c:pt idx="7">
                  <c:v>1.8011</c:v>
                </c:pt>
                <c:pt idx="8">
                  <c:v>1.8648</c:v>
                </c:pt>
                <c:pt idx="9">
                  <c:v>1.921</c:v>
                </c:pt>
                <c:pt idx="10">
                  <c:v>1.9774</c:v>
                </c:pt>
                <c:pt idx="11">
                  <c:v>2.0176</c:v>
                </c:pt>
                <c:pt idx="12">
                  <c:v>2.0442</c:v>
                </c:pt>
                <c:pt idx="13">
                  <c:v>2.0537</c:v>
                </c:pt>
                <c:pt idx="14">
                  <c:v>2.0881</c:v>
                </c:pt>
                <c:pt idx="15">
                  <c:v>2.1533</c:v>
                </c:pt>
                <c:pt idx="16">
                  <c:v>2.2735</c:v>
                </c:pt>
                <c:pt idx="17">
                  <c:v>2.336399999999998</c:v>
                </c:pt>
                <c:pt idx="18">
                  <c:v>2.406699999999998</c:v>
                </c:pt>
                <c:pt idx="19">
                  <c:v>2.4607</c:v>
                </c:pt>
                <c:pt idx="20">
                  <c:v>2.5377</c:v>
                </c:pt>
                <c:pt idx="21">
                  <c:v>2.6162</c:v>
                </c:pt>
                <c:pt idx="22">
                  <c:v>2.6313</c:v>
                </c:pt>
                <c:pt idx="23">
                  <c:v>2.6694</c:v>
                </c:pt>
                <c:pt idx="24">
                  <c:v>2.6628</c:v>
                </c:pt>
                <c:pt idx="25">
                  <c:v>2.6555</c:v>
                </c:pt>
              </c:numCache>
            </c:numRef>
          </c:yVal>
          <c:smooth val="0"/>
        </c:ser>
        <c:ser>
          <c:idx val="1"/>
          <c:order val="1"/>
          <c:tx>
            <c:v>40% RH</c:v>
          </c:tx>
          <c:spPr>
            <a:ln w="28575">
              <a:noFill/>
            </a:ln>
          </c:spPr>
          <c:marker>
            <c:symbol val="square"/>
            <c:size val="4"/>
            <c:spPr>
              <a:solidFill>
                <a:srgbClr val="C00000">
                  <a:alpha val="50000"/>
                </a:srgbClr>
              </a:solidFill>
              <a:ln w="12700">
                <a:solidFill>
                  <a:sysClr val="windowText" lastClr="000000"/>
                </a:solidFill>
              </a:ln>
            </c:spPr>
          </c:marker>
          <c:xVal>
            <c:numRef>
              <c:f>'BMI-Absorption-10psi'!$G$4:$G$34</c:f>
              <c:numCache>
                <c:formatCode>General</c:formatCode>
                <c:ptCount val="31"/>
                <c:pt idx="0">
                  <c:v>1.5</c:v>
                </c:pt>
                <c:pt idx="1">
                  <c:v>2.25</c:v>
                </c:pt>
                <c:pt idx="2">
                  <c:v>5.23</c:v>
                </c:pt>
                <c:pt idx="3">
                  <c:v>8.51</c:v>
                </c:pt>
                <c:pt idx="4">
                  <c:v>13.88</c:v>
                </c:pt>
                <c:pt idx="5">
                  <c:v>19.66</c:v>
                </c:pt>
                <c:pt idx="6">
                  <c:v>25.5</c:v>
                </c:pt>
                <c:pt idx="7">
                  <c:v>31.39</c:v>
                </c:pt>
                <c:pt idx="8">
                  <c:v>37.34</c:v>
                </c:pt>
                <c:pt idx="9">
                  <c:v>42.7</c:v>
                </c:pt>
                <c:pt idx="10">
                  <c:v>48.48</c:v>
                </c:pt>
                <c:pt idx="11">
                  <c:v>53.89</c:v>
                </c:pt>
                <c:pt idx="12">
                  <c:v>59.42</c:v>
                </c:pt>
                <c:pt idx="13">
                  <c:v>66.6</c:v>
                </c:pt>
                <c:pt idx="14">
                  <c:v>71.33</c:v>
                </c:pt>
                <c:pt idx="15">
                  <c:v>76.99</c:v>
                </c:pt>
                <c:pt idx="16">
                  <c:v>82.25</c:v>
                </c:pt>
                <c:pt idx="17">
                  <c:v>88.72</c:v>
                </c:pt>
                <c:pt idx="18">
                  <c:v>93.7</c:v>
                </c:pt>
                <c:pt idx="19">
                  <c:v>98.93</c:v>
                </c:pt>
                <c:pt idx="20">
                  <c:v>105.41</c:v>
                </c:pt>
                <c:pt idx="21">
                  <c:v>111.49</c:v>
                </c:pt>
                <c:pt idx="22">
                  <c:v>116.64</c:v>
                </c:pt>
                <c:pt idx="23">
                  <c:v>121.68</c:v>
                </c:pt>
                <c:pt idx="24">
                  <c:v>127.94</c:v>
                </c:pt>
                <c:pt idx="25">
                  <c:v>133.33</c:v>
                </c:pt>
              </c:numCache>
            </c:numRef>
          </c:xVal>
          <c:yVal>
            <c:numRef>
              <c:f>'BMI-Absorption-10psi'!$H$4:$H$34</c:f>
              <c:numCache>
                <c:formatCode>General</c:formatCode>
                <c:ptCount val="31"/>
                <c:pt idx="0">
                  <c:v>0.7608</c:v>
                </c:pt>
                <c:pt idx="1">
                  <c:v>1.036</c:v>
                </c:pt>
                <c:pt idx="2">
                  <c:v>1.9492</c:v>
                </c:pt>
                <c:pt idx="3">
                  <c:v>2.7458</c:v>
                </c:pt>
                <c:pt idx="4">
                  <c:v>3.675</c:v>
                </c:pt>
                <c:pt idx="5">
                  <c:v>4.1818</c:v>
                </c:pt>
                <c:pt idx="6">
                  <c:v>4.395499999999997</c:v>
                </c:pt>
                <c:pt idx="7">
                  <c:v>4.4872</c:v>
                </c:pt>
                <c:pt idx="8">
                  <c:v>4.647399999999997</c:v>
                </c:pt>
                <c:pt idx="9">
                  <c:v>4.7893</c:v>
                </c:pt>
                <c:pt idx="10">
                  <c:v>4.9489</c:v>
                </c:pt>
                <c:pt idx="11">
                  <c:v>5.0461</c:v>
                </c:pt>
                <c:pt idx="12">
                  <c:v>5.152999999999989</c:v>
                </c:pt>
                <c:pt idx="13">
                  <c:v>5.265099999999999</c:v>
                </c:pt>
                <c:pt idx="14">
                  <c:v>5.317899999999986</c:v>
                </c:pt>
                <c:pt idx="15">
                  <c:v>5.3957</c:v>
                </c:pt>
                <c:pt idx="16">
                  <c:v>5.5823</c:v>
                </c:pt>
                <c:pt idx="17">
                  <c:v>5.6815</c:v>
                </c:pt>
                <c:pt idx="18">
                  <c:v>5.7996</c:v>
                </c:pt>
                <c:pt idx="19">
                  <c:v>5.9095</c:v>
                </c:pt>
                <c:pt idx="20">
                  <c:v>5.9633</c:v>
                </c:pt>
                <c:pt idx="21">
                  <c:v>6.0123</c:v>
                </c:pt>
                <c:pt idx="22">
                  <c:v>6.0567</c:v>
                </c:pt>
                <c:pt idx="23">
                  <c:v>6.0722</c:v>
                </c:pt>
                <c:pt idx="24">
                  <c:v>6.115899999999995</c:v>
                </c:pt>
                <c:pt idx="25">
                  <c:v>6.1065</c:v>
                </c:pt>
              </c:numCache>
            </c:numRef>
          </c:yVal>
          <c:smooth val="0"/>
        </c:ser>
        <c:ser>
          <c:idx val="2"/>
          <c:order val="2"/>
          <c:tx>
            <c:v>70% RH</c:v>
          </c:tx>
          <c:spPr>
            <a:ln w="28575">
              <a:noFill/>
            </a:ln>
          </c:spPr>
          <c:marker>
            <c:symbol val="square"/>
            <c:size val="4"/>
            <c:spPr>
              <a:solidFill>
                <a:srgbClr val="00B050">
                  <a:alpha val="50000"/>
                </a:srgbClr>
              </a:solidFill>
              <a:ln w="12700">
                <a:solidFill>
                  <a:sysClr val="windowText" lastClr="000000"/>
                </a:solidFill>
              </a:ln>
            </c:spPr>
          </c:marker>
          <c:xVal>
            <c:numRef>
              <c:f>'BMI-Absorption-10psi'!$M$4:$M$34</c:f>
              <c:numCache>
                <c:formatCode>General</c:formatCode>
                <c:ptCount val="31"/>
                <c:pt idx="0">
                  <c:v>1.55</c:v>
                </c:pt>
                <c:pt idx="1">
                  <c:v>2.28</c:v>
                </c:pt>
                <c:pt idx="2">
                  <c:v>5.24</c:v>
                </c:pt>
                <c:pt idx="3">
                  <c:v>8.52</c:v>
                </c:pt>
                <c:pt idx="4">
                  <c:v>13.89</c:v>
                </c:pt>
                <c:pt idx="5">
                  <c:v>19.67000000000001</c:v>
                </c:pt>
                <c:pt idx="6">
                  <c:v>25.5</c:v>
                </c:pt>
                <c:pt idx="7">
                  <c:v>31.4</c:v>
                </c:pt>
                <c:pt idx="8">
                  <c:v>37.35</c:v>
                </c:pt>
                <c:pt idx="9">
                  <c:v>42.7</c:v>
                </c:pt>
                <c:pt idx="10">
                  <c:v>48.49</c:v>
                </c:pt>
                <c:pt idx="11">
                  <c:v>53.89</c:v>
                </c:pt>
                <c:pt idx="12">
                  <c:v>59.42</c:v>
                </c:pt>
                <c:pt idx="13">
                  <c:v>66.6</c:v>
                </c:pt>
                <c:pt idx="14">
                  <c:v>71.33</c:v>
                </c:pt>
                <c:pt idx="15">
                  <c:v>76.99</c:v>
                </c:pt>
                <c:pt idx="16">
                  <c:v>82.25</c:v>
                </c:pt>
                <c:pt idx="17">
                  <c:v>88.72</c:v>
                </c:pt>
                <c:pt idx="18">
                  <c:v>93.71</c:v>
                </c:pt>
                <c:pt idx="19">
                  <c:v>98.93</c:v>
                </c:pt>
                <c:pt idx="20">
                  <c:v>105.41</c:v>
                </c:pt>
                <c:pt idx="21">
                  <c:v>111.5</c:v>
                </c:pt>
                <c:pt idx="22">
                  <c:v>116.64</c:v>
                </c:pt>
                <c:pt idx="23">
                  <c:v>121.68</c:v>
                </c:pt>
                <c:pt idx="24">
                  <c:v>127.94</c:v>
                </c:pt>
                <c:pt idx="25">
                  <c:v>133.33</c:v>
                </c:pt>
              </c:numCache>
            </c:numRef>
          </c:xVal>
          <c:yVal>
            <c:numRef>
              <c:f>'BMI-Absorption-10psi'!$N$4:$N$34</c:f>
              <c:numCache>
                <c:formatCode>General</c:formatCode>
                <c:ptCount val="31"/>
                <c:pt idx="0">
                  <c:v>1.2596</c:v>
                </c:pt>
                <c:pt idx="1">
                  <c:v>1.624</c:v>
                </c:pt>
                <c:pt idx="2">
                  <c:v>2.788</c:v>
                </c:pt>
                <c:pt idx="3">
                  <c:v>3.853899999999998</c:v>
                </c:pt>
                <c:pt idx="4">
                  <c:v>5.0004</c:v>
                </c:pt>
                <c:pt idx="5">
                  <c:v>5.699499999999999</c:v>
                </c:pt>
                <c:pt idx="6">
                  <c:v>5.9037</c:v>
                </c:pt>
                <c:pt idx="7">
                  <c:v>6.102099999999997</c:v>
                </c:pt>
                <c:pt idx="8">
                  <c:v>6.477</c:v>
                </c:pt>
                <c:pt idx="9">
                  <c:v>6.657099999999985</c:v>
                </c:pt>
                <c:pt idx="10">
                  <c:v>6.8997</c:v>
                </c:pt>
                <c:pt idx="11">
                  <c:v>7.116999999999996</c:v>
                </c:pt>
                <c:pt idx="12">
                  <c:v>7.311999999999998</c:v>
                </c:pt>
                <c:pt idx="13">
                  <c:v>7.5538</c:v>
                </c:pt>
                <c:pt idx="14">
                  <c:v>7.697199999999978</c:v>
                </c:pt>
                <c:pt idx="15">
                  <c:v>7.757499999999998</c:v>
                </c:pt>
                <c:pt idx="16">
                  <c:v>7.855899999999996</c:v>
                </c:pt>
                <c:pt idx="17">
                  <c:v>7.9398</c:v>
                </c:pt>
                <c:pt idx="18">
                  <c:v>7.9709</c:v>
                </c:pt>
                <c:pt idx="19">
                  <c:v>8.0296</c:v>
                </c:pt>
                <c:pt idx="20">
                  <c:v>8.056000000000002</c:v>
                </c:pt>
                <c:pt idx="21">
                  <c:v>8.276700000000003</c:v>
                </c:pt>
                <c:pt idx="22">
                  <c:v>8.3584</c:v>
                </c:pt>
                <c:pt idx="23">
                  <c:v>8.4312</c:v>
                </c:pt>
                <c:pt idx="24">
                  <c:v>8.5014</c:v>
                </c:pt>
                <c:pt idx="25">
                  <c:v>8.5064</c:v>
                </c:pt>
              </c:numCache>
            </c:numRef>
          </c:yVal>
          <c:smooth val="0"/>
        </c:ser>
        <c:ser>
          <c:idx val="3"/>
          <c:order val="3"/>
          <c:tx>
            <c:v>99% RH</c:v>
          </c:tx>
          <c:spPr>
            <a:ln w="28575">
              <a:noFill/>
            </a:ln>
          </c:spPr>
          <c:marker>
            <c:symbol val="square"/>
            <c:size val="4"/>
            <c:spPr>
              <a:solidFill>
                <a:srgbClr val="7030A0">
                  <a:alpha val="50000"/>
                </a:srgbClr>
              </a:solidFill>
              <a:ln w="12700">
                <a:solidFill>
                  <a:sysClr val="windowText" lastClr="000000"/>
                </a:solidFill>
              </a:ln>
            </c:spPr>
          </c:marker>
          <c:xVal>
            <c:numRef>
              <c:f>'BMI-Absorption-10psi'!$S$4:$S$34</c:f>
              <c:numCache>
                <c:formatCode>General</c:formatCode>
                <c:ptCount val="31"/>
                <c:pt idx="0">
                  <c:v>1.59</c:v>
                </c:pt>
                <c:pt idx="1">
                  <c:v>2.31</c:v>
                </c:pt>
                <c:pt idx="2">
                  <c:v>5.26</c:v>
                </c:pt>
                <c:pt idx="3">
                  <c:v>8.530000000000001</c:v>
                </c:pt>
                <c:pt idx="4">
                  <c:v>13.89</c:v>
                </c:pt>
                <c:pt idx="5">
                  <c:v>19.67000000000001</c:v>
                </c:pt>
                <c:pt idx="6">
                  <c:v>25.5</c:v>
                </c:pt>
                <c:pt idx="7">
                  <c:v>31.4</c:v>
                </c:pt>
                <c:pt idx="8">
                  <c:v>37.35</c:v>
                </c:pt>
                <c:pt idx="9">
                  <c:v>42.7</c:v>
                </c:pt>
                <c:pt idx="10">
                  <c:v>48.49</c:v>
                </c:pt>
                <c:pt idx="11">
                  <c:v>53.89</c:v>
                </c:pt>
                <c:pt idx="12">
                  <c:v>59.42</c:v>
                </c:pt>
                <c:pt idx="13">
                  <c:v>66.61</c:v>
                </c:pt>
                <c:pt idx="14">
                  <c:v>71.33</c:v>
                </c:pt>
                <c:pt idx="15">
                  <c:v>76.99</c:v>
                </c:pt>
                <c:pt idx="16">
                  <c:v>82.25</c:v>
                </c:pt>
                <c:pt idx="17">
                  <c:v>88.72</c:v>
                </c:pt>
                <c:pt idx="18">
                  <c:v>93.71</c:v>
                </c:pt>
                <c:pt idx="19">
                  <c:v>98.93</c:v>
                </c:pt>
                <c:pt idx="20">
                  <c:v>105.41</c:v>
                </c:pt>
                <c:pt idx="21">
                  <c:v>111.5</c:v>
                </c:pt>
                <c:pt idx="22">
                  <c:v>116.65</c:v>
                </c:pt>
                <c:pt idx="23">
                  <c:v>121.68</c:v>
                </c:pt>
                <c:pt idx="24">
                  <c:v>127.94</c:v>
                </c:pt>
                <c:pt idx="25">
                  <c:v>133.33</c:v>
                </c:pt>
              </c:numCache>
            </c:numRef>
          </c:xVal>
          <c:yVal>
            <c:numRef>
              <c:f>'BMI-Absorption-10psi'!$T$4:$T$34</c:f>
              <c:numCache>
                <c:formatCode>General</c:formatCode>
                <c:ptCount val="31"/>
                <c:pt idx="0">
                  <c:v>1.4778</c:v>
                </c:pt>
                <c:pt idx="1">
                  <c:v>1.8447</c:v>
                </c:pt>
                <c:pt idx="2">
                  <c:v>3.0275</c:v>
                </c:pt>
                <c:pt idx="3">
                  <c:v>4.0291</c:v>
                </c:pt>
                <c:pt idx="4">
                  <c:v>5.2139</c:v>
                </c:pt>
                <c:pt idx="5">
                  <c:v>5.799</c:v>
                </c:pt>
                <c:pt idx="6">
                  <c:v>5.9046</c:v>
                </c:pt>
                <c:pt idx="7">
                  <c:v>6.0919</c:v>
                </c:pt>
                <c:pt idx="8">
                  <c:v>6.334</c:v>
                </c:pt>
                <c:pt idx="9">
                  <c:v>6.622199999999979</c:v>
                </c:pt>
                <c:pt idx="10">
                  <c:v>6.842499999999998</c:v>
                </c:pt>
                <c:pt idx="11">
                  <c:v>7.0444</c:v>
                </c:pt>
                <c:pt idx="12">
                  <c:v>7.2572</c:v>
                </c:pt>
                <c:pt idx="13">
                  <c:v>7.462899999999999</c:v>
                </c:pt>
                <c:pt idx="14">
                  <c:v>7.5381</c:v>
                </c:pt>
                <c:pt idx="15">
                  <c:v>7.593999999999999</c:v>
                </c:pt>
                <c:pt idx="16">
                  <c:v>7.7022</c:v>
                </c:pt>
                <c:pt idx="17">
                  <c:v>7.762399999999999</c:v>
                </c:pt>
                <c:pt idx="18">
                  <c:v>7.7974</c:v>
                </c:pt>
                <c:pt idx="19">
                  <c:v>7.8192</c:v>
                </c:pt>
                <c:pt idx="20">
                  <c:v>7.8018</c:v>
                </c:pt>
                <c:pt idx="21">
                  <c:v>7.892399999999998</c:v>
                </c:pt>
                <c:pt idx="22">
                  <c:v>7.9272</c:v>
                </c:pt>
                <c:pt idx="23">
                  <c:v>7.9899</c:v>
                </c:pt>
                <c:pt idx="24">
                  <c:v>8.054300000000001</c:v>
                </c:pt>
                <c:pt idx="25">
                  <c:v>8.050500000000006</c:v>
                </c:pt>
              </c:numCache>
            </c:numRef>
          </c:yVal>
          <c:smooth val="0"/>
        </c:ser>
        <c:ser>
          <c:idx val="8"/>
          <c:order val="4"/>
          <c:tx>
            <c:v>10psi-2%HF</c:v>
          </c:tx>
          <c:spPr>
            <a:ln w="12700">
              <a:solidFill>
                <a:srgbClr val="0070C0"/>
              </a:solidFill>
              <a:prstDash val="sysDash"/>
            </a:ln>
          </c:spPr>
          <c:marker>
            <c:symbol val="none"/>
          </c:marker>
          <c:xVal>
            <c:numRef>
              <c:f>'BMI-Absorption-10psi'!$Z$4:$Z$84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pt idx="51">
                  <c:v>255.0</c:v>
                </c:pt>
                <c:pt idx="52">
                  <c:v>260.0</c:v>
                </c:pt>
                <c:pt idx="53">
                  <c:v>265.0</c:v>
                </c:pt>
                <c:pt idx="54">
                  <c:v>270.0</c:v>
                </c:pt>
                <c:pt idx="55">
                  <c:v>275.0</c:v>
                </c:pt>
                <c:pt idx="56">
                  <c:v>280.0</c:v>
                </c:pt>
                <c:pt idx="57">
                  <c:v>285.0</c:v>
                </c:pt>
                <c:pt idx="58">
                  <c:v>290.0</c:v>
                </c:pt>
                <c:pt idx="59">
                  <c:v>295.0</c:v>
                </c:pt>
                <c:pt idx="60">
                  <c:v>300.0</c:v>
                </c:pt>
                <c:pt idx="61">
                  <c:v>305.0</c:v>
                </c:pt>
                <c:pt idx="62">
                  <c:v>310.0</c:v>
                </c:pt>
                <c:pt idx="63">
                  <c:v>315.0</c:v>
                </c:pt>
                <c:pt idx="64">
                  <c:v>320.0</c:v>
                </c:pt>
                <c:pt idx="65">
                  <c:v>325.0</c:v>
                </c:pt>
                <c:pt idx="66">
                  <c:v>330.0</c:v>
                </c:pt>
                <c:pt idx="67">
                  <c:v>335.0</c:v>
                </c:pt>
                <c:pt idx="68">
                  <c:v>340.0</c:v>
                </c:pt>
                <c:pt idx="69">
                  <c:v>345.0</c:v>
                </c:pt>
                <c:pt idx="70">
                  <c:v>350.0</c:v>
                </c:pt>
                <c:pt idx="71">
                  <c:v>355.0</c:v>
                </c:pt>
                <c:pt idx="72">
                  <c:v>360.0</c:v>
                </c:pt>
                <c:pt idx="73">
                  <c:v>365.0</c:v>
                </c:pt>
                <c:pt idx="74">
                  <c:v>370.0</c:v>
                </c:pt>
                <c:pt idx="75">
                  <c:v>375.0</c:v>
                </c:pt>
                <c:pt idx="76">
                  <c:v>380.0</c:v>
                </c:pt>
                <c:pt idx="77">
                  <c:v>385.0</c:v>
                </c:pt>
                <c:pt idx="78">
                  <c:v>390.0</c:v>
                </c:pt>
                <c:pt idx="79">
                  <c:v>395.0</c:v>
                </c:pt>
                <c:pt idx="80">
                  <c:v>400.0</c:v>
                </c:pt>
              </c:numCache>
            </c:numRef>
          </c:xVal>
          <c:yVal>
            <c:numRef>
              <c:f>'BMI-Absorption-10psi'!$AA$4:$AA$84</c:f>
              <c:numCache>
                <c:formatCode>General</c:formatCode>
                <c:ptCount val="81"/>
                <c:pt idx="0">
                  <c:v>0.09323478</c:v>
                </c:pt>
                <c:pt idx="1">
                  <c:v>0.69523519</c:v>
                </c:pt>
                <c:pt idx="2">
                  <c:v>1.19533957</c:v>
                </c:pt>
                <c:pt idx="3">
                  <c:v>1.51093306</c:v>
                </c:pt>
                <c:pt idx="4">
                  <c:v>1.65022553</c:v>
                </c:pt>
                <c:pt idx="5">
                  <c:v>1.70559239</c:v>
                </c:pt>
                <c:pt idx="6">
                  <c:v>1.7400762</c:v>
                </c:pt>
                <c:pt idx="7">
                  <c:v>1.7744207</c:v>
                </c:pt>
                <c:pt idx="8">
                  <c:v>1.81245485</c:v>
                </c:pt>
                <c:pt idx="9">
                  <c:v>1.8543305</c:v>
                </c:pt>
                <c:pt idx="10">
                  <c:v>1.89969095</c:v>
                </c:pt>
                <c:pt idx="11">
                  <c:v>1.94811604</c:v>
                </c:pt>
                <c:pt idx="12">
                  <c:v>1.99916654</c:v>
                </c:pt>
                <c:pt idx="13">
                  <c:v>2.05239281</c:v>
                </c:pt>
                <c:pt idx="14">
                  <c:v>2.10734138</c:v>
                </c:pt>
                <c:pt idx="15">
                  <c:v>2.1635613</c:v>
                </c:pt>
                <c:pt idx="16">
                  <c:v>2.22061006</c:v>
                </c:pt>
                <c:pt idx="17">
                  <c:v>2.27805921</c:v>
                </c:pt>
                <c:pt idx="18">
                  <c:v>2.335499379999999</c:v>
                </c:pt>
                <c:pt idx="19">
                  <c:v>2.392544729999999</c:v>
                </c:pt>
                <c:pt idx="20">
                  <c:v>2.44883676</c:v>
                </c:pt>
                <c:pt idx="21">
                  <c:v>2.50404738</c:v>
                </c:pt>
                <c:pt idx="22">
                  <c:v>2.55788139</c:v>
                </c:pt>
                <c:pt idx="23">
                  <c:v>2.610078089999999</c:v>
                </c:pt>
                <c:pt idx="24">
                  <c:v>2.66041233</c:v>
                </c:pt>
                <c:pt idx="25">
                  <c:v>2.70869483</c:v>
                </c:pt>
                <c:pt idx="26">
                  <c:v>2.75477188</c:v>
                </c:pt>
                <c:pt idx="27">
                  <c:v>2.79852452</c:v>
                </c:pt>
                <c:pt idx="28">
                  <c:v>2.839867099999997</c:v>
                </c:pt>
                <c:pt idx="29">
                  <c:v>2.878745589999998</c:v>
                </c:pt>
                <c:pt idx="30">
                  <c:v>2.91513533</c:v>
                </c:pt>
                <c:pt idx="31">
                  <c:v>2.949038639999999</c:v>
                </c:pt>
                <c:pt idx="32">
                  <c:v>2.98048215</c:v>
                </c:pt>
                <c:pt idx="33">
                  <c:v>3.00951402</c:v>
                </c:pt>
                <c:pt idx="34">
                  <c:v>3.03620107</c:v>
                </c:pt>
                <c:pt idx="35">
                  <c:v>3.06062592</c:v>
                </c:pt>
                <c:pt idx="36">
                  <c:v>3.08288417</c:v>
                </c:pt>
                <c:pt idx="37">
                  <c:v>3.1030817</c:v>
                </c:pt>
                <c:pt idx="38">
                  <c:v>3.12133211</c:v>
                </c:pt>
                <c:pt idx="39">
                  <c:v>3.13775429</c:v>
                </c:pt>
                <c:pt idx="40">
                  <c:v>3.15247026</c:v>
                </c:pt>
                <c:pt idx="41">
                  <c:v>3.16560319</c:v>
                </c:pt>
                <c:pt idx="42">
                  <c:v>3.17727565</c:v>
                </c:pt>
                <c:pt idx="43">
                  <c:v>3.18760811</c:v>
                </c:pt>
                <c:pt idx="44">
                  <c:v>3.19671767</c:v>
                </c:pt>
                <c:pt idx="45">
                  <c:v>3.20471703</c:v>
                </c:pt>
                <c:pt idx="46">
                  <c:v>3.21171362</c:v>
                </c:pt>
                <c:pt idx="47">
                  <c:v>3.21780899</c:v>
                </c:pt>
                <c:pt idx="48">
                  <c:v>3.2230984</c:v>
                </c:pt>
                <c:pt idx="49">
                  <c:v>3.22767047</c:v>
                </c:pt>
                <c:pt idx="50">
                  <c:v>3.231607139999999</c:v>
                </c:pt>
                <c:pt idx="51">
                  <c:v>3.23498359</c:v>
                </c:pt>
                <c:pt idx="52">
                  <c:v>3.23786838</c:v>
                </c:pt>
                <c:pt idx="53">
                  <c:v>3.24032363</c:v>
                </c:pt>
                <c:pt idx="54">
                  <c:v>3.24240532</c:v>
                </c:pt>
                <c:pt idx="55">
                  <c:v>3.24416354</c:v>
                </c:pt>
                <c:pt idx="56">
                  <c:v>3.245642929999998</c:v>
                </c:pt>
                <c:pt idx="57">
                  <c:v>3.24688298</c:v>
                </c:pt>
                <c:pt idx="58">
                  <c:v>3.2479185</c:v>
                </c:pt>
                <c:pt idx="59">
                  <c:v>3.24877996</c:v>
                </c:pt>
                <c:pt idx="60">
                  <c:v>3.24949392</c:v>
                </c:pt>
                <c:pt idx="61">
                  <c:v>3.25008344</c:v>
                </c:pt>
                <c:pt idx="62">
                  <c:v>3.25056837</c:v>
                </c:pt>
                <c:pt idx="63">
                  <c:v>3.25096579</c:v>
                </c:pt>
                <c:pt idx="64">
                  <c:v>3.25129027</c:v>
                </c:pt>
                <c:pt idx="65">
                  <c:v>3.25155423</c:v>
                </c:pt>
                <c:pt idx="66">
                  <c:v>3.25176815</c:v>
                </c:pt>
                <c:pt idx="67">
                  <c:v>3.25194088</c:v>
                </c:pt>
                <c:pt idx="68">
                  <c:v>3.252079839999999</c:v>
                </c:pt>
                <c:pt idx="69">
                  <c:v>3.25219122</c:v>
                </c:pt>
                <c:pt idx="70">
                  <c:v>3.25228016</c:v>
                </c:pt>
                <c:pt idx="71">
                  <c:v>3.25235092</c:v>
                </c:pt>
                <c:pt idx="72">
                  <c:v>3.25240702</c:v>
                </c:pt>
                <c:pt idx="73">
                  <c:v>3.25245132</c:v>
                </c:pt>
                <c:pt idx="74">
                  <c:v>3.252486189999999</c:v>
                </c:pt>
                <c:pt idx="75">
                  <c:v>3.25251352</c:v>
                </c:pt>
                <c:pt idx="76">
                  <c:v>3.25253488</c:v>
                </c:pt>
                <c:pt idx="77">
                  <c:v>3.2525515</c:v>
                </c:pt>
                <c:pt idx="78">
                  <c:v>3.25256439</c:v>
                </c:pt>
                <c:pt idx="79">
                  <c:v>3.25257436</c:v>
                </c:pt>
                <c:pt idx="80">
                  <c:v>3.25258202</c:v>
                </c:pt>
              </c:numCache>
            </c:numRef>
          </c:yVal>
          <c:smooth val="0"/>
        </c:ser>
        <c:ser>
          <c:idx val="10"/>
          <c:order val="5"/>
          <c:tx>
            <c:v>10psi-40%hf</c:v>
          </c:tx>
          <c:spPr>
            <a:ln w="12700">
              <a:solidFill>
                <a:srgbClr val="C00000"/>
              </a:solidFill>
              <a:prstDash val="sysDash"/>
            </a:ln>
          </c:spPr>
          <c:marker>
            <c:symbol val="none"/>
          </c:marker>
          <c:xVal>
            <c:numRef>
              <c:f>'BMI-Absorption-10psi'!$AD$4:$AD$84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'BMI-Absorption-10psi'!$AE$4:$AE$84</c:f>
              <c:numCache>
                <c:formatCode>General</c:formatCode>
                <c:ptCount val="81"/>
                <c:pt idx="0">
                  <c:v>0.17988992</c:v>
                </c:pt>
                <c:pt idx="1">
                  <c:v>1.80335381</c:v>
                </c:pt>
                <c:pt idx="2">
                  <c:v>3.12635473</c:v>
                </c:pt>
                <c:pt idx="3">
                  <c:v>3.892447349999998</c:v>
                </c:pt>
                <c:pt idx="4">
                  <c:v>4.192373619999989</c:v>
                </c:pt>
                <c:pt idx="5">
                  <c:v>4.314592679999979</c:v>
                </c:pt>
                <c:pt idx="6">
                  <c:v>4.40667797</c:v>
                </c:pt>
                <c:pt idx="7">
                  <c:v>4.50380988</c:v>
                </c:pt>
                <c:pt idx="8">
                  <c:v>4.609146559999976</c:v>
                </c:pt>
                <c:pt idx="9">
                  <c:v>4.720954259999959</c:v>
                </c:pt>
                <c:pt idx="10">
                  <c:v>4.837061829999989</c:v>
                </c:pt>
                <c:pt idx="11">
                  <c:v>4.95532984</c:v>
                </c:pt>
                <c:pt idx="12">
                  <c:v>5.07373516</c:v>
                </c:pt>
                <c:pt idx="13">
                  <c:v>5.190424949999968</c:v>
                </c:pt>
                <c:pt idx="14">
                  <c:v>5.30375899</c:v>
                </c:pt>
                <c:pt idx="15">
                  <c:v>5.412339649999993</c:v>
                </c:pt>
                <c:pt idx="16">
                  <c:v>5.5150297</c:v>
                </c:pt>
                <c:pt idx="17">
                  <c:v>5.610958039999973</c:v>
                </c:pt>
                <c:pt idx="18">
                  <c:v>5.699514799999976</c:v>
                </c:pt>
                <c:pt idx="19">
                  <c:v>5.780336939999989</c:v>
                </c:pt>
                <c:pt idx="20">
                  <c:v>5.853286449999989</c:v>
                </c:pt>
                <c:pt idx="21">
                  <c:v>5.91842308</c:v>
                </c:pt>
                <c:pt idx="22">
                  <c:v>5.9759734</c:v>
                </c:pt>
                <c:pt idx="23">
                  <c:v>6.02629843</c:v>
                </c:pt>
                <c:pt idx="24">
                  <c:v>6.069861259999989</c:v>
                </c:pt>
                <c:pt idx="25">
                  <c:v>6.107196199999994</c:v>
                </c:pt>
                <c:pt idx="26">
                  <c:v>6.138880579999965</c:v>
                </c:pt>
                <c:pt idx="27">
                  <c:v>6.165509949999968</c:v>
                </c:pt>
                <c:pt idx="28">
                  <c:v>6.187677219999979</c:v>
                </c:pt>
                <c:pt idx="29">
                  <c:v>6.205955849999968</c:v>
                </c:pt>
                <c:pt idx="30">
                  <c:v>6.220887039999976</c:v>
                </c:pt>
                <c:pt idx="31">
                  <c:v>6.232970759999989</c:v>
                </c:pt>
                <c:pt idx="32">
                  <c:v>6.2426601</c:v>
                </c:pt>
                <c:pt idx="33">
                  <c:v>6.25035858</c:v>
                </c:pt>
                <c:pt idx="34">
                  <c:v>6.256419779999995</c:v>
                </c:pt>
                <c:pt idx="35">
                  <c:v>6.2611489</c:v>
                </c:pt>
                <c:pt idx="36">
                  <c:v>6.264805609999973</c:v>
                </c:pt>
                <c:pt idx="37">
                  <c:v>6.267607899999993</c:v>
                </c:pt>
                <c:pt idx="38">
                  <c:v>6.269736349999989</c:v>
                </c:pt>
                <c:pt idx="39">
                  <c:v>6.2713387</c:v>
                </c:pt>
                <c:pt idx="40">
                  <c:v>6.272534389999989</c:v>
                </c:pt>
                <c:pt idx="41">
                  <c:v>6.2734188</c:v>
                </c:pt>
                <c:pt idx="42">
                  <c:v>6.274067249999995</c:v>
                </c:pt>
                <c:pt idx="43">
                  <c:v>6.274538549999973</c:v>
                </c:pt>
                <c:pt idx="44">
                  <c:v>6.27487814</c:v>
                </c:pt>
                <c:pt idx="45">
                  <c:v>6.27512069</c:v>
                </c:pt>
                <c:pt idx="46">
                  <c:v>6.27529245</c:v>
                </c:pt>
                <c:pt idx="47">
                  <c:v>6.27541303</c:v>
                </c:pt>
                <c:pt idx="48">
                  <c:v>6.27549695</c:v>
                </c:pt>
                <c:pt idx="49">
                  <c:v>6.275554859999971</c:v>
                </c:pt>
                <c:pt idx="50">
                  <c:v>6.275594479999989</c:v>
                </c:pt>
              </c:numCache>
            </c:numRef>
          </c:yVal>
          <c:smooth val="0"/>
        </c:ser>
        <c:ser>
          <c:idx val="12"/>
          <c:order val="6"/>
          <c:tx>
            <c:v>10psi70%hf</c:v>
          </c:tx>
          <c:spPr>
            <a:ln w="12700">
              <a:solidFill>
                <a:srgbClr val="00B050"/>
              </a:solidFill>
              <a:prstDash val="sysDash"/>
            </a:ln>
          </c:spPr>
          <c:marker>
            <c:symbol val="none"/>
          </c:marker>
          <c:xVal>
            <c:numRef>
              <c:f>'BMI-Absorption-10psi'!$AH$4:$AH$84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'BMI-Absorption-10psi'!$AI$4:$AI$84</c:f>
              <c:numCache>
                <c:formatCode>General</c:formatCode>
                <c:ptCount val="81"/>
                <c:pt idx="0">
                  <c:v>0.23764248</c:v>
                </c:pt>
                <c:pt idx="1">
                  <c:v>2.55878665</c:v>
                </c:pt>
                <c:pt idx="2">
                  <c:v>4.37837774</c:v>
                </c:pt>
                <c:pt idx="3">
                  <c:v>5.304621829999979</c:v>
                </c:pt>
                <c:pt idx="4">
                  <c:v>5.651989239999969</c:v>
                </c:pt>
                <c:pt idx="5">
                  <c:v>5.855129619999989</c:v>
                </c:pt>
                <c:pt idx="6">
                  <c:v>6.056011359999979</c:v>
                </c:pt>
                <c:pt idx="7">
                  <c:v>6.27020772</c:v>
                </c:pt>
                <c:pt idx="8">
                  <c:v>6.49188913</c:v>
                </c:pt>
                <c:pt idx="9">
                  <c:v>6.71386573</c:v>
                </c:pt>
                <c:pt idx="10">
                  <c:v>6.92969709</c:v>
                </c:pt>
                <c:pt idx="11">
                  <c:v>7.134040859999973</c:v>
                </c:pt>
                <c:pt idx="12">
                  <c:v>7.322809419999989</c:v>
                </c:pt>
                <c:pt idx="13">
                  <c:v>7.49321359</c:v>
                </c:pt>
                <c:pt idx="14">
                  <c:v>7.643708259999979</c:v>
                </c:pt>
                <c:pt idx="15">
                  <c:v>7.77386043</c:v>
                </c:pt>
                <c:pt idx="16">
                  <c:v>7.884164189999995</c:v>
                </c:pt>
                <c:pt idx="17">
                  <c:v>7.97582779</c:v>
                </c:pt>
                <c:pt idx="18">
                  <c:v>8.05055605000001</c:v>
                </c:pt>
                <c:pt idx="19">
                  <c:v>8.11034652</c:v>
                </c:pt>
                <c:pt idx="20">
                  <c:v>8.157313</c:v>
                </c:pt>
                <c:pt idx="21">
                  <c:v>8.193544020000002</c:v>
                </c:pt>
                <c:pt idx="22">
                  <c:v>8.22099883</c:v>
                </c:pt>
                <c:pt idx="23">
                  <c:v>8.241439560000003</c:v>
                </c:pt>
                <c:pt idx="24">
                  <c:v>8.25639489</c:v>
                </c:pt>
                <c:pt idx="25">
                  <c:v>8.267149380000001</c:v>
                </c:pt>
                <c:pt idx="26">
                  <c:v>8.2747516</c:v>
                </c:pt>
                <c:pt idx="27">
                  <c:v>8.28003489</c:v>
                </c:pt>
                <c:pt idx="28">
                  <c:v>8.28364509</c:v>
                </c:pt>
                <c:pt idx="29">
                  <c:v>8.28607094</c:v>
                </c:pt>
                <c:pt idx="30">
                  <c:v>8.287673979999997</c:v>
                </c:pt>
                <c:pt idx="31">
                  <c:v>8.28871584</c:v>
                </c:pt>
                <c:pt idx="32">
                  <c:v>8.28938187</c:v>
                </c:pt>
                <c:pt idx="33">
                  <c:v>8.28980068</c:v>
                </c:pt>
                <c:pt idx="34">
                  <c:v>8.29005974</c:v>
                </c:pt>
                <c:pt idx="35">
                  <c:v>8.290217399999997</c:v>
                </c:pt>
                <c:pt idx="36">
                  <c:v>8.290311789999956</c:v>
                </c:pt>
                <c:pt idx="37">
                  <c:v>8.290367389999998</c:v>
                </c:pt>
                <c:pt idx="38">
                  <c:v>8.29039961</c:v>
                </c:pt>
                <c:pt idx="39">
                  <c:v>8.290417990000001</c:v>
                </c:pt>
                <c:pt idx="40">
                  <c:v>8.2904283</c:v>
                </c:pt>
                <c:pt idx="41">
                  <c:v>8.29043399</c:v>
                </c:pt>
                <c:pt idx="42">
                  <c:v>8.29043709</c:v>
                </c:pt>
                <c:pt idx="43">
                  <c:v>8.290438739999998</c:v>
                </c:pt>
                <c:pt idx="44">
                  <c:v>8.29043961</c:v>
                </c:pt>
                <c:pt idx="45">
                  <c:v>8.29044007</c:v>
                </c:pt>
                <c:pt idx="46">
                  <c:v>8.2904403</c:v>
                </c:pt>
                <c:pt idx="47">
                  <c:v>8.29044041</c:v>
                </c:pt>
                <c:pt idx="48">
                  <c:v>8.29044047</c:v>
                </c:pt>
                <c:pt idx="49">
                  <c:v>8.2904405</c:v>
                </c:pt>
                <c:pt idx="50">
                  <c:v>8.29044051</c:v>
                </c:pt>
              </c:numCache>
            </c:numRef>
          </c:yVal>
          <c:smooth val="0"/>
        </c:ser>
        <c:ser>
          <c:idx val="14"/>
          <c:order val="7"/>
          <c:tx>
            <c:v>10psi99%hf</c:v>
          </c:tx>
          <c:spPr>
            <a:ln w="12700">
              <a:solidFill>
                <a:srgbClr val="7030A0"/>
              </a:solidFill>
              <a:prstDash val="sysDash"/>
            </a:ln>
          </c:spPr>
          <c:marker>
            <c:symbol val="none"/>
          </c:marker>
          <c:xVal>
            <c:numRef>
              <c:f>'BMI-Absorption-10psi'!$AL$4:$AL$84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'BMI-Absorption-10psi'!$AM$4:$AM$84</c:f>
              <c:numCache>
                <c:formatCode>General</c:formatCode>
                <c:ptCount val="81"/>
                <c:pt idx="0">
                  <c:v>0.22582974</c:v>
                </c:pt>
                <c:pt idx="1">
                  <c:v>2.79841599</c:v>
                </c:pt>
                <c:pt idx="2">
                  <c:v>4.661916669999959</c:v>
                </c:pt>
                <c:pt idx="3">
                  <c:v>5.400130669999979</c:v>
                </c:pt>
                <c:pt idx="4">
                  <c:v>5.65169366</c:v>
                </c:pt>
                <c:pt idx="5">
                  <c:v>5.845347969999989</c:v>
                </c:pt>
                <c:pt idx="6">
                  <c:v>6.052870859999968</c:v>
                </c:pt>
                <c:pt idx="7">
                  <c:v>6.27078316</c:v>
                </c:pt>
                <c:pt idx="8">
                  <c:v>6.49009604</c:v>
                </c:pt>
                <c:pt idx="9">
                  <c:v>6.702706</c:v>
                </c:pt>
                <c:pt idx="10">
                  <c:v>6.902035059999979</c:v>
                </c:pt>
                <c:pt idx="11">
                  <c:v>7.08326892</c:v>
                </c:pt>
                <c:pt idx="12">
                  <c:v>7.24339853</c:v>
                </c:pt>
                <c:pt idx="13">
                  <c:v>7.3810968</c:v>
                </c:pt>
                <c:pt idx="14">
                  <c:v>7.49647345</c:v>
                </c:pt>
                <c:pt idx="15">
                  <c:v>7.59075769</c:v>
                </c:pt>
                <c:pt idx="16">
                  <c:v>7.665956499999975</c:v>
                </c:pt>
                <c:pt idx="17">
                  <c:v>7.724528909999976</c:v>
                </c:pt>
                <c:pt idx="18">
                  <c:v>7.769104659999973</c:v>
                </c:pt>
                <c:pt idx="19">
                  <c:v>7.802264</c:v>
                </c:pt>
                <c:pt idx="20">
                  <c:v>7.826383279999984</c:v>
                </c:pt>
                <c:pt idx="21">
                  <c:v>7.843542649999993</c:v>
                </c:pt>
                <c:pt idx="22">
                  <c:v>7.855486019999973</c:v>
                </c:pt>
                <c:pt idx="23">
                  <c:v>7.86362058</c:v>
                </c:pt>
                <c:pt idx="24">
                  <c:v>7.86904316</c:v>
                </c:pt>
                <c:pt idx="25">
                  <c:v>7.872581609999976</c:v>
                </c:pt>
                <c:pt idx="26">
                  <c:v>7.8748422</c:v>
                </c:pt>
                <c:pt idx="27">
                  <c:v>7.87625632</c:v>
                </c:pt>
                <c:pt idx="28">
                  <c:v>7.877122589999995</c:v>
                </c:pt>
                <c:pt idx="29">
                  <c:v>7.87764231</c:v>
                </c:pt>
                <c:pt idx="30">
                  <c:v>7.877947719999993</c:v>
                </c:pt>
                <c:pt idx="31">
                  <c:v>7.878123519999995</c:v>
                </c:pt>
                <c:pt idx="32">
                  <c:v>7.87822265</c:v>
                </c:pt>
                <c:pt idx="33">
                  <c:v>7.87827741</c:v>
                </c:pt>
                <c:pt idx="34">
                  <c:v>7.87830705</c:v>
                </c:pt>
                <c:pt idx="35">
                  <c:v>7.87832277</c:v>
                </c:pt>
                <c:pt idx="36">
                  <c:v>7.878330939999989</c:v>
                </c:pt>
                <c:pt idx="37">
                  <c:v>7.8783351</c:v>
                </c:pt>
                <c:pt idx="38">
                  <c:v>7.87833717</c:v>
                </c:pt>
                <c:pt idx="39">
                  <c:v>7.87833819</c:v>
                </c:pt>
                <c:pt idx="40">
                  <c:v>7.878338669999989</c:v>
                </c:pt>
                <c:pt idx="41">
                  <c:v>7.8783389</c:v>
                </c:pt>
                <c:pt idx="42">
                  <c:v>7.87833901</c:v>
                </c:pt>
                <c:pt idx="43">
                  <c:v>7.87833905</c:v>
                </c:pt>
                <c:pt idx="44">
                  <c:v>7.87833907</c:v>
                </c:pt>
                <c:pt idx="45">
                  <c:v>7.878339079999995</c:v>
                </c:pt>
                <c:pt idx="46">
                  <c:v>7.87833909</c:v>
                </c:pt>
                <c:pt idx="47">
                  <c:v>7.87833909</c:v>
                </c:pt>
                <c:pt idx="48">
                  <c:v>7.87833909</c:v>
                </c:pt>
                <c:pt idx="49">
                  <c:v>7.87833909</c:v>
                </c:pt>
                <c:pt idx="50">
                  <c:v>7.87833909</c:v>
                </c:pt>
              </c:numCache>
            </c:numRef>
          </c:yVal>
          <c:smooth val="0"/>
        </c:ser>
        <c:dLbls>
          <c:showLegendKey val="0"/>
          <c:showVal val="0"/>
          <c:showCatName val="0"/>
          <c:showSerName val="0"/>
          <c:showPercent val="0"/>
          <c:showBubbleSize val="0"/>
        </c:dLbls>
        <c:axId val="423695208"/>
        <c:axId val="423688248"/>
      </c:scatterChart>
      <c:valAx>
        <c:axId val="423695208"/>
        <c:scaling>
          <c:orientation val="minMax"/>
          <c:max val="21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423688248"/>
        <c:crosses val="autoZero"/>
        <c:crossBetween val="midCat"/>
        <c:majorUnit val="50.0"/>
        <c:minorUnit val="12.5"/>
      </c:valAx>
      <c:valAx>
        <c:axId val="423688248"/>
        <c:scaling>
          <c:orientation val="minMax"/>
          <c:max val="10.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423695208"/>
        <c:crosses val="autoZero"/>
        <c:crossBetween val="midCat"/>
        <c:majorUnit val="2.0"/>
        <c:minorUnit val="0.5"/>
      </c:valAx>
      <c:spPr>
        <a:ln w="19050">
          <a:solidFill>
            <a:sysClr val="windowText" lastClr="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439910583210997"/>
          <c:y val="0.0374139690871974"/>
          <c:w val="0.475343654077139"/>
          <c:h val="0.101097987751531"/>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5724009075137"/>
          <c:y val="0.0333333333333333"/>
          <c:w val="0.745862805284932"/>
          <c:h val="0.793114975211432"/>
        </c:manualLayout>
      </c:layout>
      <c:scatterChart>
        <c:scatterStyle val="lineMarker"/>
        <c:varyColors val="0"/>
        <c:ser>
          <c:idx val="0"/>
          <c:order val="0"/>
          <c:tx>
            <c:v>2% RH</c:v>
          </c:tx>
          <c:spPr>
            <a:ln w="28575">
              <a:noFill/>
            </a:ln>
          </c:spPr>
          <c:marker>
            <c:symbol val="square"/>
            <c:size val="4"/>
            <c:spPr>
              <a:solidFill>
                <a:srgbClr val="0070C0">
                  <a:alpha val="50000"/>
                </a:srgbClr>
              </a:solidFill>
              <a:ln w="12700">
                <a:solidFill>
                  <a:schemeClr val="tx1"/>
                </a:solidFill>
              </a:ln>
            </c:spPr>
          </c:marker>
          <c:xVal>
            <c:numRef>
              <c:f>'BMI-Absorption-30psi'!$A$4:$A$34</c:f>
              <c:numCache>
                <c:formatCode>General</c:formatCode>
                <c:ptCount val="31"/>
                <c:pt idx="0">
                  <c:v>1.48</c:v>
                </c:pt>
                <c:pt idx="1">
                  <c:v>2.23</c:v>
                </c:pt>
                <c:pt idx="2">
                  <c:v>5.22</c:v>
                </c:pt>
                <c:pt idx="3">
                  <c:v>8.51</c:v>
                </c:pt>
                <c:pt idx="4">
                  <c:v>13.88</c:v>
                </c:pt>
                <c:pt idx="5">
                  <c:v>19.66</c:v>
                </c:pt>
                <c:pt idx="6">
                  <c:v>25.5</c:v>
                </c:pt>
                <c:pt idx="7">
                  <c:v>31.39</c:v>
                </c:pt>
                <c:pt idx="8">
                  <c:v>37.34</c:v>
                </c:pt>
                <c:pt idx="9">
                  <c:v>42.7</c:v>
                </c:pt>
                <c:pt idx="10">
                  <c:v>48.48</c:v>
                </c:pt>
                <c:pt idx="11">
                  <c:v>53.89</c:v>
                </c:pt>
                <c:pt idx="12">
                  <c:v>59.42</c:v>
                </c:pt>
                <c:pt idx="13">
                  <c:v>66.6</c:v>
                </c:pt>
                <c:pt idx="14">
                  <c:v>71.33</c:v>
                </c:pt>
                <c:pt idx="15">
                  <c:v>76.99</c:v>
                </c:pt>
                <c:pt idx="16">
                  <c:v>82.25</c:v>
                </c:pt>
                <c:pt idx="17">
                  <c:v>88.72</c:v>
                </c:pt>
                <c:pt idx="18">
                  <c:v>93.7</c:v>
                </c:pt>
                <c:pt idx="19">
                  <c:v>98.93</c:v>
                </c:pt>
                <c:pt idx="20">
                  <c:v>105.41</c:v>
                </c:pt>
                <c:pt idx="21">
                  <c:v>111.49</c:v>
                </c:pt>
                <c:pt idx="22">
                  <c:v>116.64</c:v>
                </c:pt>
                <c:pt idx="23">
                  <c:v>121.68</c:v>
                </c:pt>
                <c:pt idx="24">
                  <c:v>127.94</c:v>
                </c:pt>
                <c:pt idx="25">
                  <c:v>133.33</c:v>
                </c:pt>
                <c:pt idx="30">
                  <c:v>138.54</c:v>
                </c:pt>
              </c:numCache>
            </c:numRef>
          </c:xVal>
          <c:yVal>
            <c:numRef>
              <c:f>'BMI-Absorption-30psi'!$B$4:$B$34</c:f>
              <c:numCache>
                <c:formatCode>General</c:formatCode>
                <c:ptCount val="31"/>
                <c:pt idx="0">
                  <c:v>0.2502</c:v>
                </c:pt>
                <c:pt idx="1">
                  <c:v>0.2979</c:v>
                </c:pt>
                <c:pt idx="2">
                  <c:v>0.5062</c:v>
                </c:pt>
                <c:pt idx="3">
                  <c:v>0.6872</c:v>
                </c:pt>
                <c:pt idx="4">
                  <c:v>0.8617</c:v>
                </c:pt>
                <c:pt idx="5">
                  <c:v>0.9184</c:v>
                </c:pt>
                <c:pt idx="6">
                  <c:v>0.9764</c:v>
                </c:pt>
                <c:pt idx="7">
                  <c:v>1.0568</c:v>
                </c:pt>
                <c:pt idx="8">
                  <c:v>1.1453</c:v>
                </c:pt>
                <c:pt idx="9">
                  <c:v>1.2853</c:v>
                </c:pt>
                <c:pt idx="10">
                  <c:v>1.477</c:v>
                </c:pt>
                <c:pt idx="11">
                  <c:v>1.5119</c:v>
                </c:pt>
                <c:pt idx="12">
                  <c:v>1.5145</c:v>
                </c:pt>
                <c:pt idx="13">
                  <c:v>1.5119</c:v>
                </c:pt>
                <c:pt idx="14">
                  <c:v>1.546</c:v>
                </c:pt>
                <c:pt idx="15">
                  <c:v>1.5785</c:v>
                </c:pt>
                <c:pt idx="16">
                  <c:v>1.6187</c:v>
                </c:pt>
                <c:pt idx="17">
                  <c:v>1.6935</c:v>
                </c:pt>
                <c:pt idx="18">
                  <c:v>1.6983</c:v>
                </c:pt>
                <c:pt idx="19">
                  <c:v>1.7405</c:v>
                </c:pt>
                <c:pt idx="20">
                  <c:v>1.7564</c:v>
                </c:pt>
                <c:pt idx="21">
                  <c:v>1.7496</c:v>
                </c:pt>
                <c:pt idx="22">
                  <c:v>1.7592</c:v>
                </c:pt>
                <c:pt idx="23">
                  <c:v>1.7705</c:v>
                </c:pt>
                <c:pt idx="24">
                  <c:v>1.8049</c:v>
                </c:pt>
                <c:pt idx="25">
                  <c:v>1.8184</c:v>
                </c:pt>
              </c:numCache>
            </c:numRef>
          </c:yVal>
          <c:smooth val="0"/>
        </c:ser>
        <c:ser>
          <c:idx val="1"/>
          <c:order val="1"/>
          <c:tx>
            <c:v>40% RH</c:v>
          </c:tx>
          <c:spPr>
            <a:ln w="28575">
              <a:noFill/>
            </a:ln>
          </c:spPr>
          <c:marker>
            <c:symbol val="square"/>
            <c:size val="4"/>
            <c:spPr>
              <a:solidFill>
                <a:srgbClr val="C00000">
                  <a:alpha val="50000"/>
                </a:srgbClr>
              </a:solidFill>
              <a:ln w="12700">
                <a:solidFill>
                  <a:sysClr val="windowText" lastClr="000000"/>
                </a:solidFill>
              </a:ln>
            </c:spPr>
          </c:marker>
          <c:xVal>
            <c:numRef>
              <c:f>'BMI-Absorption-30psi'!$G$4:$G$34</c:f>
              <c:numCache>
                <c:formatCode>General</c:formatCode>
                <c:ptCount val="31"/>
                <c:pt idx="0">
                  <c:v>1.53</c:v>
                </c:pt>
                <c:pt idx="1">
                  <c:v>2.27</c:v>
                </c:pt>
                <c:pt idx="2">
                  <c:v>5.24</c:v>
                </c:pt>
                <c:pt idx="3">
                  <c:v>8.52</c:v>
                </c:pt>
                <c:pt idx="4">
                  <c:v>13.88</c:v>
                </c:pt>
                <c:pt idx="5">
                  <c:v>19.67000000000001</c:v>
                </c:pt>
                <c:pt idx="6">
                  <c:v>25.5</c:v>
                </c:pt>
                <c:pt idx="7">
                  <c:v>31.39</c:v>
                </c:pt>
                <c:pt idx="8">
                  <c:v>37.35</c:v>
                </c:pt>
                <c:pt idx="9">
                  <c:v>42.7</c:v>
                </c:pt>
                <c:pt idx="10">
                  <c:v>48.49</c:v>
                </c:pt>
                <c:pt idx="11">
                  <c:v>53.89</c:v>
                </c:pt>
                <c:pt idx="12">
                  <c:v>59.42</c:v>
                </c:pt>
                <c:pt idx="13">
                  <c:v>66.6</c:v>
                </c:pt>
                <c:pt idx="14">
                  <c:v>71.33</c:v>
                </c:pt>
                <c:pt idx="15">
                  <c:v>76.99</c:v>
                </c:pt>
                <c:pt idx="16">
                  <c:v>82.25</c:v>
                </c:pt>
                <c:pt idx="17">
                  <c:v>88.72</c:v>
                </c:pt>
                <c:pt idx="18">
                  <c:v>93.7</c:v>
                </c:pt>
                <c:pt idx="19">
                  <c:v>98.93</c:v>
                </c:pt>
                <c:pt idx="20">
                  <c:v>105.41</c:v>
                </c:pt>
                <c:pt idx="21">
                  <c:v>111.5</c:v>
                </c:pt>
                <c:pt idx="22">
                  <c:v>116.64</c:v>
                </c:pt>
                <c:pt idx="23">
                  <c:v>121.68</c:v>
                </c:pt>
                <c:pt idx="24">
                  <c:v>127.94</c:v>
                </c:pt>
                <c:pt idx="25">
                  <c:v>133.33</c:v>
                </c:pt>
              </c:numCache>
            </c:numRef>
          </c:xVal>
          <c:yVal>
            <c:numRef>
              <c:f>'BMI-Absorption-30psi'!$H$4:$H$34</c:f>
              <c:numCache>
                <c:formatCode>General</c:formatCode>
                <c:ptCount val="31"/>
                <c:pt idx="0">
                  <c:v>0.3925</c:v>
                </c:pt>
                <c:pt idx="1">
                  <c:v>0.5122</c:v>
                </c:pt>
                <c:pt idx="2">
                  <c:v>1.0016</c:v>
                </c:pt>
                <c:pt idx="3">
                  <c:v>1.4069</c:v>
                </c:pt>
                <c:pt idx="4">
                  <c:v>1.7401</c:v>
                </c:pt>
                <c:pt idx="5">
                  <c:v>1.8598</c:v>
                </c:pt>
                <c:pt idx="6">
                  <c:v>1.978</c:v>
                </c:pt>
                <c:pt idx="7">
                  <c:v>2.1253</c:v>
                </c:pt>
                <c:pt idx="8">
                  <c:v>2.1867</c:v>
                </c:pt>
                <c:pt idx="9">
                  <c:v>2.256</c:v>
                </c:pt>
                <c:pt idx="10">
                  <c:v>2.346299999999998</c:v>
                </c:pt>
                <c:pt idx="11">
                  <c:v>2.3855</c:v>
                </c:pt>
                <c:pt idx="12">
                  <c:v>2.4112</c:v>
                </c:pt>
                <c:pt idx="13">
                  <c:v>2.4676</c:v>
                </c:pt>
                <c:pt idx="14">
                  <c:v>2.4857</c:v>
                </c:pt>
                <c:pt idx="15">
                  <c:v>2.5322</c:v>
                </c:pt>
                <c:pt idx="16">
                  <c:v>2.636799999999999</c:v>
                </c:pt>
                <c:pt idx="17">
                  <c:v>2.6712</c:v>
                </c:pt>
                <c:pt idx="18">
                  <c:v>2.6833</c:v>
                </c:pt>
                <c:pt idx="19">
                  <c:v>2.7842</c:v>
                </c:pt>
                <c:pt idx="20">
                  <c:v>2.856799999999998</c:v>
                </c:pt>
                <c:pt idx="21">
                  <c:v>2.9443</c:v>
                </c:pt>
                <c:pt idx="22">
                  <c:v>2.995</c:v>
                </c:pt>
                <c:pt idx="23">
                  <c:v>3.0203</c:v>
                </c:pt>
                <c:pt idx="24">
                  <c:v>3.0897</c:v>
                </c:pt>
                <c:pt idx="25">
                  <c:v>3.0714</c:v>
                </c:pt>
              </c:numCache>
            </c:numRef>
          </c:yVal>
          <c:smooth val="0"/>
        </c:ser>
        <c:ser>
          <c:idx val="2"/>
          <c:order val="2"/>
          <c:tx>
            <c:v>70% RH</c:v>
          </c:tx>
          <c:spPr>
            <a:ln w="28575">
              <a:noFill/>
            </a:ln>
          </c:spPr>
          <c:marker>
            <c:symbol val="square"/>
            <c:size val="4"/>
            <c:spPr>
              <a:solidFill>
                <a:srgbClr val="00B050">
                  <a:alpha val="50000"/>
                </a:srgbClr>
              </a:solidFill>
              <a:ln w="12700">
                <a:solidFill>
                  <a:sysClr val="windowText" lastClr="000000"/>
                </a:solidFill>
              </a:ln>
            </c:spPr>
          </c:marker>
          <c:xVal>
            <c:numRef>
              <c:f>'BMI-Absorption-30psi'!$M$4:$M$34</c:f>
              <c:numCache>
                <c:formatCode>General</c:formatCode>
                <c:ptCount val="31"/>
                <c:pt idx="0">
                  <c:v>1.57</c:v>
                </c:pt>
                <c:pt idx="1">
                  <c:v>2.29</c:v>
                </c:pt>
                <c:pt idx="2">
                  <c:v>5.25</c:v>
                </c:pt>
                <c:pt idx="3">
                  <c:v>8.52</c:v>
                </c:pt>
                <c:pt idx="4">
                  <c:v>13.89</c:v>
                </c:pt>
                <c:pt idx="5">
                  <c:v>19.67000000000001</c:v>
                </c:pt>
                <c:pt idx="6">
                  <c:v>25.5</c:v>
                </c:pt>
                <c:pt idx="7">
                  <c:v>31.4</c:v>
                </c:pt>
                <c:pt idx="8">
                  <c:v>37.35</c:v>
                </c:pt>
                <c:pt idx="9">
                  <c:v>42.7</c:v>
                </c:pt>
                <c:pt idx="10">
                  <c:v>48.49</c:v>
                </c:pt>
                <c:pt idx="11">
                  <c:v>53.9</c:v>
                </c:pt>
                <c:pt idx="12">
                  <c:v>59.42</c:v>
                </c:pt>
                <c:pt idx="13">
                  <c:v>66.61</c:v>
                </c:pt>
                <c:pt idx="14">
                  <c:v>71.33</c:v>
                </c:pt>
                <c:pt idx="15">
                  <c:v>76.99</c:v>
                </c:pt>
                <c:pt idx="16">
                  <c:v>82.25</c:v>
                </c:pt>
                <c:pt idx="17">
                  <c:v>88.72</c:v>
                </c:pt>
                <c:pt idx="18">
                  <c:v>93.71</c:v>
                </c:pt>
                <c:pt idx="19">
                  <c:v>98.94</c:v>
                </c:pt>
                <c:pt idx="20">
                  <c:v>105.41</c:v>
                </c:pt>
                <c:pt idx="21">
                  <c:v>111.5</c:v>
                </c:pt>
                <c:pt idx="22">
                  <c:v>116.64</c:v>
                </c:pt>
                <c:pt idx="23">
                  <c:v>121.68</c:v>
                </c:pt>
                <c:pt idx="24">
                  <c:v>127.94</c:v>
                </c:pt>
                <c:pt idx="25">
                  <c:v>133.33</c:v>
                </c:pt>
              </c:numCache>
            </c:numRef>
          </c:xVal>
          <c:yVal>
            <c:numRef>
              <c:f>'BMI-Absorption-30psi'!$N$4:$N$34</c:f>
              <c:numCache>
                <c:formatCode>General</c:formatCode>
                <c:ptCount val="31"/>
                <c:pt idx="0">
                  <c:v>0.9256</c:v>
                </c:pt>
                <c:pt idx="1">
                  <c:v>1.1842</c:v>
                </c:pt>
                <c:pt idx="2">
                  <c:v>2.1839</c:v>
                </c:pt>
                <c:pt idx="3">
                  <c:v>3.0841</c:v>
                </c:pt>
                <c:pt idx="4">
                  <c:v>3.9596</c:v>
                </c:pt>
                <c:pt idx="5">
                  <c:v>4.2815</c:v>
                </c:pt>
                <c:pt idx="6">
                  <c:v>4.4298</c:v>
                </c:pt>
                <c:pt idx="7">
                  <c:v>4.4999</c:v>
                </c:pt>
                <c:pt idx="8">
                  <c:v>4.6014</c:v>
                </c:pt>
                <c:pt idx="9">
                  <c:v>4.752</c:v>
                </c:pt>
                <c:pt idx="10">
                  <c:v>4.855899999999996</c:v>
                </c:pt>
                <c:pt idx="11">
                  <c:v>4.9319</c:v>
                </c:pt>
                <c:pt idx="12">
                  <c:v>5.0568</c:v>
                </c:pt>
                <c:pt idx="13">
                  <c:v>5.097099999999997</c:v>
                </c:pt>
                <c:pt idx="14">
                  <c:v>5.128499999999987</c:v>
                </c:pt>
                <c:pt idx="15">
                  <c:v>5.2184</c:v>
                </c:pt>
                <c:pt idx="16">
                  <c:v>5.314799999999995</c:v>
                </c:pt>
                <c:pt idx="17">
                  <c:v>5.390899999999998</c:v>
                </c:pt>
                <c:pt idx="18">
                  <c:v>5.4713</c:v>
                </c:pt>
                <c:pt idx="19">
                  <c:v>5.5124</c:v>
                </c:pt>
                <c:pt idx="20">
                  <c:v>5.5348</c:v>
                </c:pt>
                <c:pt idx="21">
                  <c:v>5.5602</c:v>
                </c:pt>
                <c:pt idx="22">
                  <c:v>5.5613</c:v>
                </c:pt>
                <c:pt idx="23">
                  <c:v>5.617799999999986</c:v>
                </c:pt>
                <c:pt idx="24">
                  <c:v>5.656999999999995</c:v>
                </c:pt>
                <c:pt idx="25">
                  <c:v>5.7101</c:v>
                </c:pt>
              </c:numCache>
            </c:numRef>
          </c:yVal>
          <c:smooth val="0"/>
        </c:ser>
        <c:ser>
          <c:idx val="3"/>
          <c:order val="3"/>
          <c:tx>
            <c:v>99% RH</c:v>
          </c:tx>
          <c:spPr>
            <a:ln w="28575">
              <a:noFill/>
            </a:ln>
          </c:spPr>
          <c:marker>
            <c:symbol val="square"/>
            <c:size val="4"/>
            <c:spPr>
              <a:solidFill>
                <a:srgbClr val="7030A0">
                  <a:alpha val="50000"/>
                </a:srgbClr>
              </a:solidFill>
              <a:ln w="12700">
                <a:solidFill>
                  <a:sysClr val="windowText" lastClr="000000"/>
                </a:solidFill>
              </a:ln>
            </c:spPr>
          </c:marker>
          <c:xVal>
            <c:numRef>
              <c:f>'BMI-Absorption-30psi'!$S$4:$S$34</c:f>
              <c:numCache>
                <c:formatCode>General</c:formatCode>
                <c:ptCount val="31"/>
                <c:pt idx="0">
                  <c:v>1.6</c:v>
                </c:pt>
                <c:pt idx="1">
                  <c:v>2.319999999999998</c:v>
                </c:pt>
                <c:pt idx="2">
                  <c:v>5.26</c:v>
                </c:pt>
                <c:pt idx="3">
                  <c:v>8.530000000000001</c:v>
                </c:pt>
                <c:pt idx="4">
                  <c:v>13.9</c:v>
                </c:pt>
                <c:pt idx="5">
                  <c:v>19.68</c:v>
                </c:pt>
                <c:pt idx="6">
                  <c:v>25.5</c:v>
                </c:pt>
                <c:pt idx="7">
                  <c:v>31.4</c:v>
                </c:pt>
                <c:pt idx="8">
                  <c:v>37.35</c:v>
                </c:pt>
                <c:pt idx="9">
                  <c:v>42.7</c:v>
                </c:pt>
                <c:pt idx="10">
                  <c:v>48.49</c:v>
                </c:pt>
                <c:pt idx="11">
                  <c:v>53.9</c:v>
                </c:pt>
                <c:pt idx="12">
                  <c:v>59.42</c:v>
                </c:pt>
                <c:pt idx="13">
                  <c:v>66.61</c:v>
                </c:pt>
                <c:pt idx="14">
                  <c:v>71.34</c:v>
                </c:pt>
                <c:pt idx="15">
                  <c:v>76.99</c:v>
                </c:pt>
                <c:pt idx="16">
                  <c:v>82.26</c:v>
                </c:pt>
                <c:pt idx="17">
                  <c:v>88.72</c:v>
                </c:pt>
                <c:pt idx="18">
                  <c:v>93.71</c:v>
                </c:pt>
                <c:pt idx="19">
                  <c:v>98.94</c:v>
                </c:pt>
                <c:pt idx="20">
                  <c:v>105.41</c:v>
                </c:pt>
                <c:pt idx="21">
                  <c:v>111.5</c:v>
                </c:pt>
                <c:pt idx="22">
                  <c:v>116.65</c:v>
                </c:pt>
                <c:pt idx="23">
                  <c:v>121.69</c:v>
                </c:pt>
                <c:pt idx="24">
                  <c:v>127.94</c:v>
                </c:pt>
                <c:pt idx="25">
                  <c:v>133.33</c:v>
                </c:pt>
              </c:numCache>
            </c:numRef>
          </c:xVal>
          <c:yVal>
            <c:numRef>
              <c:f>'BMI-Absorption-30psi'!$T$4:$T$34</c:f>
              <c:numCache>
                <c:formatCode>General</c:formatCode>
                <c:ptCount val="31"/>
                <c:pt idx="0">
                  <c:v>0.9654</c:v>
                </c:pt>
                <c:pt idx="1">
                  <c:v>1.2184</c:v>
                </c:pt>
                <c:pt idx="2">
                  <c:v>2.1774</c:v>
                </c:pt>
                <c:pt idx="3">
                  <c:v>2.9632</c:v>
                </c:pt>
                <c:pt idx="4">
                  <c:v>3.6528</c:v>
                </c:pt>
                <c:pt idx="5">
                  <c:v>3.8732</c:v>
                </c:pt>
                <c:pt idx="6">
                  <c:v>3.9542</c:v>
                </c:pt>
                <c:pt idx="7">
                  <c:v>4.0417</c:v>
                </c:pt>
                <c:pt idx="8">
                  <c:v>4.155699999999999</c:v>
                </c:pt>
                <c:pt idx="9">
                  <c:v>4.2512</c:v>
                </c:pt>
                <c:pt idx="10">
                  <c:v>4.3854</c:v>
                </c:pt>
                <c:pt idx="11">
                  <c:v>4.4434</c:v>
                </c:pt>
                <c:pt idx="12">
                  <c:v>4.524899999999985</c:v>
                </c:pt>
                <c:pt idx="13">
                  <c:v>4.600799999999999</c:v>
                </c:pt>
                <c:pt idx="14">
                  <c:v>4.64</c:v>
                </c:pt>
                <c:pt idx="15">
                  <c:v>4.720899999999998</c:v>
                </c:pt>
                <c:pt idx="16">
                  <c:v>4.7882</c:v>
                </c:pt>
                <c:pt idx="17">
                  <c:v>4.8707</c:v>
                </c:pt>
                <c:pt idx="18">
                  <c:v>4.922099999999999</c:v>
                </c:pt>
                <c:pt idx="19">
                  <c:v>5.0087</c:v>
                </c:pt>
                <c:pt idx="20">
                  <c:v>5.0103</c:v>
                </c:pt>
                <c:pt idx="21">
                  <c:v>5.0382</c:v>
                </c:pt>
                <c:pt idx="22">
                  <c:v>5.060999999999995</c:v>
                </c:pt>
                <c:pt idx="23">
                  <c:v>5.0972</c:v>
                </c:pt>
                <c:pt idx="24">
                  <c:v>5.143999999999997</c:v>
                </c:pt>
                <c:pt idx="25">
                  <c:v>5.1533</c:v>
                </c:pt>
              </c:numCache>
            </c:numRef>
          </c:yVal>
          <c:smooth val="0"/>
        </c:ser>
        <c:ser>
          <c:idx val="8"/>
          <c:order val="4"/>
          <c:tx>
            <c:v>30psi-2%HF</c:v>
          </c:tx>
          <c:spPr>
            <a:ln w="12700">
              <a:solidFill>
                <a:srgbClr val="0070C0"/>
              </a:solidFill>
              <a:prstDash val="sysDash"/>
            </a:ln>
          </c:spPr>
          <c:marker>
            <c:symbol val="none"/>
          </c:marker>
          <c:xVal>
            <c:numRef>
              <c:f>'BMI-Absorption-30psi'!$Z$4:$Z$84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'BMI-Absorption-30psi'!$AA$4:$AA$84</c:f>
              <c:numCache>
                <c:formatCode>General</c:formatCode>
                <c:ptCount val="81"/>
                <c:pt idx="0">
                  <c:v>0.05032285</c:v>
                </c:pt>
                <c:pt idx="1">
                  <c:v>0.44881345</c:v>
                </c:pt>
                <c:pt idx="2">
                  <c:v>0.73977413</c:v>
                </c:pt>
                <c:pt idx="3">
                  <c:v>0.86315654</c:v>
                </c:pt>
                <c:pt idx="4">
                  <c:v>0.9275855</c:v>
                </c:pt>
                <c:pt idx="5">
                  <c:v>0.99254094</c:v>
                </c:pt>
                <c:pt idx="6">
                  <c:v>1.06445953</c:v>
                </c:pt>
                <c:pt idx="7">
                  <c:v>1.14075111</c:v>
                </c:pt>
                <c:pt idx="8">
                  <c:v>1.21837445</c:v>
                </c:pt>
                <c:pt idx="9">
                  <c:v>1.29456746</c:v>
                </c:pt>
                <c:pt idx="10">
                  <c:v>1.36700802</c:v>
                </c:pt>
                <c:pt idx="11">
                  <c:v>1.43390503</c:v>
                </c:pt>
                <c:pt idx="12">
                  <c:v>1.4940324</c:v>
                </c:pt>
                <c:pt idx="13">
                  <c:v>1.54671163</c:v>
                </c:pt>
                <c:pt idx="14">
                  <c:v>1.59175357</c:v>
                </c:pt>
                <c:pt idx="15">
                  <c:v>1.62937234</c:v>
                </c:pt>
                <c:pt idx="16">
                  <c:v>1.66008529</c:v>
                </c:pt>
                <c:pt idx="17">
                  <c:v>1.68461133</c:v>
                </c:pt>
                <c:pt idx="18">
                  <c:v>1.70377757</c:v>
                </c:pt>
                <c:pt idx="19">
                  <c:v>1.71844074</c:v>
                </c:pt>
                <c:pt idx="20">
                  <c:v>1.72942703</c:v>
                </c:pt>
                <c:pt idx="21">
                  <c:v>1.73749073</c:v>
                </c:pt>
                <c:pt idx="22">
                  <c:v>1.74329019</c:v>
                </c:pt>
                <c:pt idx="23">
                  <c:v>1.74737814</c:v>
                </c:pt>
                <c:pt idx="24">
                  <c:v>1.75020284</c:v>
                </c:pt>
                <c:pt idx="25">
                  <c:v>1.75211647</c:v>
                </c:pt>
                <c:pt idx="26">
                  <c:v>1.75338772</c:v>
                </c:pt>
                <c:pt idx="27">
                  <c:v>1.75421593</c:v>
                </c:pt>
                <c:pt idx="28">
                  <c:v>1.75474516</c:v>
                </c:pt>
                <c:pt idx="29">
                  <c:v>1.75507689</c:v>
                </c:pt>
                <c:pt idx="30">
                  <c:v>1.75528088</c:v>
                </c:pt>
                <c:pt idx="31">
                  <c:v>1.75540395</c:v>
                </c:pt>
                <c:pt idx="32">
                  <c:v>1.7554768</c:v>
                </c:pt>
                <c:pt idx="33">
                  <c:v>1.75551911</c:v>
                </c:pt>
                <c:pt idx="34">
                  <c:v>1.75554323</c:v>
                </c:pt>
                <c:pt idx="35">
                  <c:v>1.75555672</c:v>
                </c:pt>
                <c:pt idx="36">
                  <c:v>1.75556413</c:v>
                </c:pt>
                <c:pt idx="37">
                  <c:v>1.75556812</c:v>
                </c:pt>
                <c:pt idx="38">
                  <c:v>1.75557023</c:v>
                </c:pt>
                <c:pt idx="39">
                  <c:v>1.75557132</c:v>
                </c:pt>
                <c:pt idx="40">
                  <c:v>1.75557188</c:v>
                </c:pt>
                <c:pt idx="41">
                  <c:v>1.75557216</c:v>
                </c:pt>
                <c:pt idx="42">
                  <c:v>1.7555723</c:v>
                </c:pt>
                <c:pt idx="43">
                  <c:v>1.75557236</c:v>
                </c:pt>
                <c:pt idx="44">
                  <c:v>1.75557239</c:v>
                </c:pt>
                <c:pt idx="45">
                  <c:v>1.75557241</c:v>
                </c:pt>
                <c:pt idx="46">
                  <c:v>1.75557241</c:v>
                </c:pt>
                <c:pt idx="47">
                  <c:v>1.75557242</c:v>
                </c:pt>
                <c:pt idx="48">
                  <c:v>1.75557242</c:v>
                </c:pt>
                <c:pt idx="49">
                  <c:v>1.75557242</c:v>
                </c:pt>
                <c:pt idx="50">
                  <c:v>1.75557242</c:v>
                </c:pt>
              </c:numCache>
            </c:numRef>
          </c:yVal>
          <c:smooth val="0"/>
        </c:ser>
        <c:ser>
          <c:idx val="10"/>
          <c:order val="5"/>
          <c:tx>
            <c:v>30psi-40%hf</c:v>
          </c:tx>
          <c:spPr>
            <a:ln w="12700">
              <a:solidFill>
                <a:srgbClr val="C00000"/>
              </a:solidFill>
              <a:prstDash val="sysDash"/>
            </a:ln>
          </c:spPr>
          <c:marker>
            <c:symbol val="none"/>
          </c:marker>
          <c:xVal>
            <c:numRef>
              <c:f>'BMI-Absorption-30psi'!$AD$4:$AD$84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'BMI-Absorption-30psi'!$AE$4:$AE$84</c:f>
              <c:numCache>
                <c:formatCode>General</c:formatCode>
                <c:ptCount val="81"/>
                <c:pt idx="0">
                  <c:v>0.08937878</c:v>
                </c:pt>
                <c:pt idx="1">
                  <c:v>0.92732951</c:v>
                </c:pt>
                <c:pt idx="2">
                  <c:v>1.5711405</c:v>
                </c:pt>
                <c:pt idx="3">
                  <c:v>1.86064159</c:v>
                </c:pt>
                <c:pt idx="4">
                  <c:v>1.94587593</c:v>
                </c:pt>
                <c:pt idx="5">
                  <c:v>1.98805834</c:v>
                </c:pt>
                <c:pt idx="6">
                  <c:v>2.03096979</c:v>
                </c:pt>
                <c:pt idx="7">
                  <c:v>2.079216419999999</c:v>
                </c:pt>
                <c:pt idx="8">
                  <c:v>2.132219999999998</c:v>
                </c:pt>
                <c:pt idx="9">
                  <c:v>2.18902886</c:v>
                </c:pt>
                <c:pt idx="10">
                  <c:v>2.2486561</c:v>
                </c:pt>
                <c:pt idx="11">
                  <c:v>2.31011768</c:v>
                </c:pt>
                <c:pt idx="12">
                  <c:v>2.372458849999997</c:v>
                </c:pt>
                <c:pt idx="13">
                  <c:v>2.43477765</c:v>
                </c:pt>
                <c:pt idx="14">
                  <c:v>2.496244969999998</c:v>
                </c:pt>
                <c:pt idx="15">
                  <c:v>2.55612049</c:v>
                </c:pt>
                <c:pt idx="16">
                  <c:v>2.61376435</c:v>
                </c:pt>
                <c:pt idx="17">
                  <c:v>2.66864444</c:v>
                </c:pt>
                <c:pt idx="18">
                  <c:v>2.72033937</c:v>
                </c:pt>
                <c:pt idx="19">
                  <c:v>2.76853746</c:v>
                </c:pt>
                <c:pt idx="20">
                  <c:v>2.81303238</c:v>
                </c:pt>
                <c:pt idx="21">
                  <c:v>2.85371575</c:v>
                </c:pt>
                <c:pt idx="22">
                  <c:v>2.8905675</c:v>
                </c:pt>
                <c:pt idx="23">
                  <c:v>2.92364465</c:v>
                </c:pt>
                <c:pt idx="24">
                  <c:v>2.95306914</c:v>
                </c:pt>
                <c:pt idx="25">
                  <c:v>2.979015239999998</c:v>
                </c:pt>
                <c:pt idx="26">
                  <c:v>3.00169721</c:v>
                </c:pt>
                <c:pt idx="27">
                  <c:v>3.02135751</c:v>
                </c:pt>
                <c:pt idx="28">
                  <c:v>3.038256099999999</c:v>
                </c:pt>
                <c:pt idx="29">
                  <c:v>3.05266085</c:v>
                </c:pt>
                <c:pt idx="30">
                  <c:v>3.06483939</c:v>
                </c:pt>
                <c:pt idx="31">
                  <c:v>3.075052429999992</c:v>
                </c:pt>
                <c:pt idx="32">
                  <c:v>3.08354849</c:v>
                </c:pt>
                <c:pt idx="33">
                  <c:v>3.09055999</c:v>
                </c:pt>
                <c:pt idx="34">
                  <c:v>3.09630068</c:v>
                </c:pt>
                <c:pt idx="35">
                  <c:v>3.10096403</c:v>
                </c:pt>
                <c:pt idx="36">
                  <c:v>3.10472273</c:v>
                </c:pt>
                <c:pt idx="37">
                  <c:v>3.10772882</c:v>
                </c:pt>
                <c:pt idx="38">
                  <c:v>3.11011448</c:v>
                </c:pt>
                <c:pt idx="39">
                  <c:v>3.11199327</c:v>
                </c:pt>
                <c:pt idx="40">
                  <c:v>3.1134616</c:v>
                </c:pt>
                <c:pt idx="41">
                  <c:v>3.114600429999999</c:v>
                </c:pt>
                <c:pt idx="42">
                  <c:v>3.11547702</c:v>
                </c:pt>
                <c:pt idx="43">
                  <c:v>3.116146689999999</c:v>
                </c:pt>
                <c:pt idx="44">
                  <c:v>3.11665444</c:v>
                </c:pt>
                <c:pt idx="45">
                  <c:v>3.11703654</c:v>
                </c:pt>
                <c:pt idx="46">
                  <c:v>3.11732194</c:v>
                </c:pt>
                <c:pt idx="47">
                  <c:v>3.11753353</c:v>
                </c:pt>
                <c:pt idx="48">
                  <c:v>3.11768923</c:v>
                </c:pt>
                <c:pt idx="49">
                  <c:v>3.11780296</c:v>
                </c:pt>
                <c:pt idx="50">
                  <c:v>3.117885429999999</c:v>
                </c:pt>
              </c:numCache>
            </c:numRef>
          </c:yVal>
          <c:smooth val="0"/>
        </c:ser>
        <c:ser>
          <c:idx val="12"/>
          <c:order val="6"/>
          <c:tx>
            <c:v>30psi70%hf</c:v>
          </c:tx>
          <c:spPr>
            <a:ln w="12700">
              <a:solidFill>
                <a:srgbClr val="00B050"/>
              </a:solidFill>
              <a:prstDash val="sysDash"/>
            </a:ln>
          </c:spPr>
          <c:marker>
            <c:symbol val="none"/>
          </c:marker>
          <c:xVal>
            <c:numRef>
              <c:f>'BMI-Absorption-30psi'!$AH$4:$AH$84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'BMI-Absorption-30psi'!$AI$4:$AI$84</c:f>
              <c:numCache>
                <c:formatCode>General</c:formatCode>
                <c:ptCount val="81"/>
                <c:pt idx="0">
                  <c:v>0.16121594</c:v>
                </c:pt>
                <c:pt idx="1">
                  <c:v>2.07873966</c:v>
                </c:pt>
                <c:pt idx="2">
                  <c:v>3.51803961</c:v>
                </c:pt>
                <c:pt idx="3">
                  <c:v>4.122216719999975</c:v>
                </c:pt>
                <c:pt idx="4">
                  <c:v>4.28602691</c:v>
                </c:pt>
                <c:pt idx="5">
                  <c:v>4.366996119999989</c:v>
                </c:pt>
                <c:pt idx="6">
                  <c:v>4.44914996</c:v>
                </c:pt>
                <c:pt idx="7">
                  <c:v>4.538874909999989</c:v>
                </c:pt>
                <c:pt idx="8">
                  <c:v>4.63391309</c:v>
                </c:pt>
                <c:pt idx="9">
                  <c:v>4.73160229</c:v>
                </c:pt>
                <c:pt idx="10">
                  <c:v>4.829425399999993</c:v>
                </c:pt>
                <c:pt idx="11">
                  <c:v>4.925122</c:v>
                </c:pt>
                <c:pt idx="12">
                  <c:v>5.01676372</c:v>
                </c:pt>
                <c:pt idx="13">
                  <c:v>5.10280219</c:v>
                </c:pt>
                <c:pt idx="14">
                  <c:v>5.182089309999979</c:v>
                </c:pt>
                <c:pt idx="15">
                  <c:v>5.25387239</c:v>
                </c:pt>
                <c:pt idx="16">
                  <c:v>5.317767859999976</c:v>
                </c:pt>
                <c:pt idx="17">
                  <c:v>5.37371858</c:v>
                </c:pt>
                <c:pt idx="18">
                  <c:v>5.421940229999989</c:v>
                </c:pt>
                <c:pt idx="19">
                  <c:v>5.462862269999989</c:v>
                </c:pt>
                <c:pt idx="20">
                  <c:v>5.49706815</c:v>
                </c:pt>
                <c:pt idx="21">
                  <c:v>5.52523898</c:v>
                </c:pt>
                <c:pt idx="22">
                  <c:v>5.54810355</c:v>
                </c:pt>
                <c:pt idx="23">
                  <c:v>5.566396559999979</c:v>
                </c:pt>
                <c:pt idx="24">
                  <c:v>5.580825949999979</c:v>
                </c:pt>
                <c:pt idx="25">
                  <c:v>5.59204929</c:v>
                </c:pt>
                <c:pt idx="26">
                  <c:v>5.600658679999978</c:v>
                </c:pt>
                <c:pt idx="27">
                  <c:v>5.607172759999976</c:v>
                </c:pt>
                <c:pt idx="28">
                  <c:v>5.612034749999964</c:v>
                </c:pt>
                <c:pt idx="29">
                  <c:v>5.615614879999955</c:v>
                </c:pt>
                <c:pt idx="30">
                  <c:v>5.618215939999969</c:v>
                </c:pt>
                <c:pt idx="31">
                  <c:v>5.620080599999967</c:v>
                </c:pt>
                <c:pt idx="32">
                  <c:v>5.62139972</c:v>
                </c:pt>
                <c:pt idx="33">
                  <c:v>5.622320649999971</c:v>
                </c:pt>
                <c:pt idx="34">
                  <c:v>5.622955189999973</c:v>
                </c:pt>
                <c:pt idx="35">
                  <c:v>5.623386709999976</c:v>
                </c:pt>
                <c:pt idx="36">
                  <c:v>5.623676369999976</c:v>
                </c:pt>
                <c:pt idx="37">
                  <c:v>5.623868289999993</c:v>
                </c:pt>
                <c:pt idx="38">
                  <c:v>5.623993809999973</c:v>
                </c:pt>
                <c:pt idx="39">
                  <c:v>5.624074849999946</c:v>
                </c:pt>
                <c:pt idx="40">
                  <c:v>5.624126509999956</c:v>
                </c:pt>
                <c:pt idx="41">
                  <c:v>5.624159019999964</c:v>
                </c:pt>
                <c:pt idx="42">
                  <c:v>5.624179209999964</c:v>
                </c:pt>
                <c:pt idx="43">
                  <c:v>5.624191599999967</c:v>
                </c:pt>
                <c:pt idx="44">
                  <c:v>5.624199099999976</c:v>
                </c:pt>
                <c:pt idx="45">
                  <c:v>5.624203579999979</c:v>
                </c:pt>
                <c:pt idx="46">
                  <c:v>5.624206229999965</c:v>
                </c:pt>
                <c:pt idx="47">
                  <c:v>5.624207769999973</c:v>
                </c:pt>
                <c:pt idx="48">
                  <c:v>5.624208659999973</c:v>
                </c:pt>
                <c:pt idx="49">
                  <c:v>5.624209169999979</c:v>
                </c:pt>
                <c:pt idx="50">
                  <c:v>5.624209449999979</c:v>
                </c:pt>
              </c:numCache>
            </c:numRef>
          </c:yVal>
          <c:smooth val="0"/>
        </c:ser>
        <c:ser>
          <c:idx val="14"/>
          <c:order val="7"/>
          <c:tx>
            <c:v>30psi99%hf</c:v>
          </c:tx>
          <c:spPr>
            <a:ln w="12700">
              <a:solidFill>
                <a:srgbClr val="7030A0"/>
              </a:solidFill>
              <a:prstDash val="sysDash"/>
            </a:ln>
          </c:spPr>
          <c:marker>
            <c:symbol val="none"/>
          </c:marker>
          <c:xVal>
            <c:numRef>
              <c:f>'BMI-Absorption-30psi'!$AL$4:$AL$84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'BMI-Absorption-30psi'!$AM$4:$AM$84</c:f>
              <c:numCache>
                <c:formatCode>General</c:formatCode>
                <c:ptCount val="81"/>
                <c:pt idx="0">
                  <c:v>0.146188</c:v>
                </c:pt>
                <c:pt idx="1">
                  <c:v>2.05447921</c:v>
                </c:pt>
                <c:pt idx="2">
                  <c:v>3.35520976</c:v>
                </c:pt>
                <c:pt idx="3">
                  <c:v>3.75594909</c:v>
                </c:pt>
                <c:pt idx="4">
                  <c:v>3.849028399999999</c:v>
                </c:pt>
                <c:pt idx="5">
                  <c:v>3.91623385</c:v>
                </c:pt>
                <c:pt idx="6">
                  <c:v>3.99158155</c:v>
                </c:pt>
                <c:pt idx="7">
                  <c:v>4.074435069999973</c:v>
                </c:pt>
                <c:pt idx="8">
                  <c:v>4.162368819999979</c:v>
                </c:pt>
                <c:pt idx="9">
                  <c:v>4.2529474</c:v>
                </c:pt>
                <c:pt idx="10">
                  <c:v>4.343866779999995</c:v>
                </c:pt>
                <c:pt idx="11">
                  <c:v>4.43304575</c:v>
                </c:pt>
                <c:pt idx="12">
                  <c:v>4.518695369999989</c:v>
                </c:pt>
                <c:pt idx="13">
                  <c:v>4.599364249999993</c:v>
                </c:pt>
                <c:pt idx="14">
                  <c:v>4.67395969</c:v>
                </c:pt>
                <c:pt idx="15">
                  <c:v>4.74174618</c:v>
                </c:pt>
                <c:pt idx="16">
                  <c:v>4.802324539999973</c:v>
                </c:pt>
                <c:pt idx="17">
                  <c:v>4.855595989999979</c:v>
                </c:pt>
                <c:pt idx="18">
                  <c:v>4.9017158</c:v>
                </c:pt>
                <c:pt idx="19">
                  <c:v>4.9410413</c:v>
                </c:pt>
                <c:pt idx="20">
                  <c:v>4.974078579999989</c:v>
                </c:pt>
                <c:pt idx="21">
                  <c:v>5.00143158</c:v>
                </c:pt>
                <c:pt idx="22">
                  <c:v>5.023756239999976</c:v>
                </c:pt>
                <c:pt idx="23">
                  <c:v>5.04172171</c:v>
                </c:pt>
                <c:pt idx="24">
                  <c:v>5.055979349999979</c:v>
                </c:pt>
                <c:pt idx="25">
                  <c:v>5.067139859999964</c:v>
                </c:pt>
                <c:pt idx="26">
                  <c:v>5.07575793</c:v>
                </c:pt>
                <c:pt idx="27">
                  <c:v>5.08232366</c:v>
                </c:pt>
                <c:pt idx="28">
                  <c:v>5.087259369999995</c:v>
                </c:pt>
                <c:pt idx="29">
                  <c:v>5.090920849999973</c:v>
                </c:pt>
                <c:pt idx="30">
                  <c:v>5.09360152</c:v>
                </c:pt>
                <c:pt idx="31">
                  <c:v>5.095538589999979</c:v>
                </c:pt>
                <c:pt idx="32">
                  <c:v>5.096920229999979</c:v>
                </c:pt>
                <c:pt idx="33">
                  <c:v>5.097893019999995</c:v>
                </c:pt>
                <c:pt idx="34">
                  <c:v>5.09856917</c:v>
                </c:pt>
                <c:pt idx="35">
                  <c:v>5.09903315</c:v>
                </c:pt>
                <c:pt idx="36">
                  <c:v>5.0993475</c:v>
                </c:pt>
                <c:pt idx="37">
                  <c:v>5.099557769999989</c:v>
                </c:pt>
                <c:pt idx="38">
                  <c:v>5.09969665</c:v>
                </c:pt>
                <c:pt idx="39">
                  <c:v>5.099787229999989</c:v>
                </c:pt>
                <c:pt idx="40">
                  <c:v>5.099845559999979</c:v>
                </c:pt>
                <c:pt idx="41">
                  <c:v>5.099882659999989</c:v>
                </c:pt>
                <c:pt idx="42">
                  <c:v>5.099905949999976</c:v>
                </c:pt>
                <c:pt idx="43">
                  <c:v>5.0999204</c:v>
                </c:pt>
                <c:pt idx="44">
                  <c:v>5.099929249999994</c:v>
                </c:pt>
                <c:pt idx="45">
                  <c:v>5.099934609999976</c:v>
                </c:pt>
                <c:pt idx="46">
                  <c:v>5.099937799999997</c:v>
                </c:pt>
                <c:pt idx="47">
                  <c:v>5.09993969</c:v>
                </c:pt>
                <c:pt idx="48">
                  <c:v>5.09994079</c:v>
                </c:pt>
                <c:pt idx="49">
                  <c:v>5.09994142</c:v>
                </c:pt>
                <c:pt idx="50">
                  <c:v>5.09994178</c:v>
                </c:pt>
              </c:numCache>
            </c:numRef>
          </c:yVal>
          <c:smooth val="0"/>
        </c:ser>
        <c:dLbls>
          <c:showLegendKey val="0"/>
          <c:showVal val="0"/>
          <c:showCatName val="0"/>
          <c:showSerName val="0"/>
          <c:showPercent val="0"/>
          <c:showBubbleSize val="0"/>
        </c:dLbls>
        <c:axId val="521991032"/>
        <c:axId val="521753448"/>
      </c:scatterChart>
      <c:valAx>
        <c:axId val="521991032"/>
        <c:scaling>
          <c:orientation val="minMax"/>
          <c:max val="21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521753448"/>
        <c:crosses val="autoZero"/>
        <c:crossBetween val="midCat"/>
        <c:majorUnit val="50.0"/>
        <c:minorUnit val="12.5"/>
      </c:valAx>
      <c:valAx>
        <c:axId val="521753448"/>
        <c:scaling>
          <c:orientation val="minMax"/>
          <c:max val="10.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521991032"/>
        <c:crosses val="autoZero"/>
        <c:crossBetween val="midCat"/>
        <c:majorUnit val="2.0"/>
        <c:minorUnit val="0.5"/>
      </c:valAx>
      <c:spPr>
        <a:ln w="19050">
          <a:solidFill>
            <a:sysClr val="windowText" lastClr="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439910583210997"/>
          <c:y val="0.0374139690871974"/>
          <c:w val="0.475343654077139"/>
          <c:h val="0.101097987751531"/>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5724009075137"/>
          <c:y val="0.0333333333333333"/>
          <c:w val="0.745862805284932"/>
          <c:h val="0.793114975211432"/>
        </c:manualLayout>
      </c:layout>
      <c:scatterChart>
        <c:scatterStyle val="lineMarker"/>
        <c:varyColors val="0"/>
        <c:ser>
          <c:idx val="0"/>
          <c:order val="0"/>
          <c:tx>
            <c:v>2% RH</c:v>
          </c:tx>
          <c:spPr>
            <a:ln w="28575">
              <a:noFill/>
            </a:ln>
          </c:spPr>
          <c:marker>
            <c:symbol val="square"/>
            <c:size val="4"/>
            <c:spPr>
              <a:solidFill>
                <a:srgbClr val="0070C0">
                  <a:alpha val="50000"/>
                </a:srgbClr>
              </a:solidFill>
              <a:ln w="12700">
                <a:solidFill>
                  <a:schemeClr val="tx1"/>
                </a:solidFill>
              </a:ln>
            </c:spPr>
          </c:marker>
          <c:xVal>
            <c:numRef>
              <c:f>'BMI-Absorption-50psi'!$A$4:$A$34</c:f>
              <c:numCache>
                <c:formatCode>General</c:formatCode>
                <c:ptCount val="31"/>
                <c:pt idx="0">
                  <c:v>1.5</c:v>
                </c:pt>
                <c:pt idx="1">
                  <c:v>2.25</c:v>
                </c:pt>
                <c:pt idx="2">
                  <c:v>5.23</c:v>
                </c:pt>
                <c:pt idx="3">
                  <c:v>8.58</c:v>
                </c:pt>
                <c:pt idx="4">
                  <c:v>13.88</c:v>
                </c:pt>
                <c:pt idx="5">
                  <c:v>19.67000000000001</c:v>
                </c:pt>
                <c:pt idx="6">
                  <c:v>25.5</c:v>
                </c:pt>
                <c:pt idx="7">
                  <c:v>31.39</c:v>
                </c:pt>
                <c:pt idx="8">
                  <c:v>37.34</c:v>
                </c:pt>
                <c:pt idx="9">
                  <c:v>42.72</c:v>
                </c:pt>
                <c:pt idx="10">
                  <c:v>48.48</c:v>
                </c:pt>
                <c:pt idx="11">
                  <c:v>53.89</c:v>
                </c:pt>
                <c:pt idx="12">
                  <c:v>59.42</c:v>
                </c:pt>
                <c:pt idx="13">
                  <c:v>66.6</c:v>
                </c:pt>
                <c:pt idx="14">
                  <c:v>71.33</c:v>
                </c:pt>
                <c:pt idx="15">
                  <c:v>76.99</c:v>
                </c:pt>
                <c:pt idx="16">
                  <c:v>82.25</c:v>
                </c:pt>
                <c:pt idx="17">
                  <c:v>88.72</c:v>
                </c:pt>
                <c:pt idx="18">
                  <c:v>93.7</c:v>
                </c:pt>
                <c:pt idx="19">
                  <c:v>98.93</c:v>
                </c:pt>
                <c:pt idx="20">
                  <c:v>105.41</c:v>
                </c:pt>
                <c:pt idx="21">
                  <c:v>111.49</c:v>
                </c:pt>
                <c:pt idx="22">
                  <c:v>116.64</c:v>
                </c:pt>
                <c:pt idx="23">
                  <c:v>121.68</c:v>
                </c:pt>
                <c:pt idx="24">
                  <c:v>127.94</c:v>
                </c:pt>
                <c:pt idx="25">
                  <c:v>133.33</c:v>
                </c:pt>
                <c:pt idx="30">
                  <c:v>138.54</c:v>
                </c:pt>
              </c:numCache>
            </c:numRef>
          </c:xVal>
          <c:yVal>
            <c:numRef>
              <c:f>'BMI-Absorption-50psi'!$B$4:$B$34</c:f>
              <c:numCache>
                <c:formatCode>General</c:formatCode>
                <c:ptCount val="31"/>
                <c:pt idx="0">
                  <c:v>0.169</c:v>
                </c:pt>
                <c:pt idx="1">
                  <c:v>0.1974</c:v>
                </c:pt>
                <c:pt idx="2">
                  <c:v>0.2485</c:v>
                </c:pt>
                <c:pt idx="3">
                  <c:v>0.3124</c:v>
                </c:pt>
                <c:pt idx="4">
                  <c:v>0.3951</c:v>
                </c:pt>
                <c:pt idx="5">
                  <c:v>0.4424</c:v>
                </c:pt>
                <c:pt idx="6">
                  <c:v>0.4996</c:v>
                </c:pt>
                <c:pt idx="7">
                  <c:v>0.5995</c:v>
                </c:pt>
                <c:pt idx="8">
                  <c:v>0.6379</c:v>
                </c:pt>
                <c:pt idx="9">
                  <c:v>0.7059</c:v>
                </c:pt>
                <c:pt idx="10">
                  <c:v>0.7383</c:v>
                </c:pt>
                <c:pt idx="11">
                  <c:v>0.8109</c:v>
                </c:pt>
                <c:pt idx="12">
                  <c:v>0.866</c:v>
                </c:pt>
                <c:pt idx="13">
                  <c:v>0.8635</c:v>
                </c:pt>
                <c:pt idx="14">
                  <c:v>0.8877</c:v>
                </c:pt>
                <c:pt idx="15">
                  <c:v>0.9061</c:v>
                </c:pt>
                <c:pt idx="16">
                  <c:v>0.9459</c:v>
                </c:pt>
                <c:pt idx="17">
                  <c:v>0.9805</c:v>
                </c:pt>
                <c:pt idx="18">
                  <c:v>1.0152</c:v>
                </c:pt>
                <c:pt idx="19">
                  <c:v>1.053</c:v>
                </c:pt>
                <c:pt idx="20">
                  <c:v>1.095</c:v>
                </c:pt>
                <c:pt idx="21">
                  <c:v>1.1186</c:v>
                </c:pt>
                <c:pt idx="22">
                  <c:v>1.1298</c:v>
                </c:pt>
                <c:pt idx="23">
                  <c:v>1.1427</c:v>
                </c:pt>
                <c:pt idx="24">
                  <c:v>1.2336</c:v>
                </c:pt>
                <c:pt idx="25">
                  <c:v>1.2362</c:v>
                </c:pt>
              </c:numCache>
            </c:numRef>
          </c:yVal>
          <c:smooth val="0"/>
        </c:ser>
        <c:ser>
          <c:idx val="1"/>
          <c:order val="1"/>
          <c:tx>
            <c:v>40% RH</c:v>
          </c:tx>
          <c:spPr>
            <a:ln w="28575">
              <a:noFill/>
            </a:ln>
          </c:spPr>
          <c:marker>
            <c:symbol val="square"/>
            <c:size val="4"/>
            <c:spPr>
              <a:solidFill>
                <a:srgbClr val="C00000">
                  <a:alpha val="50000"/>
                </a:srgbClr>
              </a:solidFill>
              <a:ln w="12700">
                <a:solidFill>
                  <a:sysClr val="windowText" lastClr="000000"/>
                </a:solidFill>
              </a:ln>
            </c:spPr>
          </c:marker>
          <c:xVal>
            <c:numRef>
              <c:f>'BMI-Absorption-50psi'!$G$4:$G$34</c:f>
              <c:numCache>
                <c:formatCode>General</c:formatCode>
                <c:ptCount val="31"/>
                <c:pt idx="0">
                  <c:v>1.54</c:v>
                </c:pt>
                <c:pt idx="1">
                  <c:v>2.28</c:v>
                </c:pt>
                <c:pt idx="2">
                  <c:v>5.24</c:v>
                </c:pt>
                <c:pt idx="3">
                  <c:v>8.59</c:v>
                </c:pt>
                <c:pt idx="4">
                  <c:v>13.89</c:v>
                </c:pt>
                <c:pt idx="5">
                  <c:v>19.67000000000001</c:v>
                </c:pt>
                <c:pt idx="6">
                  <c:v>25.5</c:v>
                </c:pt>
                <c:pt idx="7">
                  <c:v>31.39</c:v>
                </c:pt>
                <c:pt idx="8">
                  <c:v>37.35</c:v>
                </c:pt>
                <c:pt idx="9">
                  <c:v>42.72</c:v>
                </c:pt>
                <c:pt idx="10">
                  <c:v>48.49</c:v>
                </c:pt>
                <c:pt idx="11">
                  <c:v>53.9</c:v>
                </c:pt>
                <c:pt idx="12">
                  <c:v>59.42</c:v>
                </c:pt>
                <c:pt idx="13">
                  <c:v>66.61</c:v>
                </c:pt>
                <c:pt idx="14">
                  <c:v>71.33</c:v>
                </c:pt>
                <c:pt idx="15">
                  <c:v>76.99</c:v>
                </c:pt>
                <c:pt idx="16">
                  <c:v>82.26</c:v>
                </c:pt>
                <c:pt idx="17">
                  <c:v>88.72</c:v>
                </c:pt>
                <c:pt idx="18">
                  <c:v>93.7</c:v>
                </c:pt>
                <c:pt idx="19">
                  <c:v>98.93</c:v>
                </c:pt>
                <c:pt idx="20">
                  <c:v>105.41</c:v>
                </c:pt>
                <c:pt idx="21">
                  <c:v>111.5</c:v>
                </c:pt>
                <c:pt idx="22">
                  <c:v>116.64</c:v>
                </c:pt>
                <c:pt idx="23">
                  <c:v>121.68</c:v>
                </c:pt>
                <c:pt idx="24">
                  <c:v>127.94</c:v>
                </c:pt>
                <c:pt idx="25">
                  <c:v>133.33</c:v>
                </c:pt>
              </c:numCache>
            </c:numRef>
          </c:xVal>
          <c:yVal>
            <c:numRef>
              <c:f>'BMI-Absorption-50psi'!$H$4:$H$34</c:f>
              <c:numCache>
                <c:formatCode>General</c:formatCode>
                <c:ptCount val="31"/>
                <c:pt idx="0">
                  <c:v>0.5164</c:v>
                </c:pt>
                <c:pt idx="1">
                  <c:v>0.6776</c:v>
                </c:pt>
                <c:pt idx="2">
                  <c:v>1.2964</c:v>
                </c:pt>
                <c:pt idx="3">
                  <c:v>1.7926</c:v>
                </c:pt>
                <c:pt idx="4">
                  <c:v>2.1343</c:v>
                </c:pt>
                <c:pt idx="5">
                  <c:v>2.2218</c:v>
                </c:pt>
                <c:pt idx="6">
                  <c:v>2.329499999999999</c:v>
                </c:pt>
                <c:pt idx="7">
                  <c:v>2.4238</c:v>
                </c:pt>
                <c:pt idx="8">
                  <c:v>2.4882</c:v>
                </c:pt>
                <c:pt idx="9">
                  <c:v>2.6572</c:v>
                </c:pt>
                <c:pt idx="10">
                  <c:v>2.7874</c:v>
                </c:pt>
                <c:pt idx="11">
                  <c:v>2.862699999999998</c:v>
                </c:pt>
                <c:pt idx="12">
                  <c:v>2.9626</c:v>
                </c:pt>
                <c:pt idx="13">
                  <c:v>3.0301</c:v>
                </c:pt>
                <c:pt idx="14">
                  <c:v>3.0644</c:v>
                </c:pt>
                <c:pt idx="15">
                  <c:v>3.1082</c:v>
                </c:pt>
                <c:pt idx="16">
                  <c:v>3.1679</c:v>
                </c:pt>
                <c:pt idx="17">
                  <c:v>3.2081</c:v>
                </c:pt>
                <c:pt idx="18">
                  <c:v>3.23</c:v>
                </c:pt>
                <c:pt idx="19">
                  <c:v>3.2698</c:v>
                </c:pt>
                <c:pt idx="20">
                  <c:v>3.2783</c:v>
                </c:pt>
                <c:pt idx="21">
                  <c:v>3.2948</c:v>
                </c:pt>
                <c:pt idx="22">
                  <c:v>3.2846</c:v>
                </c:pt>
                <c:pt idx="23">
                  <c:v>3.2909</c:v>
                </c:pt>
                <c:pt idx="24">
                  <c:v>3.33689999999998</c:v>
                </c:pt>
                <c:pt idx="25">
                  <c:v>3.3201</c:v>
                </c:pt>
              </c:numCache>
            </c:numRef>
          </c:yVal>
          <c:smooth val="0"/>
        </c:ser>
        <c:ser>
          <c:idx val="2"/>
          <c:order val="2"/>
          <c:tx>
            <c:v>70% RH</c:v>
          </c:tx>
          <c:spPr>
            <a:ln w="28575">
              <a:noFill/>
            </a:ln>
          </c:spPr>
          <c:marker>
            <c:symbol val="square"/>
            <c:size val="4"/>
            <c:spPr>
              <a:solidFill>
                <a:srgbClr val="00B050">
                  <a:alpha val="50000"/>
                </a:srgbClr>
              </a:solidFill>
              <a:ln w="12700">
                <a:solidFill>
                  <a:sysClr val="windowText" lastClr="000000"/>
                </a:solidFill>
              </a:ln>
            </c:spPr>
          </c:marker>
          <c:xVal>
            <c:numRef>
              <c:f>'BMI-Absorption-50psi'!$M$4:$M$34</c:f>
              <c:numCache>
                <c:formatCode>General</c:formatCode>
                <c:ptCount val="31"/>
                <c:pt idx="0">
                  <c:v>1.59</c:v>
                </c:pt>
                <c:pt idx="1">
                  <c:v>2.31</c:v>
                </c:pt>
                <c:pt idx="2">
                  <c:v>5.25</c:v>
                </c:pt>
                <c:pt idx="3">
                  <c:v>8.6</c:v>
                </c:pt>
                <c:pt idx="4">
                  <c:v>13.89</c:v>
                </c:pt>
                <c:pt idx="5">
                  <c:v>19.68</c:v>
                </c:pt>
                <c:pt idx="6">
                  <c:v>25.5</c:v>
                </c:pt>
                <c:pt idx="7">
                  <c:v>31.4</c:v>
                </c:pt>
                <c:pt idx="8">
                  <c:v>37.35</c:v>
                </c:pt>
                <c:pt idx="9">
                  <c:v>42.73</c:v>
                </c:pt>
                <c:pt idx="10">
                  <c:v>48.49</c:v>
                </c:pt>
                <c:pt idx="11">
                  <c:v>53.9</c:v>
                </c:pt>
                <c:pt idx="12">
                  <c:v>59.42</c:v>
                </c:pt>
                <c:pt idx="13">
                  <c:v>66.61</c:v>
                </c:pt>
                <c:pt idx="14">
                  <c:v>71.34</c:v>
                </c:pt>
                <c:pt idx="15">
                  <c:v>76.99</c:v>
                </c:pt>
                <c:pt idx="16">
                  <c:v>82.26</c:v>
                </c:pt>
                <c:pt idx="17">
                  <c:v>88.72</c:v>
                </c:pt>
                <c:pt idx="18">
                  <c:v>93.71</c:v>
                </c:pt>
                <c:pt idx="19">
                  <c:v>98.94</c:v>
                </c:pt>
                <c:pt idx="20">
                  <c:v>105.41</c:v>
                </c:pt>
                <c:pt idx="21">
                  <c:v>111.5</c:v>
                </c:pt>
                <c:pt idx="22">
                  <c:v>116.64</c:v>
                </c:pt>
                <c:pt idx="23">
                  <c:v>121.68</c:v>
                </c:pt>
                <c:pt idx="24">
                  <c:v>127.94</c:v>
                </c:pt>
                <c:pt idx="25">
                  <c:v>133.33</c:v>
                </c:pt>
              </c:numCache>
            </c:numRef>
          </c:xVal>
          <c:yVal>
            <c:numRef>
              <c:f>'BMI-Absorption-50psi'!$N$4:$N$34</c:f>
              <c:numCache>
                <c:formatCode>General</c:formatCode>
                <c:ptCount val="31"/>
                <c:pt idx="0">
                  <c:v>0.9502</c:v>
                </c:pt>
                <c:pt idx="1">
                  <c:v>1.1853</c:v>
                </c:pt>
                <c:pt idx="2">
                  <c:v>2.1442</c:v>
                </c:pt>
                <c:pt idx="3">
                  <c:v>2.9517</c:v>
                </c:pt>
                <c:pt idx="4">
                  <c:v>3.554</c:v>
                </c:pt>
                <c:pt idx="5">
                  <c:v>3.7028</c:v>
                </c:pt>
                <c:pt idx="6">
                  <c:v>3.7866</c:v>
                </c:pt>
                <c:pt idx="7">
                  <c:v>3.894</c:v>
                </c:pt>
                <c:pt idx="8">
                  <c:v>4.0426</c:v>
                </c:pt>
                <c:pt idx="9">
                  <c:v>4.1711</c:v>
                </c:pt>
                <c:pt idx="10">
                  <c:v>4.2873</c:v>
                </c:pt>
                <c:pt idx="11">
                  <c:v>4.3385</c:v>
                </c:pt>
                <c:pt idx="12">
                  <c:v>4.4164</c:v>
                </c:pt>
                <c:pt idx="13">
                  <c:v>4.52</c:v>
                </c:pt>
                <c:pt idx="14">
                  <c:v>4.522399999999998</c:v>
                </c:pt>
                <c:pt idx="15">
                  <c:v>4.5583</c:v>
                </c:pt>
                <c:pt idx="16">
                  <c:v>4.6004</c:v>
                </c:pt>
                <c:pt idx="17">
                  <c:v>4.663099999999995</c:v>
                </c:pt>
                <c:pt idx="18">
                  <c:v>4.689199999999999</c:v>
                </c:pt>
                <c:pt idx="19">
                  <c:v>4.724099999999995</c:v>
                </c:pt>
                <c:pt idx="20">
                  <c:v>4.7524</c:v>
                </c:pt>
                <c:pt idx="21">
                  <c:v>4.7741</c:v>
                </c:pt>
                <c:pt idx="22">
                  <c:v>4.8097</c:v>
                </c:pt>
                <c:pt idx="23">
                  <c:v>4.810799999999999</c:v>
                </c:pt>
                <c:pt idx="24">
                  <c:v>4.8483</c:v>
                </c:pt>
                <c:pt idx="25">
                  <c:v>4.8031</c:v>
                </c:pt>
              </c:numCache>
            </c:numRef>
          </c:yVal>
          <c:smooth val="0"/>
        </c:ser>
        <c:ser>
          <c:idx val="3"/>
          <c:order val="3"/>
          <c:tx>
            <c:v>99% RH</c:v>
          </c:tx>
          <c:spPr>
            <a:ln w="28575">
              <a:noFill/>
            </a:ln>
          </c:spPr>
          <c:marker>
            <c:symbol val="square"/>
            <c:size val="4"/>
            <c:spPr>
              <a:solidFill>
                <a:srgbClr val="7030A0">
                  <a:alpha val="50000"/>
                </a:srgbClr>
              </a:solidFill>
              <a:ln w="12700">
                <a:solidFill>
                  <a:sysClr val="windowText" lastClr="000000"/>
                </a:solidFill>
              </a:ln>
            </c:spPr>
          </c:marker>
          <c:xVal>
            <c:numRef>
              <c:f>'BMI-Absorption-50psi'!$S$4:$S$34</c:f>
              <c:numCache>
                <c:formatCode>General</c:formatCode>
                <c:ptCount val="31"/>
                <c:pt idx="0">
                  <c:v>1.62</c:v>
                </c:pt>
                <c:pt idx="1">
                  <c:v>2.33</c:v>
                </c:pt>
                <c:pt idx="2">
                  <c:v>5.27</c:v>
                </c:pt>
                <c:pt idx="3">
                  <c:v>8.61</c:v>
                </c:pt>
                <c:pt idx="4">
                  <c:v>13.9</c:v>
                </c:pt>
                <c:pt idx="5">
                  <c:v>19.68</c:v>
                </c:pt>
                <c:pt idx="6">
                  <c:v>25.51</c:v>
                </c:pt>
                <c:pt idx="7">
                  <c:v>31.4</c:v>
                </c:pt>
                <c:pt idx="8">
                  <c:v>37.35</c:v>
                </c:pt>
                <c:pt idx="9">
                  <c:v>42.73</c:v>
                </c:pt>
                <c:pt idx="10">
                  <c:v>48.49</c:v>
                </c:pt>
                <c:pt idx="11">
                  <c:v>53.9</c:v>
                </c:pt>
                <c:pt idx="12">
                  <c:v>59.42</c:v>
                </c:pt>
                <c:pt idx="13">
                  <c:v>66.61</c:v>
                </c:pt>
                <c:pt idx="14">
                  <c:v>71.34</c:v>
                </c:pt>
                <c:pt idx="15">
                  <c:v>76.99</c:v>
                </c:pt>
                <c:pt idx="16">
                  <c:v>82.26</c:v>
                </c:pt>
                <c:pt idx="17">
                  <c:v>88.72</c:v>
                </c:pt>
                <c:pt idx="18">
                  <c:v>93.71</c:v>
                </c:pt>
                <c:pt idx="19">
                  <c:v>98.94</c:v>
                </c:pt>
                <c:pt idx="20">
                  <c:v>105.42</c:v>
                </c:pt>
                <c:pt idx="21">
                  <c:v>111.5</c:v>
                </c:pt>
                <c:pt idx="22">
                  <c:v>116.65</c:v>
                </c:pt>
                <c:pt idx="23">
                  <c:v>121.69</c:v>
                </c:pt>
                <c:pt idx="24">
                  <c:v>127.94</c:v>
                </c:pt>
                <c:pt idx="25">
                  <c:v>133.33</c:v>
                </c:pt>
              </c:numCache>
            </c:numRef>
          </c:xVal>
          <c:yVal>
            <c:numRef>
              <c:f>'BMI-Absorption-50psi'!$T$4:$T$34</c:f>
              <c:numCache>
                <c:formatCode>General</c:formatCode>
                <c:ptCount val="31"/>
                <c:pt idx="0">
                  <c:v>0.8612</c:v>
                </c:pt>
                <c:pt idx="1">
                  <c:v>1.0738</c:v>
                </c:pt>
                <c:pt idx="2">
                  <c:v>1.9056</c:v>
                </c:pt>
                <c:pt idx="3">
                  <c:v>2.616699999999997</c:v>
                </c:pt>
                <c:pt idx="4">
                  <c:v>3.1838</c:v>
                </c:pt>
                <c:pt idx="5">
                  <c:v>3.3853</c:v>
                </c:pt>
                <c:pt idx="6">
                  <c:v>3.4718</c:v>
                </c:pt>
                <c:pt idx="7">
                  <c:v>3.5958</c:v>
                </c:pt>
                <c:pt idx="8">
                  <c:v>3.7198</c:v>
                </c:pt>
                <c:pt idx="9">
                  <c:v>3.8414</c:v>
                </c:pt>
                <c:pt idx="10">
                  <c:v>3.9561</c:v>
                </c:pt>
                <c:pt idx="11">
                  <c:v>3.982699999999999</c:v>
                </c:pt>
                <c:pt idx="12">
                  <c:v>4.027799999999996</c:v>
                </c:pt>
                <c:pt idx="13">
                  <c:v>4.0693</c:v>
                </c:pt>
                <c:pt idx="14">
                  <c:v>4.110799999999998</c:v>
                </c:pt>
                <c:pt idx="15">
                  <c:v>4.121</c:v>
                </c:pt>
                <c:pt idx="16">
                  <c:v>4.190499999999997</c:v>
                </c:pt>
                <c:pt idx="17">
                  <c:v>4.222799999999999</c:v>
                </c:pt>
                <c:pt idx="18">
                  <c:v>4.2386</c:v>
                </c:pt>
                <c:pt idx="19">
                  <c:v>4.2956</c:v>
                </c:pt>
                <c:pt idx="20">
                  <c:v>4.3218</c:v>
                </c:pt>
                <c:pt idx="21">
                  <c:v>4.3462</c:v>
                </c:pt>
                <c:pt idx="22">
                  <c:v>4.3789</c:v>
                </c:pt>
                <c:pt idx="23">
                  <c:v>4.394499999999986</c:v>
                </c:pt>
                <c:pt idx="24">
                  <c:v>4.4416</c:v>
                </c:pt>
                <c:pt idx="25">
                  <c:v>4.4168</c:v>
                </c:pt>
              </c:numCache>
            </c:numRef>
          </c:yVal>
          <c:smooth val="0"/>
        </c:ser>
        <c:ser>
          <c:idx val="8"/>
          <c:order val="4"/>
          <c:tx>
            <c:v>50psi-2%HF</c:v>
          </c:tx>
          <c:spPr>
            <a:ln w="12700">
              <a:solidFill>
                <a:srgbClr val="0070C0"/>
              </a:solidFill>
              <a:prstDash val="sysDash"/>
            </a:ln>
          </c:spPr>
          <c:marker>
            <c:symbol val="none"/>
          </c:marker>
          <c:xVal>
            <c:numRef>
              <c:f>'BMI-Absorption-50psi'!$Z$4:$Z$84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'BMI-Absorption-50psi'!$AA$4:$AA$84</c:f>
              <c:numCache>
                <c:formatCode>General</c:formatCode>
                <c:ptCount val="81"/>
                <c:pt idx="0">
                  <c:v>0.03295344</c:v>
                </c:pt>
                <c:pt idx="1">
                  <c:v>0.22177177</c:v>
                </c:pt>
                <c:pt idx="2">
                  <c:v>0.36774769</c:v>
                </c:pt>
                <c:pt idx="3">
                  <c:v>0.43875025</c:v>
                </c:pt>
                <c:pt idx="4">
                  <c:v>0.47442797</c:v>
                </c:pt>
                <c:pt idx="5">
                  <c:v>0.5078095</c:v>
                </c:pt>
                <c:pt idx="6">
                  <c:v>0.5455319</c:v>
                </c:pt>
                <c:pt idx="7">
                  <c:v>0.5872289</c:v>
                </c:pt>
                <c:pt idx="8">
                  <c:v>0.6317761</c:v>
                </c:pt>
                <c:pt idx="9">
                  <c:v>0.67801201</c:v>
                </c:pt>
                <c:pt idx="10">
                  <c:v>0.72481902</c:v>
                </c:pt>
                <c:pt idx="11">
                  <c:v>0.77116686</c:v>
                </c:pt>
                <c:pt idx="12">
                  <c:v>0.81614661</c:v>
                </c:pt>
                <c:pt idx="13">
                  <c:v>0.85899499</c:v>
                </c:pt>
                <c:pt idx="14">
                  <c:v>0.89910844</c:v>
                </c:pt>
                <c:pt idx="15">
                  <c:v>0.93604726</c:v>
                </c:pt>
                <c:pt idx="16">
                  <c:v>0.9695309</c:v>
                </c:pt>
                <c:pt idx="17">
                  <c:v>0.99942588</c:v>
                </c:pt>
                <c:pt idx="18">
                  <c:v>1.02572817</c:v>
                </c:pt>
                <c:pt idx="19">
                  <c:v>1.04854192</c:v>
                </c:pt>
                <c:pt idx="20">
                  <c:v>1.06805642</c:v>
                </c:pt>
                <c:pt idx="21">
                  <c:v>1.08452301</c:v>
                </c:pt>
                <c:pt idx="22">
                  <c:v>1.09823322</c:v>
                </c:pt>
                <c:pt idx="23">
                  <c:v>1.10949934</c:v>
                </c:pt>
                <c:pt idx="24">
                  <c:v>1.11863787</c:v>
                </c:pt>
                <c:pt idx="25">
                  <c:v>1.12595635</c:v>
                </c:pt>
                <c:pt idx="26">
                  <c:v>1.13174361</c:v>
                </c:pt>
                <c:pt idx="27">
                  <c:v>1.1362631</c:v>
                </c:pt>
                <c:pt idx="28">
                  <c:v>1.13974902</c:v>
                </c:pt>
                <c:pt idx="29">
                  <c:v>1.14240487</c:v>
                </c:pt>
                <c:pt idx="30">
                  <c:v>1.14440377</c:v>
                </c:pt>
                <c:pt idx="31">
                  <c:v>1.14589008</c:v>
                </c:pt>
                <c:pt idx="32">
                  <c:v>1.14698201</c:v>
                </c:pt>
                <c:pt idx="33">
                  <c:v>1.14777466</c:v>
                </c:pt>
                <c:pt idx="34">
                  <c:v>1.14834324</c:v>
                </c:pt>
                <c:pt idx="35">
                  <c:v>1.14874628</c:v>
                </c:pt>
                <c:pt idx="36">
                  <c:v>1.14902862</c:v>
                </c:pt>
                <c:pt idx="37">
                  <c:v>1.1492241</c:v>
                </c:pt>
                <c:pt idx="38">
                  <c:v>1.14935787</c:v>
                </c:pt>
                <c:pt idx="39">
                  <c:v>1.14944834</c:v>
                </c:pt>
                <c:pt idx="40">
                  <c:v>1.14950882</c:v>
                </c:pt>
                <c:pt idx="41">
                  <c:v>1.14954878</c:v>
                </c:pt>
                <c:pt idx="42">
                  <c:v>1.14957489</c:v>
                </c:pt>
                <c:pt idx="43">
                  <c:v>1.14959174</c:v>
                </c:pt>
                <c:pt idx="44">
                  <c:v>1.1496025</c:v>
                </c:pt>
                <c:pt idx="45">
                  <c:v>1.14960929</c:v>
                </c:pt>
                <c:pt idx="46">
                  <c:v>1.14961353</c:v>
                </c:pt>
                <c:pt idx="47">
                  <c:v>1.14961614</c:v>
                </c:pt>
                <c:pt idx="48">
                  <c:v>1.14961773</c:v>
                </c:pt>
                <c:pt idx="49">
                  <c:v>1.1496187</c:v>
                </c:pt>
                <c:pt idx="50">
                  <c:v>1.14961927</c:v>
                </c:pt>
              </c:numCache>
            </c:numRef>
          </c:yVal>
          <c:smooth val="0"/>
        </c:ser>
        <c:ser>
          <c:idx val="10"/>
          <c:order val="5"/>
          <c:tx>
            <c:v>50psi-40%hf</c:v>
          </c:tx>
          <c:spPr>
            <a:ln w="12700">
              <a:solidFill>
                <a:srgbClr val="C00000"/>
              </a:solidFill>
              <a:prstDash val="sysDash"/>
            </a:ln>
          </c:spPr>
          <c:marker>
            <c:symbol val="none"/>
          </c:marker>
          <c:xVal>
            <c:numRef>
              <c:f>'BMI-Absorption-50psi'!$AD$4:$AD$84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'BMI-Absorption-50psi'!$AE$4:$AE$84</c:f>
              <c:numCache>
                <c:formatCode>General</c:formatCode>
                <c:ptCount val="81"/>
                <c:pt idx="0">
                  <c:v>0.09471591</c:v>
                </c:pt>
                <c:pt idx="1">
                  <c:v>1.20692056</c:v>
                </c:pt>
                <c:pt idx="2">
                  <c:v>1.94251353</c:v>
                </c:pt>
                <c:pt idx="3">
                  <c:v>2.16370533</c:v>
                </c:pt>
                <c:pt idx="4">
                  <c:v>2.2426768</c:v>
                </c:pt>
                <c:pt idx="5">
                  <c:v>2.31983526</c:v>
                </c:pt>
                <c:pt idx="6">
                  <c:v>2.40604634</c:v>
                </c:pt>
                <c:pt idx="7">
                  <c:v>2.49824471</c:v>
                </c:pt>
                <c:pt idx="8">
                  <c:v>2.59293099</c:v>
                </c:pt>
                <c:pt idx="9">
                  <c:v>2.68686754</c:v>
                </c:pt>
                <c:pt idx="10">
                  <c:v>2.77725393</c:v>
                </c:pt>
                <c:pt idx="11">
                  <c:v>2.861841479999998</c:v>
                </c:pt>
                <c:pt idx="12">
                  <c:v>2.93898983</c:v>
                </c:pt>
                <c:pt idx="13">
                  <c:v>3.00766892</c:v>
                </c:pt>
                <c:pt idx="14">
                  <c:v>3.06741481</c:v>
                </c:pt>
                <c:pt idx="15">
                  <c:v>3.11825137</c:v>
                </c:pt>
                <c:pt idx="16">
                  <c:v>3.16059111</c:v>
                </c:pt>
                <c:pt idx="17">
                  <c:v>3.19512797</c:v>
                </c:pt>
                <c:pt idx="18">
                  <c:v>3.22273335</c:v>
                </c:pt>
                <c:pt idx="19">
                  <c:v>3.24436347</c:v>
                </c:pt>
                <c:pt idx="20">
                  <c:v>3.26098335</c:v>
                </c:pt>
                <c:pt idx="21">
                  <c:v>3.27350979</c:v>
                </c:pt>
                <c:pt idx="22">
                  <c:v>3.28277313</c:v>
                </c:pt>
                <c:pt idx="23">
                  <c:v>3.28949581</c:v>
                </c:pt>
                <c:pt idx="24">
                  <c:v>3.29428468</c:v>
                </c:pt>
                <c:pt idx="25">
                  <c:v>3.29763365</c:v>
                </c:pt>
                <c:pt idx="26">
                  <c:v>3.29993319</c:v>
                </c:pt>
                <c:pt idx="27">
                  <c:v>3.30148371</c:v>
                </c:pt>
                <c:pt idx="28">
                  <c:v>3.30251048</c:v>
                </c:pt>
                <c:pt idx="29">
                  <c:v>3.30317831</c:v>
                </c:pt>
                <c:pt idx="30">
                  <c:v>3.30360499</c:v>
                </c:pt>
                <c:pt idx="31">
                  <c:v>3.30387279</c:v>
                </c:pt>
                <c:pt idx="32">
                  <c:v>3.30403792</c:v>
                </c:pt>
                <c:pt idx="33">
                  <c:v>3.30413797</c:v>
                </c:pt>
                <c:pt idx="34">
                  <c:v>3.30419752</c:v>
                </c:pt>
                <c:pt idx="35">
                  <c:v>3.30423236</c:v>
                </c:pt>
                <c:pt idx="36">
                  <c:v>3.304252379999999</c:v>
                </c:pt>
                <c:pt idx="37">
                  <c:v>3.304263689999999</c:v>
                </c:pt>
                <c:pt idx="38">
                  <c:v>3.30426997</c:v>
                </c:pt>
                <c:pt idx="39">
                  <c:v>3.3042734</c:v>
                </c:pt>
                <c:pt idx="40">
                  <c:v>3.304275239999999</c:v>
                </c:pt>
                <c:pt idx="41">
                  <c:v>3.304276199999999</c:v>
                </c:pt>
                <c:pt idx="42">
                  <c:v>3.30427671</c:v>
                </c:pt>
                <c:pt idx="43">
                  <c:v>3.30427696</c:v>
                </c:pt>
                <c:pt idx="44">
                  <c:v>3.30427709</c:v>
                </c:pt>
                <c:pt idx="45">
                  <c:v>3.30427715</c:v>
                </c:pt>
                <c:pt idx="46">
                  <c:v>3.30427718</c:v>
                </c:pt>
                <c:pt idx="47">
                  <c:v>3.3042772</c:v>
                </c:pt>
                <c:pt idx="48">
                  <c:v>3.3042772</c:v>
                </c:pt>
                <c:pt idx="49">
                  <c:v>3.30427721</c:v>
                </c:pt>
                <c:pt idx="50">
                  <c:v>3.30427721</c:v>
                </c:pt>
              </c:numCache>
            </c:numRef>
          </c:yVal>
          <c:smooth val="0"/>
        </c:ser>
        <c:ser>
          <c:idx val="12"/>
          <c:order val="6"/>
          <c:tx>
            <c:v>50psi70%hf</c:v>
          </c:tx>
          <c:spPr>
            <a:ln w="12700">
              <a:solidFill>
                <a:srgbClr val="00B050"/>
              </a:solidFill>
              <a:prstDash val="sysDash"/>
            </a:ln>
          </c:spPr>
          <c:marker>
            <c:symbol val="none"/>
          </c:marker>
          <c:xVal>
            <c:numRef>
              <c:f>'BMI-Absorption-50psi'!$AH$4:$AH$84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'BMI-Absorption-50psi'!$AI$4:$AI$84</c:f>
              <c:numCache>
                <c:formatCode>General</c:formatCode>
                <c:ptCount val="81"/>
                <c:pt idx="0">
                  <c:v>0.13682954</c:v>
                </c:pt>
                <c:pt idx="1">
                  <c:v>2.05346416</c:v>
                </c:pt>
                <c:pt idx="2">
                  <c:v>3.26476838</c:v>
                </c:pt>
                <c:pt idx="3">
                  <c:v>3.57849897</c:v>
                </c:pt>
                <c:pt idx="4">
                  <c:v>3.67025658</c:v>
                </c:pt>
                <c:pt idx="5">
                  <c:v>3.75751271</c:v>
                </c:pt>
                <c:pt idx="6">
                  <c:v>3.8543314</c:v>
                </c:pt>
                <c:pt idx="7">
                  <c:v>3.95692335</c:v>
                </c:pt>
                <c:pt idx="8">
                  <c:v>4.06115279</c:v>
                </c:pt>
                <c:pt idx="9">
                  <c:v>4.16328941</c:v>
                </c:pt>
                <c:pt idx="10">
                  <c:v>4.260211749999995</c:v>
                </c:pt>
                <c:pt idx="11">
                  <c:v>4.349528209999995</c:v>
                </c:pt>
                <c:pt idx="12">
                  <c:v>4.42961969</c:v>
                </c:pt>
                <c:pt idx="13">
                  <c:v>4.4996118</c:v>
                </c:pt>
                <c:pt idx="14">
                  <c:v>4.55929164</c:v>
                </c:pt>
                <c:pt idx="15">
                  <c:v>4.608987619999968</c:v>
                </c:pt>
                <c:pt idx="16">
                  <c:v>4.6494311</c:v>
                </c:pt>
                <c:pt idx="17">
                  <c:v>4.681617239999978</c:v>
                </c:pt>
                <c:pt idx="18">
                  <c:v>4.70667808</c:v>
                </c:pt>
                <c:pt idx="19">
                  <c:v>4.725776889999989</c:v>
                </c:pt>
                <c:pt idx="20">
                  <c:v>4.74002807</c:v>
                </c:pt>
                <c:pt idx="21">
                  <c:v>4.750443</c:v>
                </c:pt>
                <c:pt idx="22">
                  <c:v>4.75789945</c:v>
                </c:pt>
                <c:pt idx="23">
                  <c:v>4.763130289999979</c:v>
                </c:pt>
                <c:pt idx="24">
                  <c:v>4.7667266</c:v>
                </c:pt>
                <c:pt idx="25">
                  <c:v>4.769150199999998</c:v>
                </c:pt>
                <c:pt idx="26">
                  <c:v>4.77075139</c:v>
                </c:pt>
                <c:pt idx="27">
                  <c:v>4.7717886</c:v>
                </c:pt>
                <c:pt idx="28">
                  <c:v>4.77244743</c:v>
                </c:pt>
                <c:pt idx="29">
                  <c:v>4.772857829999979</c:v>
                </c:pt>
                <c:pt idx="30">
                  <c:v>4.773108559999993</c:v>
                </c:pt>
                <c:pt idx="31">
                  <c:v>4.77325882</c:v>
                </c:pt>
                <c:pt idx="32">
                  <c:v>4.77334714</c:v>
                </c:pt>
                <c:pt idx="33">
                  <c:v>4.77339808</c:v>
                </c:pt>
                <c:pt idx="34">
                  <c:v>4.77342689</c:v>
                </c:pt>
                <c:pt idx="35">
                  <c:v>4.77344288</c:v>
                </c:pt>
                <c:pt idx="36">
                  <c:v>4.77345159</c:v>
                </c:pt>
                <c:pt idx="37">
                  <c:v>4.773456249999989</c:v>
                </c:pt>
                <c:pt idx="38">
                  <c:v>4.77345869</c:v>
                </c:pt>
                <c:pt idx="39">
                  <c:v>4.77345994</c:v>
                </c:pt>
                <c:pt idx="40">
                  <c:v>4.77346058</c:v>
                </c:pt>
                <c:pt idx="41">
                  <c:v>4.77346089</c:v>
                </c:pt>
                <c:pt idx="42">
                  <c:v>4.77346104</c:v>
                </c:pt>
                <c:pt idx="43">
                  <c:v>4.77346112</c:v>
                </c:pt>
                <c:pt idx="44">
                  <c:v>4.77346115</c:v>
                </c:pt>
                <c:pt idx="45">
                  <c:v>4.77346117</c:v>
                </c:pt>
                <c:pt idx="46">
                  <c:v>4.77346117</c:v>
                </c:pt>
                <c:pt idx="47">
                  <c:v>4.77346118</c:v>
                </c:pt>
                <c:pt idx="48">
                  <c:v>4.77346118</c:v>
                </c:pt>
                <c:pt idx="49">
                  <c:v>4.77346118</c:v>
                </c:pt>
                <c:pt idx="50">
                  <c:v>4.77346118</c:v>
                </c:pt>
              </c:numCache>
            </c:numRef>
          </c:yVal>
          <c:smooth val="0"/>
        </c:ser>
        <c:ser>
          <c:idx val="14"/>
          <c:order val="7"/>
          <c:tx>
            <c:v>50psi99%hf</c:v>
          </c:tx>
          <c:spPr>
            <a:ln w="12700">
              <a:solidFill>
                <a:srgbClr val="7030A0"/>
              </a:solidFill>
              <a:prstDash val="sysDash"/>
            </a:ln>
          </c:spPr>
          <c:marker>
            <c:symbol val="none"/>
          </c:marker>
          <c:xVal>
            <c:numRef>
              <c:f>'BMI-Absorption-50psi'!$AL$4:$AL$84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'BMI-Absorption-50psi'!$AM$4:$AM$84</c:f>
              <c:numCache>
                <c:formatCode>General</c:formatCode>
                <c:ptCount val="81"/>
                <c:pt idx="0">
                  <c:v>0.12379377</c:v>
                </c:pt>
                <c:pt idx="1">
                  <c:v>1.81721148</c:v>
                </c:pt>
                <c:pt idx="2">
                  <c:v>2.93758232</c:v>
                </c:pt>
                <c:pt idx="3">
                  <c:v>3.2622297</c:v>
                </c:pt>
                <c:pt idx="4">
                  <c:v>3.356889969999997</c:v>
                </c:pt>
                <c:pt idx="5">
                  <c:v>3.44100522</c:v>
                </c:pt>
                <c:pt idx="6">
                  <c:v>3.53305798</c:v>
                </c:pt>
                <c:pt idx="7">
                  <c:v>3.62947075</c:v>
                </c:pt>
                <c:pt idx="8">
                  <c:v>3.72610898</c:v>
                </c:pt>
                <c:pt idx="9">
                  <c:v>3.819357119999998</c:v>
                </c:pt>
                <c:pt idx="10">
                  <c:v>3.90632226</c:v>
                </c:pt>
                <c:pt idx="11">
                  <c:v>3.98493231</c:v>
                </c:pt>
                <c:pt idx="12">
                  <c:v>4.053943669999993</c:v>
                </c:pt>
                <c:pt idx="13">
                  <c:v>4.1128733</c:v>
                </c:pt>
                <c:pt idx="14">
                  <c:v>4.161876599999979</c:v>
                </c:pt>
                <c:pt idx="15">
                  <c:v>4.201595249999989</c:v>
                </c:pt>
                <c:pt idx="16">
                  <c:v>4.23299745</c:v>
                </c:pt>
                <c:pt idx="17">
                  <c:v>4.25722901</c:v>
                </c:pt>
                <c:pt idx="18">
                  <c:v>4.275487779999994</c:v>
                </c:pt>
                <c:pt idx="19">
                  <c:v>4.288928079999993</c:v>
                </c:pt>
                <c:pt idx="20">
                  <c:v>4.298596209999979</c:v>
                </c:pt>
                <c:pt idx="21">
                  <c:v>4.305394499999998</c:v>
                </c:pt>
                <c:pt idx="22">
                  <c:v>4.310068519999989</c:v>
                </c:pt>
                <c:pt idx="23">
                  <c:v>4.313211249999976</c:v>
                </c:pt>
                <c:pt idx="24">
                  <c:v>4.315278209999993</c:v>
                </c:pt>
                <c:pt idx="25">
                  <c:v>4.31660818</c:v>
                </c:pt>
                <c:pt idx="26">
                  <c:v>4.317445499999986</c:v>
                </c:pt>
                <c:pt idx="27">
                  <c:v>4.317961369999973</c:v>
                </c:pt>
                <c:pt idx="28">
                  <c:v>4.31827242</c:v>
                </c:pt>
                <c:pt idx="29">
                  <c:v>4.318456009999979</c:v>
                </c:pt>
                <c:pt idx="30">
                  <c:v>4.318562069999989</c:v>
                </c:pt>
                <c:pt idx="31">
                  <c:v>4.31862205</c:v>
                </c:pt>
                <c:pt idx="32">
                  <c:v>4.318655269999973</c:v>
                </c:pt>
                <c:pt idx="33">
                  <c:v>4.318673279999989</c:v>
                </c:pt>
                <c:pt idx="34">
                  <c:v>4.318682839999976</c:v>
                </c:pt>
                <c:pt idx="35">
                  <c:v>4.318687809999976</c:v>
                </c:pt>
                <c:pt idx="36">
                  <c:v>4.318690339999993</c:v>
                </c:pt>
                <c:pt idx="37">
                  <c:v>4.3186916</c:v>
                </c:pt>
                <c:pt idx="38">
                  <c:v>4.31869221</c:v>
                </c:pt>
                <c:pt idx="39">
                  <c:v>4.31869251</c:v>
                </c:pt>
                <c:pt idx="40">
                  <c:v>4.31869265</c:v>
                </c:pt>
                <c:pt idx="41">
                  <c:v>4.31869271</c:v>
                </c:pt>
                <c:pt idx="42">
                  <c:v>4.31869274</c:v>
                </c:pt>
                <c:pt idx="43">
                  <c:v>4.31869275</c:v>
                </c:pt>
                <c:pt idx="44">
                  <c:v>4.31869276</c:v>
                </c:pt>
                <c:pt idx="45">
                  <c:v>4.31869276</c:v>
                </c:pt>
                <c:pt idx="46">
                  <c:v>4.31869276</c:v>
                </c:pt>
                <c:pt idx="47">
                  <c:v>4.31869276</c:v>
                </c:pt>
                <c:pt idx="48">
                  <c:v>4.31869276</c:v>
                </c:pt>
                <c:pt idx="49">
                  <c:v>4.31869276</c:v>
                </c:pt>
                <c:pt idx="50">
                  <c:v>4.31869276</c:v>
                </c:pt>
              </c:numCache>
            </c:numRef>
          </c:yVal>
          <c:smooth val="0"/>
        </c:ser>
        <c:dLbls>
          <c:showLegendKey val="0"/>
          <c:showVal val="0"/>
          <c:showCatName val="0"/>
          <c:showSerName val="0"/>
          <c:showPercent val="0"/>
          <c:showBubbleSize val="0"/>
        </c:dLbls>
        <c:axId val="522078504"/>
        <c:axId val="522051256"/>
      </c:scatterChart>
      <c:valAx>
        <c:axId val="522078504"/>
        <c:scaling>
          <c:orientation val="minMax"/>
          <c:max val="21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522051256"/>
        <c:crosses val="autoZero"/>
        <c:crossBetween val="midCat"/>
        <c:majorUnit val="50.0"/>
        <c:minorUnit val="12.5"/>
      </c:valAx>
      <c:valAx>
        <c:axId val="522051256"/>
        <c:scaling>
          <c:orientation val="minMax"/>
          <c:max val="10.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522078504"/>
        <c:crosses val="autoZero"/>
        <c:crossBetween val="midCat"/>
        <c:majorUnit val="2.0"/>
        <c:minorUnit val="0.5"/>
      </c:valAx>
      <c:spPr>
        <a:ln w="19050">
          <a:solidFill>
            <a:sysClr val="windowText" lastClr="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439910583210997"/>
          <c:y val="0.0374139690871974"/>
          <c:w val="0.475343654077139"/>
          <c:h val="0.101097987751531"/>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5724009075137"/>
          <c:y val="0.0333333333333333"/>
          <c:w val="0.745862805284932"/>
          <c:h val="0.793114975211432"/>
        </c:manualLayout>
      </c:layout>
      <c:scatterChart>
        <c:scatterStyle val="lineMarker"/>
        <c:varyColors val="0"/>
        <c:ser>
          <c:idx val="0"/>
          <c:order val="0"/>
          <c:tx>
            <c:v>2% RH</c:v>
          </c:tx>
          <c:spPr>
            <a:ln w="28575">
              <a:noFill/>
            </a:ln>
          </c:spPr>
          <c:marker>
            <c:symbol val="square"/>
            <c:size val="4"/>
            <c:spPr>
              <a:solidFill>
                <a:srgbClr val="0070C0">
                  <a:alpha val="50000"/>
                </a:srgbClr>
              </a:solidFill>
              <a:ln w="12700">
                <a:solidFill>
                  <a:schemeClr val="tx1"/>
                </a:solidFill>
              </a:ln>
            </c:spPr>
          </c:marker>
          <c:xVal>
            <c:numRef>
              <c:f>'BMI-Absorption-70psi'!$A$4:$A$34</c:f>
              <c:numCache>
                <c:formatCode>General</c:formatCode>
                <c:ptCount val="31"/>
                <c:pt idx="0">
                  <c:v>1.51</c:v>
                </c:pt>
                <c:pt idx="1">
                  <c:v>2.25</c:v>
                </c:pt>
                <c:pt idx="2">
                  <c:v>5.23</c:v>
                </c:pt>
                <c:pt idx="3">
                  <c:v>8.59</c:v>
                </c:pt>
                <c:pt idx="4">
                  <c:v>13.88</c:v>
                </c:pt>
                <c:pt idx="5">
                  <c:v>19.67000000000001</c:v>
                </c:pt>
                <c:pt idx="6">
                  <c:v>25.5</c:v>
                </c:pt>
                <c:pt idx="7">
                  <c:v>31.39</c:v>
                </c:pt>
                <c:pt idx="8">
                  <c:v>37.59</c:v>
                </c:pt>
                <c:pt idx="9">
                  <c:v>42.72</c:v>
                </c:pt>
                <c:pt idx="10">
                  <c:v>48.49</c:v>
                </c:pt>
                <c:pt idx="11">
                  <c:v>53.89</c:v>
                </c:pt>
                <c:pt idx="12">
                  <c:v>59.42</c:v>
                </c:pt>
                <c:pt idx="13">
                  <c:v>66.6</c:v>
                </c:pt>
                <c:pt idx="14">
                  <c:v>71.33</c:v>
                </c:pt>
                <c:pt idx="15">
                  <c:v>76.99</c:v>
                </c:pt>
                <c:pt idx="16">
                  <c:v>82.26</c:v>
                </c:pt>
                <c:pt idx="17">
                  <c:v>88.72</c:v>
                </c:pt>
                <c:pt idx="18">
                  <c:v>93.7</c:v>
                </c:pt>
                <c:pt idx="19">
                  <c:v>98.93</c:v>
                </c:pt>
                <c:pt idx="20">
                  <c:v>105.41</c:v>
                </c:pt>
                <c:pt idx="21">
                  <c:v>111.49</c:v>
                </c:pt>
                <c:pt idx="22">
                  <c:v>116.64</c:v>
                </c:pt>
                <c:pt idx="23">
                  <c:v>121.68</c:v>
                </c:pt>
                <c:pt idx="24">
                  <c:v>127.94</c:v>
                </c:pt>
                <c:pt idx="25">
                  <c:v>133.33</c:v>
                </c:pt>
                <c:pt idx="30">
                  <c:v>138.54</c:v>
                </c:pt>
              </c:numCache>
            </c:numRef>
          </c:xVal>
          <c:yVal>
            <c:numRef>
              <c:f>'BMI-Absorption-70psi'!$B$4:$B$34</c:f>
              <c:numCache>
                <c:formatCode>General</c:formatCode>
                <c:ptCount val="31"/>
                <c:pt idx="0">
                  <c:v>0.1512</c:v>
                </c:pt>
                <c:pt idx="1">
                  <c:v>0.1799</c:v>
                </c:pt>
                <c:pt idx="2">
                  <c:v>0.2286</c:v>
                </c:pt>
                <c:pt idx="3">
                  <c:v>0.2979</c:v>
                </c:pt>
                <c:pt idx="4">
                  <c:v>0.3533</c:v>
                </c:pt>
                <c:pt idx="5">
                  <c:v>0.3959</c:v>
                </c:pt>
                <c:pt idx="6">
                  <c:v>0.4279</c:v>
                </c:pt>
                <c:pt idx="7">
                  <c:v>0.5374</c:v>
                </c:pt>
                <c:pt idx="8">
                  <c:v>0.5713</c:v>
                </c:pt>
                <c:pt idx="9">
                  <c:v>0.6478</c:v>
                </c:pt>
                <c:pt idx="10">
                  <c:v>0.728</c:v>
                </c:pt>
                <c:pt idx="11">
                  <c:v>0.7805</c:v>
                </c:pt>
                <c:pt idx="12">
                  <c:v>0.8011</c:v>
                </c:pt>
                <c:pt idx="13">
                  <c:v>0.8235</c:v>
                </c:pt>
                <c:pt idx="14">
                  <c:v>0.8634</c:v>
                </c:pt>
                <c:pt idx="15">
                  <c:v>0.9429</c:v>
                </c:pt>
                <c:pt idx="16">
                  <c:v>0.9828</c:v>
                </c:pt>
                <c:pt idx="17">
                  <c:v>1.0139</c:v>
                </c:pt>
                <c:pt idx="18">
                  <c:v>1.1275</c:v>
                </c:pt>
                <c:pt idx="19">
                  <c:v>1.2009</c:v>
                </c:pt>
                <c:pt idx="20">
                  <c:v>1.2428</c:v>
                </c:pt>
                <c:pt idx="21">
                  <c:v>1.2956</c:v>
                </c:pt>
                <c:pt idx="22">
                  <c:v>1.3011</c:v>
                </c:pt>
                <c:pt idx="23">
                  <c:v>1.3458</c:v>
                </c:pt>
                <c:pt idx="24">
                  <c:v>1.4006</c:v>
                </c:pt>
                <c:pt idx="25">
                  <c:v>1.407799999999999</c:v>
                </c:pt>
              </c:numCache>
            </c:numRef>
          </c:yVal>
          <c:smooth val="0"/>
        </c:ser>
        <c:ser>
          <c:idx val="1"/>
          <c:order val="1"/>
          <c:tx>
            <c:v>40% RH</c:v>
          </c:tx>
          <c:spPr>
            <a:ln w="28575">
              <a:noFill/>
            </a:ln>
          </c:spPr>
          <c:marker>
            <c:symbol val="square"/>
            <c:size val="4"/>
            <c:spPr>
              <a:solidFill>
                <a:srgbClr val="C00000">
                  <a:alpha val="50000"/>
                </a:srgbClr>
              </a:solidFill>
              <a:ln w="12700">
                <a:solidFill>
                  <a:sysClr val="windowText" lastClr="000000"/>
                </a:solidFill>
              </a:ln>
            </c:spPr>
          </c:marker>
          <c:xVal>
            <c:numRef>
              <c:f>'BMI-Absorption-70psi'!$G$4:$G$34</c:f>
              <c:numCache>
                <c:formatCode>General</c:formatCode>
                <c:ptCount val="31"/>
                <c:pt idx="0">
                  <c:v>1.55</c:v>
                </c:pt>
                <c:pt idx="1">
                  <c:v>2.28</c:v>
                </c:pt>
                <c:pt idx="2">
                  <c:v>5.25</c:v>
                </c:pt>
                <c:pt idx="3">
                  <c:v>8.6</c:v>
                </c:pt>
                <c:pt idx="4">
                  <c:v>13.89</c:v>
                </c:pt>
                <c:pt idx="5">
                  <c:v>19.67000000000001</c:v>
                </c:pt>
                <c:pt idx="6">
                  <c:v>25.5</c:v>
                </c:pt>
                <c:pt idx="7">
                  <c:v>31.39</c:v>
                </c:pt>
                <c:pt idx="8">
                  <c:v>37.59</c:v>
                </c:pt>
                <c:pt idx="9">
                  <c:v>42.72</c:v>
                </c:pt>
                <c:pt idx="10">
                  <c:v>48.5</c:v>
                </c:pt>
                <c:pt idx="11">
                  <c:v>53.9</c:v>
                </c:pt>
                <c:pt idx="12">
                  <c:v>59.42</c:v>
                </c:pt>
                <c:pt idx="13">
                  <c:v>66.61</c:v>
                </c:pt>
                <c:pt idx="14">
                  <c:v>71.33</c:v>
                </c:pt>
                <c:pt idx="15">
                  <c:v>76.99</c:v>
                </c:pt>
                <c:pt idx="16">
                  <c:v>82.26</c:v>
                </c:pt>
                <c:pt idx="17">
                  <c:v>88.72</c:v>
                </c:pt>
                <c:pt idx="18">
                  <c:v>93.7</c:v>
                </c:pt>
                <c:pt idx="19">
                  <c:v>98.93</c:v>
                </c:pt>
                <c:pt idx="20">
                  <c:v>105.41</c:v>
                </c:pt>
                <c:pt idx="21">
                  <c:v>111.5</c:v>
                </c:pt>
                <c:pt idx="22">
                  <c:v>116.64</c:v>
                </c:pt>
                <c:pt idx="23">
                  <c:v>121.68</c:v>
                </c:pt>
                <c:pt idx="24">
                  <c:v>127.94</c:v>
                </c:pt>
                <c:pt idx="25">
                  <c:v>133.33</c:v>
                </c:pt>
              </c:numCache>
            </c:numRef>
          </c:xVal>
          <c:yVal>
            <c:numRef>
              <c:f>'BMI-Absorption-70psi'!$H$4:$H$34</c:f>
              <c:numCache>
                <c:formatCode>General</c:formatCode>
                <c:ptCount val="31"/>
                <c:pt idx="0">
                  <c:v>0.4952</c:v>
                </c:pt>
                <c:pt idx="1">
                  <c:v>0.6468</c:v>
                </c:pt>
                <c:pt idx="2">
                  <c:v>1.2143</c:v>
                </c:pt>
                <c:pt idx="3">
                  <c:v>1.6997</c:v>
                </c:pt>
                <c:pt idx="4">
                  <c:v>1.9836</c:v>
                </c:pt>
                <c:pt idx="5">
                  <c:v>2.0416</c:v>
                </c:pt>
                <c:pt idx="6">
                  <c:v>2.1294</c:v>
                </c:pt>
                <c:pt idx="7">
                  <c:v>2.1959</c:v>
                </c:pt>
                <c:pt idx="8">
                  <c:v>2.3176</c:v>
                </c:pt>
                <c:pt idx="9">
                  <c:v>2.396199999999998</c:v>
                </c:pt>
                <c:pt idx="10">
                  <c:v>2.515</c:v>
                </c:pt>
                <c:pt idx="11">
                  <c:v>2.628</c:v>
                </c:pt>
                <c:pt idx="12">
                  <c:v>2.7388</c:v>
                </c:pt>
                <c:pt idx="13">
                  <c:v>2.7962</c:v>
                </c:pt>
                <c:pt idx="14">
                  <c:v>2.815799999999998</c:v>
                </c:pt>
                <c:pt idx="15">
                  <c:v>2.854699999999998</c:v>
                </c:pt>
                <c:pt idx="16">
                  <c:v>2.907</c:v>
                </c:pt>
                <c:pt idx="17">
                  <c:v>2.9576</c:v>
                </c:pt>
                <c:pt idx="18">
                  <c:v>2.988</c:v>
                </c:pt>
                <c:pt idx="19">
                  <c:v>3.0052</c:v>
                </c:pt>
                <c:pt idx="20">
                  <c:v>3.0379</c:v>
                </c:pt>
                <c:pt idx="21">
                  <c:v>3.0443</c:v>
                </c:pt>
                <c:pt idx="22">
                  <c:v>3.0528</c:v>
                </c:pt>
                <c:pt idx="23">
                  <c:v>3.0667</c:v>
                </c:pt>
                <c:pt idx="24">
                  <c:v>3.07</c:v>
                </c:pt>
                <c:pt idx="25">
                  <c:v>3.091299999999999</c:v>
                </c:pt>
              </c:numCache>
            </c:numRef>
          </c:yVal>
          <c:smooth val="0"/>
        </c:ser>
        <c:ser>
          <c:idx val="2"/>
          <c:order val="2"/>
          <c:tx>
            <c:v>70% RH</c:v>
          </c:tx>
          <c:spPr>
            <a:ln w="28575">
              <a:noFill/>
            </a:ln>
          </c:spPr>
          <c:marker>
            <c:symbol val="square"/>
            <c:size val="4"/>
            <c:spPr>
              <a:solidFill>
                <a:srgbClr val="00B050">
                  <a:alpha val="50000"/>
                </a:srgbClr>
              </a:solidFill>
              <a:ln w="12700">
                <a:solidFill>
                  <a:sysClr val="windowText" lastClr="000000"/>
                </a:solidFill>
              </a:ln>
            </c:spPr>
          </c:marker>
          <c:xVal>
            <c:numRef>
              <c:f>'BMI-Absorption-70psi'!$M$4:$M$34</c:f>
              <c:numCache>
                <c:formatCode>General</c:formatCode>
                <c:ptCount val="31"/>
                <c:pt idx="0">
                  <c:v>1.59</c:v>
                </c:pt>
                <c:pt idx="1">
                  <c:v>2.31</c:v>
                </c:pt>
                <c:pt idx="2">
                  <c:v>5.26</c:v>
                </c:pt>
                <c:pt idx="3">
                  <c:v>8.61</c:v>
                </c:pt>
                <c:pt idx="4">
                  <c:v>13.89</c:v>
                </c:pt>
                <c:pt idx="5">
                  <c:v>19.68</c:v>
                </c:pt>
                <c:pt idx="6">
                  <c:v>25.51</c:v>
                </c:pt>
                <c:pt idx="7">
                  <c:v>31.4</c:v>
                </c:pt>
                <c:pt idx="8">
                  <c:v>37.59</c:v>
                </c:pt>
                <c:pt idx="9">
                  <c:v>42.73</c:v>
                </c:pt>
                <c:pt idx="10">
                  <c:v>48.5</c:v>
                </c:pt>
                <c:pt idx="11">
                  <c:v>53.9</c:v>
                </c:pt>
                <c:pt idx="12">
                  <c:v>59.42</c:v>
                </c:pt>
                <c:pt idx="13">
                  <c:v>66.61</c:v>
                </c:pt>
                <c:pt idx="14">
                  <c:v>71.34</c:v>
                </c:pt>
                <c:pt idx="15">
                  <c:v>76.99</c:v>
                </c:pt>
                <c:pt idx="16">
                  <c:v>82.27</c:v>
                </c:pt>
                <c:pt idx="17">
                  <c:v>88.72</c:v>
                </c:pt>
                <c:pt idx="18">
                  <c:v>93.71</c:v>
                </c:pt>
                <c:pt idx="19">
                  <c:v>98.94</c:v>
                </c:pt>
                <c:pt idx="20">
                  <c:v>105.41</c:v>
                </c:pt>
                <c:pt idx="21">
                  <c:v>111.5</c:v>
                </c:pt>
                <c:pt idx="22">
                  <c:v>116.64</c:v>
                </c:pt>
                <c:pt idx="23">
                  <c:v>121.68</c:v>
                </c:pt>
                <c:pt idx="24">
                  <c:v>127.94</c:v>
                </c:pt>
                <c:pt idx="25">
                  <c:v>133.33</c:v>
                </c:pt>
              </c:numCache>
            </c:numRef>
          </c:xVal>
          <c:yVal>
            <c:numRef>
              <c:f>'BMI-Absorption-70psi'!$N$4:$N$34</c:f>
              <c:numCache>
                <c:formatCode>General</c:formatCode>
                <c:ptCount val="31"/>
                <c:pt idx="0">
                  <c:v>0.7263</c:v>
                </c:pt>
                <c:pt idx="1">
                  <c:v>0.9331</c:v>
                </c:pt>
                <c:pt idx="2">
                  <c:v>1.7227</c:v>
                </c:pt>
                <c:pt idx="3">
                  <c:v>2.4788</c:v>
                </c:pt>
                <c:pt idx="4">
                  <c:v>3.0742</c:v>
                </c:pt>
                <c:pt idx="5">
                  <c:v>3.2018</c:v>
                </c:pt>
                <c:pt idx="6">
                  <c:v>3.2474</c:v>
                </c:pt>
                <c:pt idx="7">
                  <c:v>3.3096</c:v>
                </c:pt>
                <c:pt idx="8">
                  <c:v>3.4043</c:v>
                </c:pt>
                <c:pt idx="9">
                  <c:v>3.4603</c:v>
                </c:pt>
                <c:pt idx="10">
                  <c:v>3.5364</c:v>
                </c:pt>
                <c:pt idx="11">
                  <c:v>3.5792</c:v>
                </c:pt>
                <c:pt idx="12">
                  <c:v>3.7132</c:v>
                </c:pt>
                <c:pt idx="13">
                  <c:v>3.743</c:v>
                </c:pt>
                <c:pt idx="14">
                  <c:v>3.7212</c:v>
                </c:pt>
                <c:pt idx="15">
                  <c:v>3.7847</c:v>
                </c:pt>
                <c:pt idx="16">
                  <c:v>3.8906</c:v>
                </c:pt>
                <c:pt idx="17">
                  <c:v>3.9671</c:v>
                </c:pt>
                <c:pt idx="18">
                  <c:v>4.0127</c:v>
                </c:pt>
                <c:pt idx="19">
                  <c:v>4.0585</c:v>
                </c:pt>
                <c:pt idx="20">
                  <c:v>4.0924</c:v>
                </c:pt>
                <c:pt idx="21">
                  <c:v>4.1017</c:v>
                </c:pt>
                <c:pt idx="22">
                  <c:v>4.1381</c:v>
                </c:pt>
                <c:pt idx="23">
                  <c:v>4.142899999999996</c:v>
                </c:pt>
                <c:pt idx="24">
                  <c:v>4.1784</c:v>
                </c:pt>
                <c:pt idx="25">
                  <c:v>4.168899999999986</c:v>
                </c:pt>
              </c:numCache>
            </c:numRef>
          </c:yVal>
          <c:smooth val="0"/>
        </c:ser>
        <c:ser>
          <c:idx val="3"/>
          <c:order val="3"/>
          <c:tx>
            <c:v>99% RH</c:v>
          </c:tx>
          <c:spPr>
            <a:ln w="28575">
              <a:noFill/>
            </a:ln>
          </c:spPr>
          <c:marker>
            <c:symbol val="square"/>
            <c:size val="4"/>
            <c:spPr>
              <a:solidFill>
                <a:srgbClr val="7030A0">
                  <a:alpha val="50000"/>
                </a:srgbClr>
              </a:solidFill>
              <a:ln w="12700">
                <a:solidFill>
                  <a:sysClr val="windowText" lastClr="000000"/>
                </a:solidFill>
              </a:ln>
            </c:spPr>
          </c:marker>
          <c:xVal>
            <c:numRef>
              <c:f>'BMI-Absorption-70psi'!$S$4:$S$34</c:f>
              <c:numCache>
                <c:formatCode>General</c:formatCode>
                <c:ptCount val="31"/>
                <c:pt idx="0">
                  <c:v>1.62</c:v>
                </c:pt>
                <c:pt idx="1">
                  <c:v>2.33</c:v>
                </c:pt>
                <c:pt idx="2">
                  <c:v>5.28</c:v>
                </c:pt>
                <c:pt idx="3">
                  <c:v>8.61</c:v>
                </c:pt>
                <c:pt idx="4">
                  <c:v>13.9</c:v>
                </c:pt>
                <c:pt idx="5">
                  <c:v>19.68</c:v>
                </c:pt>
                <c:pt idx="6">
                  <c:v>25.51</c:v>
                </c:pt>
                <c:pt idx="7">
                  <c:v>31.4</c:v>
                </c:pt>
                <c:pt idx="8">
                  <c:v>37.6</c:v>
                </c:pt>
                <c:pt idx="9">
                  <c:v>42.73</c:v>
                </c:pt>
                <c:pt idx="10">
                  <c:v>48.5</c:v>
                </c:pt>
                <c:pt idx="11">
                  <c:v>53.9</c:v>
                </c:pt>
                <c:pt idx="12">
                  <c:v>59.42</c:v>
                </c:pt>
                <c:pt idx="13">
                  <c:v>66.61</c:v>
                </c:pt>
                <c:pt idx="14">
                  <c:v>71.34</c:v>
                </c:pt>
                <c:pt idx="15">
                  <c:v>76.99</c:v>
                </c:pt>
                <c:pt idx="16">
                  <c:v>82.27</c:v>
                </c:pt>
                <c:pt idx="17">
                  <c:v>88.72</c:v>
                </c:pt>
                <c:pt idx="18">
                  <c:v>93.71</c:v>
                </c:pt>
                <c:pt idx="19">
                  <c:v>98.94</c:v>
                </c:pt>
                <c:pt idx="20">
                  <c:v>105.42</c:v>
                </c:pt>
                <c:pt idx="21">
                  <c:v>111.5</c:v>
                </c:pt>
                <c:pt idx="22">
                  <c:v>116.65</c:v>
                </c:pt>
                <c:pt idx="23">
                  <c:v>121.69</c:v>
                </c:pt>
                <c:pt idx="24">
                  <c:v>127.94</c:v>
                </c:pt>
                <c:pt idx="25">
                  <c:v>133.33</c:v>
                </c:pt>
              </c:numCache>
            </c:numRef>
          </c:xVal>
          <c:yVal>
            <c:numRef>
              <c:f>'BMI-Absorption-70psi'!$T$4:$T$34</c:f>
              <c:numCache>
                <c:formatCode>General</c:formatCode>
                <c:ptCount val="31"/>
                <c:pt idx="0">
                  <c:v>0.8763</c:v>
                </c:pt>
                <c:pt idx="1">
                  <c:v>1.0652</c:v>
                </c:pt>
                <c:pt idx="2">
                  <c:v>1.8868</c:v>
                </c:pt>
                <c:pt idx="3">
                  <c:v>2.5841</c:v>
                </c:pt>
                <c:pt idx="4">
                  <c:v>3.0104</c:v>
                </c:pt>
                <c:pt idx="5">
                  <c:v>3.1183</c:v>
                </c:pt>
                <c:pt idx="6">
                  <c:v>3.19</c:v>
                </c:pt>
                <c:pt idx="7">
                  <c:v>3.2443</c:v>
                </c:pt>
                <c:pt idx="8">
                  <c:v>3.309499999999999</c:v>
                </c:pt>
                <c:pt idx="9">
                  <c:v>3.4899</c:v>
                </c:pt>
                <c:pt idx="10">
                  <c:v>3.6147</c:v>
                </c:pt>
                <c:pt idx="11">
                  <c:v>3.6863</c:v>
                </c:pt>
                <c:pt idx="12">
                  <c:v>3.752699999999999</c:v>
                </c:pt>
                <c:pt idx="13">
                  <c:v>3.821299999999999</c:v>
                </c:pt>
                <c:pt idx="14">
                  <c:v>3.842299999999998</c:v>
                </c:pt>
                <c:pt idx="15">
                  <c:v>3.8772</c:v>
                </c:pt>
                <c:pt idx="16">
                  <c:v>3.9367</c:v>
                </c:pt>
                <c:pt idx="17">
                  <c:v>3.979</c:v>
                </c:pt>
                <c:pt idx="18">
                  <c:v>4.007499999999999</c:v>
                </c:pt>
                <c:pt idx="19">
                  <c:v>4.027799999999996</c:v>
                </c:pt>
                <c:pt idx="20">
                  <c:v>4.0779</c:v>
                </c:pt>
                <c:pt idx="21">
                  <c:v>4.0755</c:v>
                </c:pt>
                <c:pt idx="22">
                  <c:v>4.068499999999998</c:v>
                </c:pt>
                <c:pt idx="23">
                  <c:v>4.0908</c:v>
                </c:pt>
                <c:pt idx="24">
                  <c:v>4.128499999999987</c:v>
                </c:pt>
                <c:pt idx="25">
                  <c:v>4.1304</c:v>
                </c:pt>
              </c:numCache>
            </c:numRef>
          </c:yVal>
          <c:smooth val="0"/>
        </c:ser>
        <c:ser>
          <c:idx val="8"/>
          <c:order val="4"/>
          <c:tx>
            <c:v>70psi-2%HF</c:v>
          </c:tx>
          <c:spPr>
            <a:ln w="12700">
              <a:solidFill>
                <a:srgbClr val="0070C0"/>
              </a:solidFill>
              <a:prstDash val="sysDash"/>
            </a:ln>
          </c:spPr>
          <c:marker>
            <c:symbol val="none"/>
          </c:marker>
          <c:xVal>
            <c:numRef>
              <c:f>'BMI-Absorption-70psi'!$Z$4:$Z$84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'BMI-Absorption-70psi'!$AA$4:$AA$84</c:f>
              <c:numCache>
                <c:formatCode>General</c:formatCode>
                <c:ptCount val="81"/>
                <c:pt idx="0">
                  <c:v>0.04545549</c:v>
                </c:pt>
                <c:pt idx="1">
                  <c:v>0.19301289</c:v>
                </c:pt>
                <c:pt idx="2">
                  <c:v>0.31513466</c:v>
                </c:pt>
                <c:pt idx="3">
                  <c:v>0.38867571</c:v>
                </c:pt>
                <c:pt idx="4">
                  <c:v>0.42727625</c:v>
                </c:pt>
                <c:pt idx="5">
                  <c:v>0.45776057</c:v>
                </c:pt>
                <c:pt idx="6">
                  <c:v>0.49101908</c:v>
                </c:pt>
                <c:pt idx="7">
                  <c:v>0.52877807</c:v>
                </c:pt>
                <c:pt idx="8">
                  <c:v>0.57071397</c:v>
                </c:pt>
                <c:pt idx="9">
                  <c:v>0.61623259</c:v>
                </c:pt>
                <c:pt idx="10">
                  <c:v>0.66469458</c:v>
                </c:pt>
                <c:pt idx="11">
                  <c:v>0.71544401</c:v>
                </c:pt>
                <c:pt idx="12">
                  <c:v>0.76782345</c:v>
                </c:pt>
                <c:pt idx="13">
                  <c:v>0.82118775</c:v>
                </c:pt>
                <c:pt idx="14">
                  <c:v>0.87491682</c:v>
                </c:pt>
                <c:pt idx="15">
                  <c:v>0.92842687</c:v>
                </c:pt>
                <c:pt idx="16">
                  <c:v>0.98117998</c:v>
                </c:pt>
                <c:pt idx="17">
                  <c:v>1.03269175</c:v>
                </c:pt>
                <c:pt idx="18">
                  <c:v>1.08253704</c:v>
                </c:pt>
                <c:pt idx="19">
                  <c:v>1.13035366</c:v>
                </c:pt>
                <c:pt idx="20">
                  <c:v>1.17584415</c:v>
                </c:pt>
                <c:pt idx="21">
                  <c:v>1.21877568</c:v>
                </c:pt>
                <c:pt idx="22">
                  <c:v>1.25897841</c:v>
                </c:pt>
                <c:pt idx="23">
                  <c:v>1.29634231</c:v>
                </c:pt>
                <c:pt idx="24">
                  <c:v>1.33081289</c:v>
                </c:pt>
                <c:pt idx="25">
                  <c:v>1.36238592</c:v>
                </c:pt>
                <c:pt idx="26">
                  <c:v>1.39110157</c:v>
                </c:pt>
                <c:pt idx="27">
                  <c:v>1.41703806</c:v>
                </c:pt>
                <c:pt idx="28">
                  <c:v>1.44030526</c:v>
                </c:pt>
                <c:pt idx="29">
                  <c:v>1.46103824</c:v>
                </c:pt>
                <c:pt idx="30">
                  <c:v>1.4793911</c:v>
                </c:pt>
                <c:pt idx="31">
                  <c:v>1.4955312</c:v>
                </c:pt>
                <c:pt idx="32">
                  <c:v>1.50963387</c:v>
                </c:pt>
                <c:pt idx="33">
                  <c:v>1.52187775</c:v>
                </c:pt>
                <c:pt idx="34">
                  <c:v>1.53244071</c:v>
                </c:pt>
                <c:pt idx="35">
                  <c:v>1.54149648</c:v>
                </c:pt>
                <c:pt idx="36">
                  <c:v>1.54921194</c:v>
                </c:pt>
                <c:pt idx="37">
                  <c:v>1.55574497</c:v>
                </c:pt>
                <c:pt idx="38">
                  <c:v>1.56124293</c:v>
                </c:pt>
                <c:pt idx="39">
                  <c:v>1.56584172</c:v>
                </c:pt>
                <c:pt idx="40">
                  <c:v>1.56966514</c:v>
                </c:pt>
                <c:pt idx="41">
                  <c:v>1.57282484</c:v>
                </c:pt>
                <c:pt idx="42">
                  <c:v>1.57542044</c:v>
                </c:pt>
                <c:pt idx="43">
                  <c:v>1.57753997</c:v>
                </c:pt>
                <c:pt idx="44">
                  <c:v>1.5792605</c:v>
                </c:pt>
                <c:pt idx="45">
                  <c:v>1.58064893</c:v>
                </c:pt>
                <c:pt idx="46">
                  <c:v>1.58176277</c:v>
                </c:pt>
                <c:pt idx="47">
                  <c:v>1.58265112</c:v>
                </c:pt>
                <c:pt idx="48">
                  <c:v>1.5833555</c:v>
                </c:pt>
                <c:pt idx="49">
                  <c:v>1.58391076</c:v>
                </c:pt>
                <c:pt idx="50">
                  <c:v>1.58434594</c:v>
                </c:pt>
              </c:numCache>
            </c:numRef>
          </c:yVal>
          <c:smooth val="0"/>
        </c:ser>
        <c:ser>
          <c:idx val="10"/>
          <c:order val="5"/>
          <c:tx>
            <c:v>70psi-40%hf</c:v>
          </c:tx>
          <c:spPr>
            <a:ln w="12700">
              <a:solidFill>
                <a:srgbClr val="C00000"/>
              </a:solidFill>
              <a:prstDash val="sysDash"/>
            </a:ln>
          </c:spPr>
          <c:marker>
            <c:symbol val="none"/>
          </c:marker>
          <c:xVal>
            <c:numRef>
              <c:f>'BMI-Absorption-70psi'!$AD$4:$AD$84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'BMI-Absorption-70psi'!$AE$4:$AE$84</c:f>
              <c:numCache>
                <c:formatCode>General</c:formatCode>
                <c:ptCount val="81"/>
                <c:pt idx="0">
                  <c:v>0.08775134</c:v>
                </c:pt>
                <c:pt idx="1">
                  <c:v>1.12841105</c:v>
                </c:pt>
                <c:pt idx="2">
                  <c:v>1.80739265</c:v>
                </c:pt>
                <c:pt idx="3">
                  <c:v>2.00232851</c:v>
                </c:pt>
                <c:pt idx="4">
                  <c:v>2.06950039</c:v>
                </c:pt>
                <c:pt idx="5">
                  <c:v>2.13574387</c:v>
                </c:pt>
                <c:pt idx="6">
                  <c:v>2.21032636</c:v>
                </c:pt>
                <c:pt idx="7">
                  <c:v>2.29075504</c:v>
                </c:pt>
                <c:pt idx="8">
                  <c:v>2.37415829</c:v>
                </c:pt>
                <c:pt idx="9">
                  <c:v>2.45782253</c:v>
                </c:pt>
                <c:pt idx="10">
                  <c:v>2.53933399</c:v>
                </c:pt>
                <c:pt idx="11">
                  <c:v>2.616679229999998</c:v>
                </c:pt>
                <c:pt idx="12">
                  <c:v>2.68830452</c:v>
                </c:pt>
                <c:pt idx="13">
                  <c:v>2.7531348</c:v>
                </c:pt>
                <c:pt idx="14">
                  <c:v>2.81055652</c:v>
                </c:pt>
                <c:pt idx="15">
                  <c:v>2.86037151</c:v>
                </c:pt>
                <c:pt idx="16">
                  <c:v>2.9027308</c:v>
                </c:pt>
                <c:pt idx="17">
                  <c:v>2.938057339999998</c:v>
                </c:pt>
                <c:pt idx="18">
                  <c:v>2.96696618</c:v>
                </c:pt>
                <c:pt idx="19">
                  <c:v>2.99018902</c:v>
                </c:pt>
                <c:pt idx="20">
                  <c:v>3.00850814</c:v>
                </c:pt>
                <c:pt idx="21">
                  <c:v>3.02270282</c:v>
                </c:pt>
                <c:pt idx="22">
                  <c:v>3.03350939</c:v>
                </c:pt>
                <c:pt idx="23">
                  <c:v>3.04159449</c:v>
                </c:pt>
                <c:pt idx="24">
                  <c:v>3.04754014</c:v>
                </c:pt>
                <c:pt idx="25">
                  <c:v>3.051838489999998</c:v>
                </c:pt>
                <c:pt idx="26">
                  <c:v>3.05489382</c:v>
                </c:pt>
                <c:pt idx="27">
                  <c:v>3.05702941</c:v>
                </c:pt>
                <c:pt idx="28">
                  <c:v>3.05849746</c:v>
                </c:pt>
                <c:pt idx="29">
                  <c:v>3.05949003</c:v>
                </c:pt>
                <c:pt idx="30">
                  <c:v>3.06015015</c:v>
                </c:pt>
                <c:pt idx="31">
                  <c:v>3.06058202</c:v>
                </c:pt>
                <c:pt idx="32">
                  <c:v>3.060859999999999</c:v>
                </c:pt>
                <c:pt idx="33">
                  <c:v>3.06103604</c:v>
                </c:pt>
                <c:pt idx="34">
                  <c:v>3.06114572</c:v>
                </c:pt>
                <c:pt idx="35">
                  <c:v>3.06121297</c:v>
                </c:pt>
                <c:pt idx="36">
                  <c:v>3.06125355</c:v>
                </c:pt>
                <c:pt idx="37">
                  <c:v>3.06127764</c:v>
                </c:pt>
                <c:pt idx="38">
                  <c:v>3.06129171</c:v>
                </c:pt>
                <c:pt idx="39">
                  <c:v>3.06129981</c:v>
                </c:pt>
                <c:pt idx="40">
                  <c:v>3.06130439</c:v>
                </c:pt>
                <c:pt idx="41">
                  <c:v>3.06130694</c:v>
                </c:pt>
                <c:pt idx="42">
                  <c:v>3.06130834</c:v>
                </c:pt>
                <c:pt idx="43">
                  <c:v>3.06130909</c:v>
                </c:pt>
                <c:pt idx="44">
                  <c:v>3.06130949</c:v>
                </c:pt>
                <c:pt idx="45">
                  <c:v>3.0613097</c:v>
                </c:pt>
                <c:pt idx="46">
                  <c:v>3.06130981</c:v>
                </c:pt>
                <c:pt idx="47">
                  <c:v>3.06130987</c:v>
                </c:pt>
                <c:pt idx="48">
                  <c:v>3.06130989</c:v>
                </c:pt>
                <c:pt idx="49">
                  <c:v>3.06130991</c:v>
                </c:pt>
                <c:pt idx="50">
                  <c:v>3.06130991</c:v>
                </c:pt>
              </c:numCache>
            </c:numRef>
          </c:yVal>
          <c:smooth val="0"/>
        </c:ser>
        <c:ser>
          <c:idx val="12"/>
          <c:order val="6"/>
          <c:tx>
            <c:v>70psi70%hf</c:v>
          </c:tx>
          <c:spPr>
            <a:ln w="12700">
              <a:solidFill>
                <a:srgbClr val="00B050"/>
              </a:solidFill>
              <a:prstDash val="sysDash"/>
            </a:ln>
          </c:spPr>
          <c:marker>
            <c:symbol val="none"/>
          </c:marker>
          <c:xVal>
            <c:numRef>
              <c:f>'BMI-Absorption-70psi'!$AH$4:$AH$84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'BMI-Absorption-70psi'!$AI$4:$AI$84</c:f>
              <c:numCache>
                <c:formatCode>General</c:formatCode>
                <c:ptCount val="81"/>
                <c:pt idx="0">
                  <c:v>0.12152782</c:v>
                </c:pt>
                <c:pt idx="1">
                  <c:v>1.66742369</c:v>
                </c:pt>
                <c:pt idx="2">
                  <c:v>2.76076531</c:v>
                </c:pt>
                <c:pt idx="3">
                  <c:v>3.12564629</c:v>
                </c:pt>
                <c:pt idx="4">
                  <c:v>3.20199138</c:v>
                </c:pt>
                <c:pt idx="5">
                  <c:v>3.24393378</c:v>
                </c:pt>
                <c:pt idx="6">
                  <c:v>3.29012132</c:v>
                </c:pt>
                <c:pt idx="7">
                  <c:v>3.34188421</c:v>
                </c:pt>
                <c:pt idx="8">
                  <c:v>3.39811337</c:v>
                </c:pt>
                <c:pt idx="9">
                  <c:v>3.45759429</c:v>
                </c:pt>
                <c:pt idx="10">
                  <c:v>3.51911173</c:v>
                </c:pt>
                <c:pt idx="11">
                  <c:v>3.58149053</c:v>
                </c:pt>
                <c:pt idx="12">
                  <c:v>3.64363123</c:v>
                </c:pt>
                <c:pt idx="13">
                  <c:v>3.70453948</c:v>
                </c:pt>
                <c:pt idx="14">
                  <c:v>3.76334864</c:v>
                </c:pt>
                <c:pt idx="15">
                  <c:v>3.81933493</c:v>
                </c:pt>
                <c:pt idx="16">
                  <c:v>3.871925179999998</c:v>
                </c:pt>
                <c:pt idx="17">
                  <c:v>3.92069763</c:v>
                </c:pt>
                <c:pt idx="18">
                  <c:v>3.9653766</c:v>
                </c:pt>
                <c:pt idx="19">
                  <c:v>4.005821959999989</c:v>
                </c:pt>
                <c:pt idx="20">
                  <c:v>4.042014639999968</c:v>
                </c:pt>
                <c:pt idx="21">
                  <c:v>4.074039449999995</c:v>
                </c:pt>
                <c:pt idx="22">
                  <c:v>4.102066339999979</c:v>
                </c:pt>
                <c:pt idx="23">
                  <c:v>4.126331339999976</c:v>
                </c:pt>
                <c:pt idx="24">
                  <c:v>4.147117979999959</c:v>
                </c:pt>
                <c:pt idx="25">
                  <c:v>4.164740109999979</c:v>
                </c:pt>
                <c:pt idx="26">
                  <c:v>4.179526619999995</c:v>
                </c:pt>
                <c:pt idx="27">
                  <c:v>4.19180843</c:v>
                </c:pt>
                <c:pt idx="28">
                  <c:v>4.201907859999979</c:v>
                </c:pt>
                <c:pt idx="29">
                  <c:v>4.210130569999967</c:v>
                </c:pt>
                <c:pt idx="30">
                  <c:v>4.21675967</c:v>
                </c:pt>
                <c:pt idx="31">
                  <c:v>4.22205208</c:v>
                </c:pt>
                <c:pt idx="32">
                  <c:v>4.226236549999979</c:v>
                </c:pt>
                <c:pt idx="33">
                  <c:v>4.229513349999984</c:v>
                </c:pt>
                <c:pt idx="34">
                  <c:v>4.232054919999979</c:v>
                </c:pt>
                <c:pt idx="35">
                  <c:v>4.23400759</c:v>
                </c:pt>
                <c:pt idx="36">
                  <c:v>4.23549367</c:v>
                </c:pt>
                <c:pt idx="37">
                  <c:v>4.236614069999995</c:v>
                </c:pt>
                <c:pt idx="38">
                  <c:v>4.237450889999995</c:v>
                </c:pt>
                <c:pt idx="39">
                  <c:v>4.23807011</c:v>
                </c:pt>
                <c:pt idx="40">
                  <c:v>4.23852407</c:v>
                </c:pt>
                <c:pt idx="41">
                  <c:v>4.23885381</c:v>
                </c:pt>
                <c:pt idx="42">
                  <c:v>4.23909112</c:v>
                </c:pt>
                <c:pt idx="43">
                  <c:v>4.23926034</c:v>
                </c:pt>
                <c:pt idx="44">
                  <c:v>4.23937991</c:v>
                </c:pt>
                <c:pt idx="45">
                  <c:v>4.23946363</c:v>
                </c:pt>
                <c:pt idx="46">
                  <c:v>4.23952172</c:v>
                </c:pt>
                <c:pt idx="47">
                  <c:v>4.23956165</c:v>
                </c:pt>
                <c:pt idx="48">
                  <c:v>4.239588859999989</c:v>
                </c:pt>
                <c:pt idx="49">
                  <c:v>4.23960723</c:v>
                </c:pt>
                <c:pt idx="50">
                  <c:v>4.23961952</c:v>
                </c:pt>
              </c:numCache>
            </c:numRef>
          </c:yVal>
          <c:smooth val="0"/>
        </c:ser>
        <c:ser>
          <c:idx val="14"/>
          <c:order val="7"/>
          <c:tx>
            <c:v>70psi99%hf</c:v>
          </c:tx>
          <c:spPr>
            <a:ln w="12700">
              <a:solidFill>
                <a:srgbClr val="7030A0"/>
              </a:solidFill>
              <a:prstDash val="sysDash"/>
            </a:ln>
          </c:spPr>
          <c:marker>
            <c:symbol val="none"/>
          </c:marker>
          <c:xVal>
            <c:numRef>
              <c:f>'BMI-Absorption-70psi'!$AL$4:$AL$84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'BMI-Absorption-70psi'!$AM$4:$AM$84</c:f>
              <c:numCache>
                <c:formatCode>General</c:formatCode>
                <c:ptCount val="81"/>
                <c:pt idx="0">
                  <c:v>0.11701765</c:v>
                </c:pt>
                <c:pt idx="1">
                  <c:v>1.80313061</c:v>
                </c:pt>
                <c:pt idx="2">
                  <c:v>2.79885492</c:v>
                </c:pt>
                <c:pt idx="3">
                  <c:v>3.01818932</c:v>
                </c:pt>
                <c:pt idx="4">
                  <c:v>3.08918268</c:v>
                </c:pt>
                <c:pt idx="5">
                  <c:v>3.16344332</c:v>
                </c:pt>
                <c:pt idx="6">
                  <c:v>3.24654798</c:v>
                </c:pt>
                <c:pt idx="7">
                  <c:v>3.33512545</c:v>
                </c:pt>
                <c:pt idx="8">
                  <c:v>3.4257296</c:v>
                </c:pt>
                <c:pt idx="9">
                  <c:v>3.515205889999998</c:v>
                </c:pt>
                <c:pt idx="10">
                  <c:v>3.600858419999997</c:v>
                </c:pt>
                <c:pt idx="11">
                  <c:v>3.68055849</c:v>
                </c:pt>
                <c:pt idx="12">
                  <c:v>3.75279313</c:v>
                </c:pt>
                <c:pt idx="13">
                  <c:v>3.816657879999997</c:v>
                </c:pt>
                <c:pt idx="14">
                  <c:v>3.871803869999999</c:v>
                </c:pt>
                <c:pt idx="15">
                  <c:v>3.918352039999998</c:v>
                </c:pt>
                <c:pt idx="16">
                  <c:v>3.956788739999999</c:v>
                </c:pt>
                <c:pt idx="17">
                  <c:v>3.98785605</c:v>
                </c:pt>
                <c:pt idx="18">
                  <c:v>4.012447739999993</c:v>
                </c:pt>
                <c:pt idx="19">
                  <c:v>4.031518949999989</c:v>
                </c:pt>
                <c:pt idx="20">
                  <c:v>4.046014109999993</c:v>
                </c:pt>
                <c:pt idx="21">
                  <c:v>4.056814759999976</c:v>
                </c:pt>
                <c:pt idx="22">
                  <c:v>4.064706399999979</c:v>
                </c:pt>
                <c:pt idx="23">
                  <c:v>4.07036188</c:v>
                </c:pt>
                <c:pt idx="24">
                  <c:v>4.074337819999979</c:v>
                </c:pt>
                <c:pt idx="25">
                  <c:v>4.077080319999979</c:v>
                </c:pt>
                <c:pt idx="26">
                  <c:v>4.078936659999976</c:v>
                </c:pt>
                <c:pt idx="27">
                  <c:v>4.080169839999995</c:v>
                </c:pt>
                <c:pt idx="28">
                  <c:v>4.080973919999995</c:v>
                </c:pt>
                <c:pt idx="29">
                  <c:v>4.08148858</c:v>
                </c:pt>
                <c:pt idx="30">
                  <c:v>4.08181198</c:v>
                </c:pt>
                <c:pt idx="31">
                  <c:v>4.082011499999997</c:v>
                </c:pt>
                <c:pt idx="32">
                  <c:v>4.082132359999976</c:v>
                </c:pt>
                <c:pt idx="33">
                  <c:v>4.082204249999979</c:v>
                </c:pt>
                <c:pt idx="34">
                  <c:v>4.082246249999995</c:v>
                </c:pt>
                <c:pt idx="35">
                  <c:v>4.08227034</c:v>
                </c:pt>
                <c:pt idx="36">
                  <c:v>4.08228391</c:v>
                </c:pt>
                <c:pt idx="37">
                  <c:v>4.08229142</c:v>
                </c:pt>
                <c:pt idx="38">
                  <c:v>4.0822955</c:v>
                </c:pt>
                <c:pt idx="39">
                  <c:v>4.082297679999995</c:v>
                </c:pt>
                <c:pt idx="40">
                  <c:v>4.08229882</c:v>
                </c:pt>
                <c:pt idx="41">
                  <c:v>4.08229941</c:v>
                </c:pt>
                <c:pt idx="42">
                  <c:v>4.0822997</c:v>
                </c:pt>
                <c:pt idx="43">
                  <c:v>4.08229985</c:v>
                </c:pt>
                <c:pt idx="44">
                  <c:v>4.08229993</c:v>
                </c:pt>
                <c:pt idx="45">
                  <c:v>4.08229996</c:v>
                </c:pt>
                <c:pt idx="46">
                  <c:v>4.08229998</c:v>
                </c:pt>
                <c:pt idx="47">
                  <c:v>4.08229998</c:v>
                </c:pt>
                <c:pt idx="48">
                  <c:v>4.08229999</c:v>
                </c:pt>
                <c:pt idx="49">
                  <c:v>4.08229999</c:v>
                </c:pt>
                <c:pt idx="50">
                  <c:v>4.08229999</c:v>
                </c:pt>
              </c:numCache>
            </c:numRef>
          </c:yVal>
          <c:smooth val="0"/>
        </c:ser>
        <c:dLbls>
          <c:showLegendKey val="0"/>
          <c:showVal val="0"/>
          <c:showCatName val="0"/>
          <c:showSerName val="0"/>
          <c:showPercent val="0"/>
          <c:showBubbleSize val="0"/>
        </c:dLbls>
        <c:axId val="521910520"/>
        <c:axId val="521902312"/>
      </c:scatterChart>
      <c:valAx>
        <c:axId val="521910520"/>
        <c:scaling>
          <c:orientation val="minMax"/>
          <c:max val="21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521902312"/>
        <c:crosses val="autoZero"/>
        <c:crossBetween val="midCat"/>
        <c:majorUnit val="50.0"/>
        <c:minorUnit val="12.5"/>
      </c:valAx>
      <c:valAx>
        <c:axId val="521902312"/>
        <c:scaling>
          <c:orientation val="minMax"/>
          <c:max val="10.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521910520"/>
        <c:crosses val="autoZero"/>
        <c:crossBetween val="midCat"/>
        <c:majorUnit val="2.0"/>
        <c:minorUnit val="0.5"/>
      </c:valAx>
      <c:spPr>
        <a:ln w="19050">
          <a:solidFill>
            <a:sysClr val="windowText" lastClr="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439910583210997"/>
          <c:y val="0.0374139690871974"/>
          <c:w val="0.475343654077139"/>
          <c:h val="0.101097987751531"/>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5724009075137"/>
          <c:y val="0.0333333333333333"/>
          <c:w val="0.745862805284932"/>
          <c:h val="0.793114975211432"/>
        </c:manualLayout>
      </c:layout>
      <c:scatterChart>
        <c:scatterStyle val="lineMarker"/>
        <c:varyColors val="0"/>
        <c:ser>
          <c:idx val="0"/>
          <c:order val="0"/>
          <c:tx>
            <c:v>2% RH</c:v>
          </c:tx>
          <c:spPr>
            <a:ln w="28575">
              <a:noFill/>
            </a:ln>
          </c:spPr>
          <c:marker>
            <c:symbol val="circle"/>
            <c:size val="4"/>
            <c:spPr>
              <a:solidFill>
                <a:srgbClr val="0070C0">
                  <a:alpha val="50000"/>
                </a:srgbClr>
              </a:solidFill>
              <a:ln w="12700">
                <a:solidFill>
                  <a:schemeClr val="tx1"/>
                </a:solidFill>
              </a:ln>
            </c:spPr>
          </c:marker>
          <c:xVal>
            <c:numRef>
              <c:f>'TQ-Absorption-10psi'!$A$4:$A$34</c:f>
              <c:numCache>
                <c:formatCode>General</c:formatCode>
                <c:ptCount val="31"/>
                <c:pt idx="0">
                  <c:v>1.32</c:v>
                </c:pt>
                <c:pt idx="1">
                  <c:v>2.41</c:v>
                </c:pt>
                <c:pt idx="2">
                  <c:v>5.189999999999999</c:v>
                </c:pt>
                <c:pt idx="3">
                  <c:v>7.31</c:v>
                </c:pt>
                <c:pt idx="4">
                  <c:v>14.0</c:v>
                </c:pt>
                <c:pt idx="5">
                  <c:v>19.73</c:v>
                </c:pt>
                <c:pt idx="6">
                  <c:v>26.91</c:v>
                </c:pt>
                <c:pt idx="7">
                  <c:v>30.69</c:v>
                </c:pt>
                <c:pt idx="8">
                  <c:v>37.34</c:v>
                </c:pt>
                <c:pt idx="9">
                  <c:v>41.88</c:v>
                </c:pt>
                <c:pt idx="10">
                  <c:v>47.03</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130.24</c:v>
                </c:pt>
              </c:numCache>
            </c:numRef>
          </c:xVal>
          <c:yVal>
            <c:numRef>
              <c:f>'TQ-Absorption-10psi'!$B$4:$B$34</c:f>
              <c:numCache>
                <c:formatCode>General</c:formatCode>
                <c:ptCount val="31"/>
                <c:pt idx="0">
                  <c:v>0.114</c:v>
                </c:pt>
                <c:pt idx="1">
                  <c:v>0.1234</c:v>
                </c:pt>
                <c:pt idx="2">
                  <c:v>0.145</c:v>
                </c:pt>
                <c:pt idx="3">
                  <c:v>0.1563</c:v>
                </c:pt>
                <c:pt idx="4">
                  <c:v>0.187</c:v>
                </c:pt>
                <c:pt idx="5">
                  <c:v>0.2181</c:v>
                </c:pt>
                <c:pt idx="6">
                  <c:v>0.2244</c:v>
                </c:pt>
                <c:pt idx="7">
                  <c:v>0.2365</c:v>
                </c:pt>
                <c:pt idx="8">
                  <c:v>0.2685</c:v>
                </c:pt>
                <c:pt idx="9">
                  <c:v>0.2744</c:v>
                </c:pt>
                <c:pt idx="10">
                  <c:v>0.2754</c:v>
                </c:pt>
                <c:pt idx="11">
                  <c:v>0.3163</c:v>
                </c:pt>
                <c:pt idx="12">
                  <c:v>0.345</c:v>
                </c:pt>
                <c:pt idx="13">
                  <c:v>0.3658</c:v>
                </c:pt>
                <c:pt idx="14">
                  <c:v>0.3923</c:v>
                </c:pt>
                <c:pt idx="15">
                  <c:v>0.4248</c:v>
                </c:pt>
                <c:pt idx="16">
                  <c:v>0.4463</c:v>
                </c:pt>
                <c:pt idx="17">
                  <c:v>0.4541</c:v>
                </c:pt>
                <c:pt idx="18">
                  <c:v>0.4843</c:v>
                </c:pt>
                <c:pt idx="19">
                  <c:v>0.4988</c:v>
                </c:pt>
                <c:pt idx="20">
                  <c:v>0.5018</c:v>
                </c:pt>
                <c:pt idx="21">
                  <c:v>0.517</c:v>
                </c:pt>
                <c:pt idx="22">
                  <c:v>0.517</c:v>
                </c:pt>
                <c:pt idx="23">
                  <c:v>0.5199</c:v>
                </c:pt>
                <c:pt idx="24">
                  <c:v>0.5329</c:v>
                </c:pt>
              </c:numCache>
            </c:numRef>
          </c:yVal>
          <c:smooth val="0"/>
        </c:ser>
        <c:ser>
          <c:idx val="1"/>
          <c:order val="1"/>
          <c:tx>
            <c:v>40% RH</c:v>
          </c:tx>
          <c:spPr>
            <a:ln w="28575">
              <a:noFill/>
            </a:ln>
          </c:spPr>
          <c:marker>
            <c:symbol val="circle"/>
            <c:size val="4"/>
            <c:spPr>
              <a:solidFill>
                <a:srgbClr val="C00000">
                  <a:alpha val="50000"/>
                </a:srgbClr>
              </a:solidFill>
              <a:ln w="12700">
                <a:solidFill>
                  <a:sysClr val="windowText" lastClr="000000"/>
                </a:solidFill>
              </a:ln>
            </c:spPr>
          </c:marker>
          <c:xVal>
            <c:numRef>
              <c:f>'TQ-Absorption-10psi'!$G$4:$G$34</c:f>
              <c:numCache>
                <c:formatCode>General</c:formatCode>
                <c:ptCount val="31"/>
                <c:pt idx="0">
                  <c:v>1.37</c:v>
                </c:pt>
                <c:pt idx="1">
                  <c:v>2.44</c:v>
                </c:pt>
                <c:pt idx="2">
                  <c:v>5.2</c:v>
                </c:pt>
                <c:pt idx="3">
                  <c:v>7.319999999999998</c:v>
                </c:pt>
                <c:pt idx="4">
                  <c:v>14.0</c:v>
                </c:pt>
                <c:pt idx="5">
                  <c:v>19.73</c:v>
                </c:pt>
                <c:pt idx="6">
                  <c:v>26.91</c:v>
                </c:pt>
                <c:pt idx="7">
                  <c:v>30.7</c:v>
                </c:pt>
                <c:pt idx="8">
                  <c:v>37.34</c:v>
                </c:pt>
                <c:pt idx="9">
                  <c:v>41.88</c:v>
                </c:pt>
                <c:pt idx="10">
                  <c:v>47.03</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130.24</c:v>
                </c:pt>
              </c:numCache>
            </c:numRef>
          </c:xVal>
          <c:yVal>
            <c:numRef>
              <c:f>'TQ-Absorption-10psi'!$H$4:$H$34</c:f>
              <c:numCache>
                <c:formatCode>General</c:formatCode>
                <c:ptCount val="31"/>
                <c:pt idx="0">
                  <c:v>0.1274</c:v>
                </c:pt>
                <c:pt idx="1">
                  <c:v>0.1528</c:v>
                </c:pt>
                <c:pt idx="2">
                  <c:v>0.1912</c:v>
                </c:pt>
                <c:pt idx="3">
                  <c:v>0.2114</c:v>
                </c:pt>
                <c:pt idx="4">
                  <c:v>0.2516</c:v>
                </c:pt>
                <c:pt idx="5">
                  <c:v>0.2807</c:v>
                </c:pt>
                <c:pt idx="6">
                  <c:v>0.2919</c:v>
                </c:pt>
                <c:pt idx="7">
                  <c:v>0.2876</c:v>
                </c:pt>
                <c:pt idx="8">
                  <c:v>0.3243</c:v>
                </c:pt>
                <c:pt idx="9">
                  <c:v>0.3261</c:v>
                </c:pt>
                <c:pt idx="10">
                  <c:v>0.3347</c:v>
                </c:pt>
                <c:pt idx="11">
                  <c:v>0.3492</c:v>
                </c:pt>
                <c:pt idx="12">
                  <c:v>0.3731</c:v>
                </c:pt>
                <c:pt idx="13">
                  <c:v>0.3921</c:v>
                </c:pt>
                <c:pt idx="14">
                  <c:v>0.4587</c:v>
                </c:pt>
                <c:pt idx="15">
                  <c:v>0.4923</c:v>
                </c:pt>
                <c:pt idx="16">
                  <c:v>0.5349</c:v>
                </c:pt>
                <c:pt idx="17">
                  <c:v>0.5477</c:v>
                </c:pt>
                <c:pt idx="18">
                  <c:v>0.577</c:v>
                </c:pt>
                <c:pt idx="19">
                  <c:v>0.5948</c:v>
                </c:pt>
                <c:pt idx="20">
                  <c:v>0.5995</c:v>
                </c:pt>
                <c:pt idx="21">
                  <c:v>0.6167</c:v>
                </c:pt>
                <c:pt idx="22">
                  <c:v>0.632</c:v>
                </c:pt>
                <c:pt idx="23">
                  <c:v>0.6304</c:v>
                </c:pt>
                <c:pt idx="24">
                  <c:v>0.6414</c:v>
                </c:pt>
              </c:numCache>
            </c:numRef>
          </c:yVal>
          <c:smooth val="0"/>
        </c:ser>
        <c:ser>
          <c:idx val="2"/>
          <c:order val="2"/>
          <c:tx>
            <c:v>70% RH</c:v>
          </c:tx>
          <c:spPr>
            <a:ln w="28575">
              <a:noFill/>
            </a:ln>
          </c:spPr>
          <c:marker>
            <c:symbol val="circle"/>
            <c:size val="4"/>
            <c:spPr>
              <a:solidFill>
                <a:srgbClr val="00B050">
                  <a:alpha val="50000"/>
                </a:srgbClr>
              </a:solidFill>
              <a:ln w="12700">
                <a:solidFill>
                  <a:sysClr val="windowText" lastClr="000000"/>
                </a:solidFill>
              </a:ln>
            </c:spPr>
          </c:marker>
          <c:xVal>
            <c:numRef>
              <c:f>'TQ-Absorption-10psi'!$M$4:$M$34</c:f>
              <c:numCache>
                <c:formatCode>General</c:formatCode>
                <c:ptCount val="31"/>
                <c:pt idx="0">
                  <c:v>1.41</c:v>
                </c:pt>
                <c:pt idx="1">
                  <c:v>2.46</c:v>
                </c:pt>
                <c:pt idx="2">
                  <c:v>5.22</c:v>
                </c:pt>
                <c:pt idx="3">
                  <c:v>7.33</c:v>
                </c:pt>
                <c:pt idx="4">
                  <c:v>14.0</c:v>
                </c:pt>
                <c:pt idx="5">
                  <c:v>19.73</c:v>
                </c:pt>
                <c:pt idx="6">
                  <c:v>26.91</c:v>
                </c:pt>
                <c:pt idx="7">
                  <c:v>30.7</c:v>
                </c:pt>
                <c:pt idx="8">
                  <c:v>37.34</c:v>
                </c:pt>
                <c:pt idx="9">
                  <c:v>41.88</c:v>
                </c:pt>
                <c:pt idx="10">
                  <c:v>47.04</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130.24</c:v>
                </c:pt>
              </c:numCache>
            </c:numRef>
          </c:xVal>
          <c:yVal>
            <c:numRef>
              <c:f>'TQ-Absorption-10psi'!$N$4:$N$34</c:f>
              <c:numCache>
                <c:formatCode>General</c:formatCode>
                <c:ptCount val="31"/>
                <c:pt idx="0">
                  <c:v>0.1758</c:v>
                </c:pt>
                <c:pt idx="1">
                  <c:v>0.2176</c:v>
                </c:pt>
                <c:pt idx="2">
                  <c:v>0.2874</c:v>
                </c:pt>
                <c:pt idx="3">
                  <c:v>0.3396</c:v>
                </c:pt>
                <c:pt idx="4">
                  <c:v>0.4217</c:v>
                </c:pt>
                <c:pt idx="5">
                  <c:v>0.4942</c:v>
                </c:pt>
                <c:pt idx="6">
                  <c:v>0.5039</c:v>
                </c:pt>
                <c:pt idx="7">
                  <c:v>0.5087</c:v>
                </c:pt>
                <c:pt idx="8">
                  <c:v>0.5546</c:v>
                </c:pt>
                <c:pt idx="9">
                  <c:v>0.564</c:v>
                </c:pt>
                <c:pt idx="10">
                  <c:v>0.56</c:v>
                </c:pt>
                <c:pt idx="11">
                  <c:v>0.5832</c:v>
                </c:pt>
                <c:pt idx="12">
                  <c:v>0.6071</c:v>
                </c:pt>
                <c:pt idx="13">
                  <c:v>0.6303</c:v>
                </c:pt>
                <c:pt idx="14">
                  <c:v>0.6626</c:v>
                </c:pt>
                <c:pt idx="15">
                  <c:v>0.6792</c:v>
                </c:pt>
                <c:pt idx="16">
                  <c:v>0.7477</c:v>
                </c:pt>
                <c:pt idx="17">
                  <c:v>0.7601</c:v>
                </c:pt>
                <c:pt idx="18">
                  <c:v>0.7996</c:v>
                </c:pt>
                <c:pt idx="19">
                  <c:v>0.8282</c:v>
                </c:pt>
                <c:pt idx="20">
                  <c:v>0.8249</c:v>
                </c:pt>
                <c:pt idx="21">
                  <c:v>0.8437</c:v>
                </c:pt>
                <c:pt idx="22">
                  <c:v>0.8698</c:v>
                </c:pt>
                <c:pt idx="23">
                  <c:v>0.858</c:v>
                </c:pt>
                <c:pt idx="24">
                  <c:v>0.8897</c:v>
                </c:pt>
              </c:numCache>
            </c:numRef>
          </c:yVal>
          <c:smooth val="0"/>
        </c:ser>
        <c:ser>
          <c:idx val="3"/>
          <c:order val="3"/>
          <c:tx>
            <c:v>99% RH</c:v>
          </c:tx>
          <c:spPr>
            <a:ln w="28575">
              <a:noFill/>
            </a:ln>
          </c:spPr>
          <c:marker>
            <c:symbol val="circle"/>
            <c:size val="4"/>
            <c:spPr>
              <a:solidFill>
                <a:srgbClr val="7030A0">
                  <a:alpha val="50000"/>
                </a:srgbClr>
              </a:solidFill>
              <a:ln w="12700">
                <a:solidFill>
                  <a:sysClr val="windowText" lastClr="000000"/>
                </a:solidFill>
              </a:ln>
            </c:spPr>
          </c:marker>
          <c:xVal>
            <c:numRef>
              <c:f>'TQ-Absorption-10psi'!$S$4:$S$34</c:f>
              <c:numCache>
                <c:formatCode>General</c:formatCode>
                <c:ptCount val="31"/>
                <c:pt idx="0">
                  <c:v>1.45</c:v>
                </c:pt>
                <c:pt idx="1">
                  <c:v>2.48</c:v>
                </c:pt>
                <c:pt idx="2">
                  <c:v>5.23</c:v>
                </c:pt>
                <c:pt idx="3">
                  <c:v>7.34</c:v>
                </c:pt>
                <c:pt idx="4">
                  <c:v>14.01</c:v>
                </c:pt>
                <c:pt idx="5">
                  <c:v>19.73999999999999</c:v>
                </c:pt>
                <c:pt idx="6">
                  <c:v>26.91</c:v>
                </c:pt>
                <c:pt idx="7">
                  <c:v>30.7</c:v>
                </c:pt>
                <c:pt idx="8">
                  <c:v>37.34</c:v>
                </c:pt>
                <c:pt idx="9">
                  <c:v>41.88</c:v>
                </c:pt>
                <c:pt idx="10">
                  <c:v>47.04</c:v>
                </c:pt>
                <c:pt idx="11">
                  <c:v>52.07</c:v>
                </c:pt>
                <c:pt idx="12">
                  <c:v>56.52</c:v>
                </c:pt>
                <c:pt idx="13">
                  <c:v>62.38</c:v>
                </c:pt>
                <c:pt idx="14">
                  <c:v>68.78</c:v>
                </c:pt>
                <c:pt idx="15">
                  <c:v>77.63</c:v>
                </c:pt>
                <c:pt idx="16">
                  <c:v>85.28</c:v>
                </c:pt>
                <c:pt idx="17">
                  <c:v>90.74</c:v>
                </c:pt>
                <c:pt idx="18">
                  <c:v>97.25</c:v>
                </c:pt>
                <c:pt idx="19">
                  <c:v>102.06</c:v>
                </c:pt>
                <c:pt idx="20">
                  <c:v>108.22</c:v>
                </c:pt>
                <c:pt idx="21">
                  <c:v>113.95</c:v>
                </c:pt>
                <c:pt idx="22">
                  <c:v>119.39</c:v>
                </c:pt>
                <c:pt idx="23">
                  <c:v>124.42</c:v>
                </c:pt>
                <c:pt idx="24">
                  <c:v>130.25</c:v>
                </c:pt>
              </c:numCache>
            </c:numRef>
          </c:xVal>
          <c:yVal>
            <c:numRef>
              <c:f>'TQ-Absorption-10psi'!$T$4:$T$34</c:f>
              <c:numCache>
                <c:formatCode>General</c:formatCode>
                <c:ptCount val="31"/>
                <c:pt idx="0">
                  <c:v>0.2861</c:v>
                </c:pt>
                <c:pt idx="1">
                  <c:v>0.3429</c:v>
                </c:pt>
                <c:pt idx="2">
                  <c:v>0.4552</c:v>
                </c:pt>
                <c:pt idx="3">
                  <c:v>0.541</c:v>
                </c:pt>
                <c:pt idx="4">
                  <c:v>0.7082</c:v>
                </c:pt>
                <c:pt idx="5">
                  <c:v>0.8196</c:v>
                </c:pt>
                <c:pt idx="6">
                  <c:v>0.8464</c:v>
                </c:pt>
                <c:pt idx="7">
                  <c:v>0.8552</c:v>
                </c:pt>
                <c:pt idx="8">
                  <c:v>0.9091</c:v>
                </c:pt>
                <c:pt idx="9">
                  <c:v>0.9283</c:v>
                </c:pt>
                <c:pt idx="10">
                  <c:v>0.9287</c:v>
                </c:pt>
                <c:pt idx="11">
                  <c:v>0.927</c:v>
                </c:pt>
                <c:pt idx="12">
                  <c:v>0.9657</c:v>
                </c:pt>
                <c:pt idx="13">
                  <c:v>0.9984</c:v>
                </c:pt>
                <c:pt idx="14">
                  <c:v>1.0242</c:v>
                </c:pt>
                <c:pt idx="15">
                  <c:v>1.0554</c:v>
                </c:pt>
                <c:pt idx="16">
                  <c:v>1.0927</c:v>
                </c:pt>
                <c:pt idx="17">
                  <c:v>1.1231</c:v>
                </c:pt>
                <c:pt idx="18">
                  <c:v>1.1452</c:v>
                </c:pt>
                <c:pt idx="19">
                  <c:v>1.1407</c:v>
                </c:pt>
                <c:pt idx="20">
                  <c:v>1.1675</c:v>
                </c:pt>
                <c:pt idx="21">
                  <c:v>1.1893</c:v>
                </c:pt>
                <c:pt idx="22">
                  <c:v>1.2301</c:v>
                </c:pt>
                <c:pt idx="23">
                  <c:v>1.2144</c:v>
                </c:pt>
                <c:pt idx="24">
                  <c:v>1.2382</c:v>
                </c:pt>
              </c:numCache>
            </c:numRef>
          </c:yVal>
          <c:smooth val="0"/>
        </c:ser>
        <c:ser>
          <c:idx val="8"/>
          <c:order val="4"/>
          <c:tx>
            <c:v>10psi-2%HF</c:v>
          </c:tx>
          <c:spPr>
            <a:ln w="12700">
              <a:solidFill>
                <a:srgbClr val="0070C0"/>
              </a:solidFill>
              <a:prstDash val="sysDash"/>
            </a:ln>
          </c:spPr>
          <c:marker>
            <c:symbol val="none"/>
          </c:marker>
          <c:xVal>
            <c:numRef>
              <c:f>'TQ-Absorption-10psi'!$Z$4:$Z$84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'TQ-Absorption-10psi'!$AA$4:$AA$84</c:f>
              <c:numCache>
                <c:formatCode>General</c:formatCode>
                <c:ptCount val="81"/>
                <c:pt idx="0">
                  <c:v>0.01681356</c:v>
                </c:pt>
                <c:pt idx="1">
                  <c:v>0.1008837</c:v>
                </c:pt>
                <c:pt idx="2">
                  <c:v>0.16856334</c:v>
                </c:pt>
                <c:pt idx="3">
                  <c:v>0.20634077</c:v>
                </c:pt>
                <c:pt idx="4">
                  <c:v>0.22331971</c:v>
                </c:pt>
                <c:pt idx="5">
                  <c:v>0.23506707</c:v>
                </c:pt>
                <c:pt idx="6">
                  <c:v>0.24749104</c:v>
                </c:pt>
                <c:pt idx="7">
                  <c:v>0.26148187</c:v>
                </c:pt>
                <c:pt idx="8">
                  <c:v>0.27690265</c:v>
                </c:pt>
                <c:pt idx="9">
                  <c:v>0.29349682</c:v>
                </c:pt>
                <c:pt idx="10">
                  <c:v>0.31099306</c:v>
                </c:pt>
                <c:pt idx="11">
                  <c:v>0.32911823</c:v>
                </c:pt>
                <c:pt idx="12">
                  <c:v>0.34760451</c:v>
                </c:pt>
                <c:pt idx="13">
                  <c:v>0.36619575</c:v>
                </c:pt>
                <c:pt idx="14">
                  <c:v>0.38465295</c:v>
                </c:pt>
                <c:pt idx="15">
                  <c:v>0.40275892</c:v>
                </c:pt>
                <c:pt idx="16">
                  <c:v>0.42032174</c:v>
                </c:pt>
                <c:pt idx="17">
                  <c:v>0.43717731</c:v>
                </c:pt>
                <c:pt idx="18">
                  <c:v>0.45319065</c:v>
                </c:pt>
                <c:pt idx="19">
                  <c:v>0.4682563</c:v>
                </c:pt>
                <c:pt idx="20">
                  <c:v>0.48229772</c:v>
                </c:pt>
                <c:pt idx="21">
                  <c:v>0.49526588</c:v>
                </c:pt>
                <c:pt idx="22">
                  <c:v>0.50713722</c:v>
                </c:pt>
                <c:pt idx="23">
                  <c:v>0.51791099</c:v>
                </c:pt>
                <c:pt idx="24">
                  <c:v>0.5276064</c:v>
                </c:pt>
                <c:pt idx="25">
                  <c:v>0.53625938</c:v>
                </c:pt>
                <c:pt idx="26">
                  <c:v>0.5439194</c:v>
                </c:pt>
                <c:pt idx="27">
                  <c:v>0.55064628</c:v>
                </c:pt>
                <c:pt idx="28">
                  <c:v>0.55650722</c:v>
                </c:pt>
                <c:pt idx="29">
                  <c:v>0.56157405</c:v>
                </c:pt>
                <c:pt idx="30">
                  <c:v>0.56592073</c:v>
                </c:pt>
                <c:pt idx="31">
                  <c:v>0.56962132</c:v>
                </c:pt>
                <c:pt idx="32">
                  <c:v>0.57274815</c:v>
                </c:pt>
                <c:pt idx="33">
                  <c:v>0.5753705</c:v>
                </c:pt>
                <c:pt idx="34">
                  <c:v>0.57755351</c:v>
                </c:pt>
                <c:pt idx="35">
                  <c:v>0.57935744</c:v>
                </c:pt>
                <c:pt idx="36">
                  <c:v>0.58083728</c:v>
                </c:pt>
                <c:pt idx="37">
                  <c:v>0.58204245</c:v>
                </c:pt>
                <c:pt idx="38">
                  <c:v>0.58301688</c:v>
                </c:pt>
                <c:pt idx="39">
                  <c:v>0.58379911</c:v>
                </c:pt>
                <c:pt idx="40">
                  <c:v>0.58442258</c:v>
                </c:pt>
                <c:pt idx="41">
                  <c:v>0.58491599</c:v>
                </c:pt>
                <c:pt idx="42">
                  <c:v>0.58530371</c:v>
                </c:pt>
                <c:pt idx="43">
                  <c:v>0.58560625</c:v>
                </c:pt>
                <c:pt idx="44">
                  <c:v>0.58584067</c:v>
                </c:pt>
                <c:pt idx="45">
                  <c:v>0.58602104</c:v>
                </c:pt>
                <c:pt idx="46">
                  <c:v>0.58615885</c:v>
                </c:pt>
                <c:pt idx="47">
                  <c:v>0.58626343</c:v>
                </c:pt>
                <c:pt idx="48">
                  <c:v>0.58634223</c:v>
                </c:pt>
                <c:pt idx="49">
                  <c:v>0.5864012</c:v>
                </c:pt>
                <c:pt idx="50">
                  <c:v>0.58644503</c:v>
                </c:pt>
              </c:numCache>
            </c:numRef>
          </c:yVal>
          <c:smooth val="0"/>
        </c:ser>
        <c:ser>
          <c:idx val="10"/>
          <c:order val="5"/>
          <c:tx>
            <c:v>10psi-40%hf</c:v>
          </c:tx>
          <c:spPr>
            <a:ln w="12700">
              <a:solidFill>
                <a:srgbClr val="C00000"/>
              </a:solidFill>
              <a:prstDash val="sysDash"/>
            </a:ln>
          </c:spPr>
          <c:marker>
            <c:symbol val="none"/>
          </c:marker>
          <c:xVal>
            <c:numRef>
              <c:f>'TQ-Absorption-10psi'!$AD$4:$AD$84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'TQ-Absorption-10psi'!$AE$4:$AE$84</c:f>
              <c:numCache>
                <c:formatCode>General</c:formatCode>
                <c:ptCount val="81"/>
                <c:pt idx="0">
                  <c:v>0.02186981</c:v>
                </c:pt>
                <c:pt idx="1">
                  <c:v>0.1315311</c:v>
                </c:pt>
                <c:pt idx="2">
                  <c:v>0.21728578</c:v>
                </c:pt>
                <c:pt idx="3">
                  <c:v>0.2604803</c:v>
                </c:pt>
                <c:pt idx="4">
                  <c:v>0.27723999</c:v>
                </c:pt>
                <c:pt idx="5">
                  <c:v>0.28830373</c:v>
                </c:pt>
                <c:pt idx="6">
                  <c:v>0.30023434</c:v>
                </c:pt>
                <c:pt idx="7">
                  <c:v>0.31386057</c:v>
                </c:pt>
                <c:pt idx="8">
                  <c:v>0.32908187</c:v>
                </c:pt>
                <c:pt idx="9">
                  <c:v>0.34570986</c:v>
                </c:pt>
                <c:pt idx="10">
                  <c:v>0.36354107</c:v>
                </c:pt>
                <c:pt idx="11">
                  <c:v>0.38236399</c:v>
                </c:pt>
                <c:pt idx="12">
                  <c:v>0.40196326</c:v>
                </c:pt>
                <c:pt idx="13">
                  <c:v>0.42212374</c:v>
                </c:pt>
                <c:pt idx="14">
                  <c:v>0.44263429</c:v>
                </c:pt>
                <c:pt idx="15">
                  <c:v>0.46329134</c:v>
                </c:pt>
                <c:pt idx="16">
                  <c:v>0.48390205</c:v>
                </c:pt>
                <c:pt idx="17">
                  <c:v>0.50428704</c:v>
                </c:pt>
                <c:pt idx="18">
                  <c:v>0.52428261</c:v>
                </c:pt>
                <c:pt idx="19">
                  <c:v>0.54374253</c:v>
                </c:pt>
                <c:pt idx="20">
                  <c:v>0.56253923</c:v>
                </c:pt>
                <c:pt idx="21">
                  <c:v>0.58056455</c:v>
                </c:pt>
                <c:pt idx="22">
                  <c:v>0.59772994</c:v>
                </c:pt>
                <c:pt idx="23">
                  <c:v>0.61396628</c:v>
                </c:pt>
                <c:pt idx="24">
                  <c:v>0.62922325</c:v>
                </c:pt>
                <c:pt idx="25">
                  <c:v>0.64346836</c:v>
                </c:pt>
                <c:pt idx="26">
                  <c:v>0.65668568</c:v>
                </c:pt>
                <c:pt idx="27">
                  <c:v>0.66887436</c:v>
                </c:pt>
                <c:pt idx="28">
                  <c:v>0.68004701</c:v>
                </c:pt>
                <c:pt idx="29">
                  <c:v>0.69022788</c:v>
                </c:pt>
                <c:pt idx="30">
                  <c:v>0.69945111</c:v>
                </c:pt>
                <c:pt idx="31">
                  <c:v>0.70775892</c:v>
                </c:pt>
                <c:pt idx="32">
                  <c:v>0.71519986</c:v>
                </c:pt>
                <c:pt idx="33">
                  <c:v>0.72182714</c:v>
                </c:pt>
                <c:pt idx="34">
                  <c:v>0.72769712</c:v>
                </c:pt>
                <c:pt idx="35">
                  <c:v>0.73286788</c:v>
                </c:pt>
                <c:pt idx="36">
                  <c:v>0.73739803</c:v>
                </c:pt>
                <c:pt idx="37">
                  <c:v>0.74134561</c:v>
                </c:pt>
                <c:pt idx="38">
                  <c:v>0.74476719</c:v>
                </c:pt>
                <c:pt idx="39">
                  <c:v>0.74771717</c:v>
                </c:pt>
                <c:pt idx="40">
                  <c:v>0.75024719</c:v>
                </c:pt>
                <c:pt idx="41">
                  <c:v>0.75240571</c:v>
                </c:pt>
                <c:pt idx="42">
                  <c:v>0.7542377</c:v>
                </c:pt>
                <c:pt idx="43">
                  <c:v>0.75578456</c:v>
                </c:pt>
                <c:pt idx="44">
                  <c:v>0.75708394</c:v>
                </c:pt>
                <c:pt idx="45">
                  <c:v>0.75816986</c:v>
                </c:pt>
                <c:pt idx="46">
                  <c:v>0.75907278</c:v>
                </c:pt>
                <c:pt idx="47">
                  <c:v>0.75981974</c:v>
                </c:pt>
                <c:pt idx="48">
                  <c:v>0.76043455</c:v>
                </c:pt>
                <c:pt idx="49">
                  <c:v>0.76093805</c:v>
                </c:pt>
                <c:pt idx="50">
                  <c:v>0.76134834</c:v>
                </c:pt>
              </c:numCache>
            </c:numRef>
          </c:yVal>
          <c:smooth val="0"/>
        </c:ser>
        <c:ser>
          <c:idx val="12"/>
          <c:order val="6"/>
          <c:tx>
            <c:v>10psi70%hf</c:v>
          </c:tx>
          <c:spPr>
            <a:ln w="12700">
              <a:solidFill>
                <a:srgbClr val="00B050"/>
              </a:solidFill>
              <a:prstDash val="sysDash"/>
            </a:ln>
          </c:spPr>
          <c:marker>
            <c:symbol val="none"/>
          </c:marker>
          <c:xVal>
            <c:numRef>
              <c:f>'TQ-Absorption-10psi'!$AH$4:$AH$84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'TQ-Absorption-10psi'!$AI$4:$AI$84</c:f>
              <c:numCache>
                <c:formatCode>General</c:formatCode>
                <c:ptCount val="81"/>
                <c:pt idx="0">
                  <c:v>0.02985415</c:v>
                </c:pt>
                <c:pt idx="1">
                  <c:v>0.23287638</c:v>
                </c:pt>
                <c:pt idx="2">
                  <c:v>0.390022</c:v>
                </c:pt>
                <c:pt idx="3">
                  <c:v>0.46623361</c:v>
                </c:pt>
                <c:pt idx="4">
                  <c:v>0.49104707</c:v>
                </c:pt>
                <c:pt idx="5">
                  <c:v>0.50322512</c:v>
                </c:pt>
                <c:pt idx="6">
                  <c:v>0.51532095</c:v>
                </c:pt>
                <c:pt idx="7">
                  <c:v>0.52909224</c:v>
                </c:pt>
                <c:pt idx="8">
                  <c:v>0.54452801</c:v>
                </c:pt>
                <c:pt idx="9">
                  <c:v>0.56146036</c:v>
                </c:pt>
                <c:pt idx="10">
                  <c:v>0.57970296</c:v>
                </c:pt>
                <c:pt idx="11">
                  <c:v>0.59906034</c:v>
                </c:pt>
                <c:pt idx="12">
                  <c:v>0.61933151</c:v>
                </c:pt>
                <c:pt idx="13">
                  <c:v>0.64031336</c:v>
                </c:pt>
                <c:pt idx="14">
                  <c:v>0.66180405</c:v>
                </c:pt>
                <c:pt idx="15">
                  <c:v>0.68360605</c:v>
                </c:pt>
                <c:pt idx="16">
                  <c:v>0.70552912</c:v>
                </c:pt>
                <c:pt idx="17">
                  <c:v>0.72739285</c:v>
                </c:pt>
                <c:pt idx="18">
                  <c:v>0.74902894</c:v>
                </c:pt>
                <c:pt idx="19">
                  <c:v>0.77028302</c:v>
                </c:pt>
                <c:pt idx="20">
                  <c:v>0.79101612</c:v>
                </c:pt>
                <c:pt idx="21">
                  <c:v>0.81110575</c:v>
                </c:pt>
                <c:pt idx="22">
                  <c:v>0.83044657</c:v>
                </c:pt>
                <c:pt idx="23">
                  <c:v>0.8489506</c:v>
                </c:pt>
                <c:pt idx="24">
                  <c:v>0.8665472</c:v>
                </c:pt>
                <c:pt idx="25">
                  <c:v>0.88318261</c:v>
                </c:pt>
                <c:pt idx="26">
                  <c:v>0.89881926</c:v>
                </c:pt>
                <c:pt idx="27">
                  <c:v>0.9134348</c:v>
                </c:pt>
                <c:pt idx="28">
                  <c:v>0.92702096</c:v>
                </c:pt>
                <c:pt idx="29">
                  <c:v>0.93958223</c:v>
                </c:pt>
                <c:pt idx="30">
                  <c:v>0.95113443</c:v>
                </c:pt>
                <c:pt idx="31">
                  <c:v>0.96170323</c:v>
                </c:pt>
                <c:pt idx="32">
                  <c:v>0.97132268</c:v>
                </c:pt>
                <c:pt idx="33">
                  <c:v>0.98003362</c:v>
                </c:pt>
                <c:pt idx="34">
                  <c:v>0.98788234</c:v>
                </c:pt>
                <c:pt idx="35">
                  <c:v>0.99491914</c:v>
                </c:pt>
                <c:pt idx="36">
                  <c:v>1.00119705</c:v>
                </c:pt>
                <c:pt idx="37">
                  <c:v>1.00677072</c:v>
                </c:pt>
                <c:pt idx="38">
                  <c:v>1.01169531</c:v>
                </c:pt>
                <c:pt idx="39">
                  <c:v>1.01602562</c:v>
                </c:pt>
                <c:pt idx="40">
                  <c:v>1.01981533</c:v>
                </c:pt>
                <c:pt idx="41">
                  <c:v>1.0231163</c:v>
                </c:pt>
                <c:pt idx="42">
                  <c:v>1.02597814</c:v>
                </c:pt>
                <c:pt idx="43">
                  <c:v>1.02844772</c:v>
                </c:pt>
                <c:pt idx="44">
                  <c:v>1.03056897</c:v>
                </c:pt>
                <c:pt idx="45">
                  <c:v>1.03238266</c:v>
                </c:pt>
                <c:pt idx="46">
                  <c:v>1.03392627</c:v>
                </c:pt>
                <c:pt idx="47">
                  <c:v>1.03523407</c:v>
                </c:pt>
                <c:pt idx="48">
                  <c:v>1.03633704</c:v>
                </c:pt>
                <c:pt idx="49">
                  <c:v>1.03726308</c:v>
                </c:pt>
                <c:pt idx="50">
                  <c:v>1.03803708</c:v>
                </c:pt>
              </c:numCache>
            </c:numRef>
          </c:yVal>
          <c:smooth val="0"/>
        </c:ser>
        <c:ser>
          <c:idx val="14"/>
          <c:order val="7"/>
          <c:tx>
            <c:v>10psi99%hf</c:v>
          </c:tx>
          <c:spPr>
            <a:ln w="12700">
              <a:solidFill>
                <a:srgbClr val="7030A0"/>
              </a:solidFill>
              <a:prstDash val="sysDash"/>
            </a:ln>
          </c:spPr>
          <c:marker>
            <c:symbol val="none"/>
          </c:marker>
          <c:xVal>
            <c:numRef>
              <c:f>'TQ-Absorption-10psi'!$AL$4:$AL$84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'TQ-Absorption-10psi'!$AM$4:$AM$84</c:f>
              <c:numCache>
                <c:formatCode>General</c:formatCode>
                <c:ptCount val="81"/>
                <c:pt idx="0">
                  <c:v>0.03780869</c:v>
                </c:pt>
                <c:pt idx="1">
                  <c:v>0.41424527</c:v>
                </c:pt>
                <c:pt idx="2">
                  <c:v>0.68861987</c:v>
                </c:pt>
                <c:pt idx="3">
                  <c:v>0.79675217</c:v>
                </c:pt>
                <c:pt idx="4">
                  <c:v>0.82382095</c:v>
                </c:pt>
                <c:pt idx="5">
                  <c:v>0.8373276</c:v>
                </c:pt>
                <c:pt idx="6">
                  <c:v>0.85170672</c:v>
                </c:pt>
                <c:pt idx="7">
                  <c:v>0.86808201</c:v>
                </c:pt>
                <c:pt idx="8">
                  <c:v>0.8862635</c:v>
                </c:pt>
                <c:pt idx="9">
                  <c:v>0.90598454</c:v>
                </c:pt>
                <c:pt idx="10">
                  <c:v>0.92696406</c:v>
                </c:pt>
                <c:pt idx="11">
                  <c:v>0.94891434</c:v>
                </c:pt>
                <c:pt idx="12">
                  <c:v>0.9715475</c:v>
                </c:pt>
                <c:pt idx="13">
                  <c:v>0.99458165</c:v>
                </c:pt>
                <c:pt idx="14">
                  <c:v>1.01774644</c:v>
                </c:pt>
                <c:pt idx="15">
                  <c:v>1.04078807</c:v>
                </c:pt>
                <c:pt idx="16">
                  <c:v>1.0634734</c:v>
                </c:pt>
                <c:pt idx="17">
                  <c:v>1.08559332</c:v>
                </c:pt>
                <c:pt idx="18">
                  <c:v>1.10696516</c:v>
                </c:pt>
                <c:pt idx="19">
                  <c:v>1.1274342</c:v>
                </c:pt>
                <c:pt idx="20">
                  <c:v>1.14687439</c:v>
                </c:pt>
                <c:pt idx="21">
                  <c:v>1.16518815</c:v>
                </c:pt>
                <c:pt idx="22">
                  <c:v>1.18230555</c:v>
                </c:pt>
                <c:pt idx="23">
                  <c:v>1.19818281</c:v>
                </c:pt>
                <c:pt idx="24">
                  <c:v>1.2128003</c:v>
                </c:pt>
                <c:pt idx="25">
                  <c:v>1.22616011</c:v>
                </c:pt>
                <c:pt idx="26">
                  <c:v>1.23828344</c:v>
                </c:pt>
                <c:pt idx="27">
                  <c:v>1.24920773</c:v>
                </c:pt>
                <c:pt idx="28">
                  <c:v>1.25898377</c:v>
                </c:pt>
                <c:pt idx="29">
                  <c:v>1.26767291</c:v>
                </c:pt>
                <c:pt idx="30">
                  <c:v>1.27534428</c:v>
                </c:pt>
                <c:pt idx="31">
                  <c:v>1.28207231</c:v>
                </c:pt>
                <c:pt idx="32">
                  <c:v>1.28793442</c:v>
                </c:pt>
                <c:pt idx="33">
                  <c:v>1.293009</c:v>
                </c:pt>
                <c:pt idx="34">
                  <c:v>1.29737368</c:v>
                </c:pt>
                <c:pt idx="35">
                  <c:v>1.30110391</c:v>
                </c:pt>
                <c:pt idx="36">
                  <c:v>1.30427181</c:v>
                </c:pt>
                <c:pt idx="37">
                  <c:v>1.30694532</c:v>
                </c:pt>
                <c:pt idx="38">
                  <c:v>1.30918756</c:v>
                </c:pt>
                <c:pt idx="39">
                  <c:v>1.31105649</c:v>
                </c:pt>
                <c:pt idx="40">
                  <c:v>1.3126047</c:v>
                </c:pt>
                <c:pt idx="41">
                  <c:v>1.31387938</c:v>
                </c:pt>
                <c:pt idx="42">
                  <c:v>1.3149225</c:v>
                </c:pt>
                <c:pt idx="43">
                  <c:v>1.31577094</c:v>
                </c:pt>
                <c:pt idx="44">
                  <c:v>1.3164569</c:v>
                </c:pt>
                <c:pt idx="45">
                  <c:v>1.31700816</c:v>
                </c:pt>
                <c:pt idx="46">
                  <c:v>1.31744853</c:v>
                </c:pt>
                <c:pt idx="47">
                  <c:v>1.31779822</c:v>
                </c:pt>
                <c:pt idx="48">
                  <c:v>1.31807425</c:v>
                </c:pt>
                <c:pt idx="49">
                  <c:v>1.31829086</c:v>
                </c:pt>
                <c:pt idx="50">
                  <c:v>1.31845983</c:v>
                </c:pt>
              </c:numCache>
            </c:numRef>
          </c:yVal>
          <c:smooth val="0"/>
        </c:ser>
        <c:dLbls>
          <c:showLegendKey val="0"/>
          <c:showVal val="0"/>
          <c:showCatName val="0"/>
          <c:showSerName val="0"/>
          <c:showPercent val="0"/>
          <c:showBubbleSize val="0"/>
        </c:dLbls>
        <c:axId val="521802920"/>
        <c:axId val="521798680"/>
      </c:scatterChart>
      <c:valAx>
        <c:axId val="521802920"/>
        <c:scaling>
          <c:orientation val="minMax"/>
          <c:max val="21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521798680"/>
        <c:crosses val="autoZero"/>
        <c:crossBetween val="midCat"/>
        <c:majorUnit val="50.0"/>
        <c:minorUnit val="12.5"/>
      </c:valAx>
      <c:valAx>
        <c:axId val="521798680"/>
        <c:scaling>
          <c:orientation val="minMax"/>
          <c:max val="2.5"/>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521802920"/>
        <c:crosses val="autoZero"/>
        <c:crossBetween val="midCat"/>
        <c:majorUnit val="1.0"/>
        <c:minorUnit val="0.25"/>
      </c:valAx>
      <c:spPr>
        <a:ln w="19050">
          <a:solidFill>
            <a:sysClr val="windowText" lastClr="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439910583210997"/>
          <c:y val="0.0374139690871974"/>
          <c:w val="0.475343654077139"/>
          <c:h val="0.101097987751531"/>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5724009075137"/>
          <c:y val="0.0333333333333333"/>
          <c:w val="0.745862805284932"/>
          <c:h val="0.793114975211432"/>
        </c:manualLayout>
      </c:layout>
      <c:scatterChart>
        <c:scatterStyle val="lineMarker"/>
        <c:varyColors val="0"/>
        <c:ser>
          <c:idx val="0"/>
          <c:order val="0"/>
          <c:tx>
            <c:v>2% RH</c:v>
          </c:tx>
          <c:spPr>
            <a:ln w="28575">
              <a:noFill/>
            </a:ln>
          </c:spPr>
          <c:marker>
            <c:symbol val="circle"/>
            <c:size val="4"/>
            <c:spPr>
              <a:solidFill>
                <a:srgbClr val="0070C0">
                  <a:alpha val="50000"/>
                </a:srgbClr>
              </a:solidFill>
              <a:ln w="12700">
                <a:solidFill>
                  <a:schemeClr val="tx1"/>
                </a:solidFill>
              </a:ln>
            </c:spPr>
          </c:marker>
          <c:xVal>
            <c:numRef>
              <c:f>'TQ-Absorption-30psi'!$A$4:$A$34</c:f>
              <c:numCache>
                <c:formatCode>General</c:formatCode>
                <c:ptCount val="31"/>
                <c:pt idx="0">
                  <c:v>1.35</c:v>
                </c:pt>
                <c:pt idx="1">
                  <c:v>2.43</c:v>
                </c:pt>
                <c:pt idx="2">
                  <c:v>5.21</c:v>
                </c:pt>
                <c:pt idx="3">
                  <c:v>7.319999999999998</c:v>
                </c:pt>
                <c:pt idx="4">
                  <c:v>14.0</c:v>
                </c:pt>
                <c:pt idx="5">
                  <c:v>19.73</c:v>
                </c:pt>
                <c:pt idx="6">
                  <c:v>26.91</c:v>
                </c:pt>
                <c:pt idx="7">
                  <c:v>30.77</c:v>
                </c:pt>
                <c:pt idx="8">
                  <c:v>37.34</c:v>
                </c:pt>
                <c:pt idx="9">
                  <c:v>41.88</c:v>
                </c:pt>
                <c:pt idx="10">
                  <c:v>47.03</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130.24</c:v>
                </c:pt>
              </c:numCache>
            </c:numRef>
          </c:xVal>
          <c:yVal>
            <c:numRef>
              <c:f>'TQ-Absorption-30psi'!$B$4:$B$34</c:f>
              <c:numCache>
                <c:formatCode>General</c:formatCode>
                <c:ptCount val="31"/>
                <c:pt idx="0">
                  <c:v>0.0837</c:v>
                </c:pt>
                <c:pt idx="1">
                  <c:v>0.0944</c:v>
                </c:pt>
                <c:pt idx="2">
                  <c:v>0.1094</c:v>
                </c:pt>
                <c:pt idx="3">
                  <c:v>0.1188</c:v>
                </c:pt>
                <c:pt idx="4">
                  <c:v>0.1373</c:v>
                </c:pt>
                <c:pt idx="5">
                  <c:v>0.1676</c:v>
                </c:pt>
                <c:pt idx="6">
                  <c:v>0.1859</c:v>
                </c:pt>
                <c:pt idx="7">
                  <c:v>0.1921</c:v>
                </c:pt>
                <c:pt idx="8">
                  <c:v>0.2233</c:v>
                </c:pt>
                <c:pt idx="9">
                  <c:v>0.2512</c:v>
                </c:pt>
                <c:pt idx="10">
                  <c:v>0.2588</c:v>
                </c:pt>
                <c:pt idx="11">
                  <c:v>0.2712</c:v>
                </c:pt>
                <c:pt idx="12">
                  <c:v>0.2923</c:v>
                </c:pt>
                <c:pt idx="13">
                  <c:v>0.306</c:v>
                </c:pt>
                <c:pt idx="14">
                  <c:v>0.3322</c:v>
                </c:pt>
                <c:pt idx="15">
                  <c:v>0.3645</c:v>
                </c:pt>
                <c:pt idx="16">
                  <c:v>0.3799</c:v>
                </c:pt>
                <c:pt idx="17">
                  <c:v>0.3927</c:v>
                </c:pt>
                <c:pt idx="18">
                  <c:v>0.4264</c:v>
                </c:pt>
                <c:pt idx="19">
                  <c:v>0.4132</c:v>
                </c:pt>
                <c:pt idx="20">
                  <c:v>0.4217</c:v>
                </c:pt>
                <c:pt idx="21">
                  <c:v>0.4426</c:v>
                </c:pt>
                <c:pt idx="22">
                  <c:v>0.4517</c:v>
                </c:pt>
                <c:pt idx="23">
                  <c:v>0.4423</c:v>
                </c:pt>
                <c:pt idx="24">
                  <c:v>0.4602</c:v>
                </c:pt>
              </c:numCache>
            </c:numRef>
          </c:yVal>
          <c:smooth val="0"/>
        </c:ser>
        <c:ser>
          <c:idx val="1"/>
          <c:order val="1"/>
          <c:tx>
            <c:v>40% RH</c:v>
          </c:tx>
          <c:spPr>
            <a:ln w="28575">
              <a:noFill/>
            </a:ln>
          </c:spPr>
          <c:marker>
            <c:symbol val="circle"/>
            <c:size val="4"/>
            <c:spPr>
              <a:solidFill>
                <a:srgbClr val="C00000">
                  <a:alpha val="50000"/>
                </a:srgbClr>
              </a:solidFill>
              <a:ln w="12700">
                <a:solidFill>
                  <a:sysClr val="windowText" lastClr="000000"/>
                </a:solidFill>
              </a:ln>
            </c:spPr>
          </c:marker>
          <c:xVal>
            <c:numRef>
              <c:f>'TQ-Absorption-30psi'!$G$4:$G$34</c:f>
              <c:numCache>
                <c:formatCode>General</c:formatCode>
                <c:ptCount val="31"/>
                <c:pt idx="0">
                  <c:v>1.39</c:v>
                </c:pt>
                <c:pt idx="1">
                  <c:v>2.45</c:v>
                </c:pt>
                <c:pt idx="2">
                  <c:v>5.22</c:v>
                </c:pt>
                <c:pt idx="3">
                  <c:v>7.33</c:v>
                </c:pt>
                <c:pt idx="4">
                  <c:v>14.0</c:v>
                </c:pt>
                <c:pt idx="5">
                  <c:v>19.73</c:v>
                </c:pt>
                <c:pt idx="6">
                  <c:v>26.91</c:v>
                </c:pt>
                <c:pt idx="7">
                  <c:v>30.78</c:v>
                </c:pt>
                <c:pt idx="8">
                  <c:v>37.34</c:v>
                </c:pt>
                <c:pt idx="9">
                  <c:v>41.88</c:v>
                </c:pt>
                <c:pt idx="10">
                  <c:v>47.03</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130.24</c:v>
                </c:pt>
              </c:numCache>
            </c:numRef>
          </c:xVal>
          <c:yVal>
            <c:numRef>
              <c:f>'TQ-Absorption-30psi'!$H$4:$H$34</c:f>
              <c:numCache>
                <c:formatCode>General</c:formatCode>
                <c:ptCount val="31"/>
                <c:pt idx="0">
                  <c:v>0.1049</c:v>
                </c:pt>
                <c:pt idx="1">
                  <c:v>0.1177</c:v>
                </c:pt>
                <c:pt idx="2">
                  <c:v>0.1353</c:v>
                </c:pt>
                <c:pt idx="3">
                  <c:v>0.1535</c:v>
                </c:pt>
                <c:pt idx="4">
                  <c:v>0.1777</c:v>
                </c:pt>
                <c:pt idx="5">
                  <c:v>0.2076</c:v>
                </c:pt>
                <c:pt idx="6">
                  <c:v>0.2141</c:v>
                </c:pt>
                <c:pt idx="7">
                  <c:v>0.2213</c:v>
                </c:pt>
                <c:pt idx="8">
                  <c:v>0.2568</c:v>
                </c:pt>
                <c:pt idx="9">
                  <c:v>0.2651</c:v>
                </c:pt>
                <c:pt idx="10">
                  <c:v>0.2604</c:v>
                </c:pt>
                <c:pt idx="11">
                  <c:v>0.2835</c:v>
                </c:pt>
                <c:pt idx="12">
                  <c:v>0.3317</c:v>
                </c:pt>
                <c:pt idx="13">
                  <c:v>0.3508</c:v>
                </c:pt>
                <c:pt idx="14">
                  <c:v>0.3806</c:v>
                </c:pt>
                <c:pt idx="15">
                  <c:v>0.3947</c:v>
                </c:pt>
                <c:pt idx="16">
                  <c:v>0.4351</c:v>
                </c:pt>
                <c:pt idx="17">
                  <c:v>0.4527</c:v>
                </c:pt>
                <c:pt idx="18">
                  <c:v>0.4589</c:v>
                </c:pt>
                <c:pt idx="19">
                  <c:v>0.4843</c:v>
                </c:pt>
                <c:pt idx="20">
                  <c:v>0.4796</c:v>
                </c:pt>
                <c:pt idx="21">
                  <c:v>0.4965</c:v>
                </c:pt>
                <c:pt idx="22">
                  <c:v>0.5081</c:v>
                </c:pt>
                <c:pt idx="23">
                  <c:v>0.509</c:v>
                </c:pt>
                <c:pt idx="24">
                  <c:v>0.5229</c:v>
                </c:pt>
              </c:numCache>
            </c:numRef>
          </c:yVal>
          <c:smooth val="0"/>
        </c:ser>
        <c:ser>
          <c:idx val="2"/>
          <c:order val="2"/>
          <c:tx>
            <c:v>70% RH</c:v>
          </c:tx>
          <c:spPr>
            <a:ln w="28575">
              <a:noFill/>
            </a:ln>
          </c:spPr>
          <c:marker>
            <c:symbol val="circle"/>
            <c:size val="4"/>
            <c:spPr>
              <a:solidFill>
                <a:srgbClr val="00B050">
                  <a:alpha val="50000"/>
                </a:srgbClr>
              </a:solidFill>
              <a:ln w="12700">
                <a:solidFill>
                  <a:sysClr val="windowText" lastClr="000000"/>
                </a:solidFill>
              </a:ln>
            </c:spPr>
          </c:marker>
          <c:xVal>
            <c:numRef>
              <c:f>'TQ-Absorption-30psi'!$M$4:$M$34</c:f>
              <c:numCache>
                <c:formatCode>General</c:formatCode>
                <c:ptCount val="31"/>
                <c:pt idx="0">
                  <c:v>1.43</c:v>
                </c:pt>
                <c:pt idx="1">
                  <c:v>2.47</c:v>
                </c:pt>
                <c:pt idx="2">
                  <c:v>5.23</c:v>
                </c:pt>
                <c:pt idx="3">
                  <c:v>7.34</c:v>
                </c:pt>
                <c:pt idx="4">
                  <c:v>14.0</c:v>
                </c:pt>
                <c:pt idx="5">
                  <c:v>19.73999999999999</c:v>
                </c:pt>
                <c:pt idx="6">
                  <c:v>26.91</c:v>
                </c:pt>
                <c:pt idx="7">
                  <c:v>30.78</c:v>
                </c:pt>
                <c:pt idx="8">
                  <c:v>37.34</c:v>
                </c:pt>
                <c:pt idx="9">
                  <c:v>41.88</c:v>
                </c:pt>
                <c:pt idx="10">
                  <c:v>47.04</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130.25</c:v>
                </c:pt>
              </c:numCache>
            </c:numRef>
          </c:xVal>
          <c:yVal>
            <c:numRef>
              <c:f>'TQ-Absorption-30psi'!$N$4:$N$34</c:f>
              <c:numCache>
                <c:formatCode>General</c:formatCode>
                <c:ptCount val="31"/>
                <c:pt idx="0">
                  <c:v>0.1316</c:v>
                </c:pt>
                <c:pt idx="1">
                  <c:v>0.17</c:v>
                </c:pt>
                <c:pt idx="2">
                  <c:v>0.2309</c:v>
                </c:pt>
                <c:pt idx="3">
                  <c:v>0.2785</c:v>
                </c:pt>
                <c:pt idx="4">
                  <c:v>0.3323</c:v>
                </c:pt>
                <c:pt idx="5">
                  <c:v>0.3939</c:v>
                </c:pt>
                <c:pt idx="6">
                  <c:v>0.4008</c:v>
                </c:pt>
                <c:pt idx="7">
                  <c:v>0.4124</c:v>
                </c:pt>
                <c:pt idx="8">
                  <c:v>0.4428</c:v>
                </c:pt>
                <c:pt idx="9">
                  <c:v>0.493</c:v>
                </c:pt>
                <c:pt idx="10">
                  <c:v>0.5039</c:v>
                </c:pt>
                <c:pt idx="11">
                  <c:v>0.5145</c:v>
                </c:pt>
                <c:pt idx="12">
                  <c:v>0.5505</c:v>
                </c:pt>
                <c:pt idx="13">
                  <c:v>0.5712</c:v>
                </c:pt>
                <c:pt idx="14">
                  <c:v>0.5996</c:v>
                </c:pt>
                <c:pt idx="15">
                  <c:v>0.6218</c:v>
                </c:pt>
                <c:pt idx="16">
                  <c:v>0.6688</c:v>
                </c:pt>
                <c:pt idx="17">
                  <c:v>0.6577</c:v>
                </c:pt>
                <c:pt idx="18">
                  <c:v>0.6779</c:v>
                </c:pt>
                <c:pt idx="19">
                  <c:v>0.6806</c:v>
                </c:pt>
                <c:pt idx="20">
                  <c:v>0.682</c:v>
                </c:pt>
                <c:pt idx="21">
                  <c:v>0.7058</c:v>
                </c:pt>
                <c:pt idx="22">
                  <c:v>0.7112</c:v>
                </c:pt>
                <c:pt idx="23">
                  <c:v>0.7046</c:v>
                </c:pt>
                <c:pt idx="24">
                  <c:v>0.7206</c:v>
                </c:pt>
              </c:numCache>
            </c:numRef>
          </c:yVal>
          <c:smooth val="0"/>
        </c:ser>
        <c:ser>
          <c:idx val="3"/>
          <c:order val="3"/>
          <c:tx>
            <c:v>99% RH</c:v>
          </c:tx>
          <c:spPr>
            <a:ln w="28575">
              <a:noFill/>
            </a:ln>
          </c:spPr>
          <c:marker>
            <c:symbol val="circle"/>
            <c:size val="4"/>
            <c:spPr>
              <a:solidFill>
                <a:srgbClr val="7030A0">
                  <a:alpha val="50000"/>
                </a:srgbClr>
              </a:solidFill>
              <a:ln w="12700">
                <a:solidFill>
                  <a:sysClr val="windowText" lastClr="000000"/>
                </a:solidFill>
              </a:ln>
            </c:spPr>
          </c:marker>
          <c:xVal>
            <c:numRef>
              <c:f>'TQ-Absorption-30psi'!$S$4:$S$34</c:f>
              <c:numCache>
                <c:formatCode>General</c:formatCode>
                <c:ptCount val="31"/>
                <c:pt idx="0">
                  <c:v>1.47</c:v>
                </c:pt>
                <c:pt idx="1">
                  <c:v>2.5</c:v>
                </c:pt>
                <c:pt idx="2">
                  <c:v>5.25</c:v>
                </c:pt>
                <c:pt idx="3">
                  <c:v>7.35</c:v>
                </c:pt>
                <c:pt idx="4">
                  <c:v>14.01</c:v>
                </c:pt>
                <c:pt idx="5">
                  <c:v>19.73999999999999</c:v>
                </c:pt>
                <c:pt idx="6">
                  <c:v>26.92</c:v>
                </c:pt>
                <c:pt idx="7">
                  <c:v>30.78</c:v>
                </c:pt>
                <c:pt idx="8">
                  <c:v>37.34</c:v>
                </c:pt>
                <c:pt idx="9">
                  <c:v>41.88</c:v>
                </c:pt>
                <c:pt idx="10">
                  <c:v>47.04</c:v>
                </c:pt>
                <c:pt idx="11">
                  <c:v>52.07</c:v>
                </c:pt>
                <c:pt idx="12">
                  <c:v>56.52</c:v>
                </c:pt>
                <c:pt idx="13">
                  <c:v>62.38</c:v>
                </c:pt>
                <c:pt idx="14">
                  <c:v>68.78</c:v>
                </c:pt>
                <c:pt idx="15">
                  <c:v>77.64</c:v>
                </c:pt>
                <c:pt idx="16">
                  <c:v>85.28</c:v>
                </c:pt>
                <c:pt idx="17">
                  <c:v>90.74</c:v>
                </c:pt>
                <c:pt idx="18">
                  <c:v>97.25</c:v>
                </c:pt>
                <c:pt idx="19">
                  <c:v>102.06</c:v>
                </c:pt>
                <c:pt idx="20">
                  <c:v>108.22</c:v>
                </c:pt>
                <c:pt idx="21">
                  <c:v>113.95</c:v>
                </c:pt>
                <c:pt idx="22">
                  <c:v>119.39</c:v>
                </c:pt>
                <c:pt idx="23">
                  <c:v>124.42</c:v>
                </c:pt>
                <c:pt idx="24">
                  <c:v>130.25</c:v>
                </c:pt>
              </c:numCache>
            </c:numRef>
          </c:xVal>
          <c:yVal>
            <c:numRef>
              <c:f>'TQ-Absorption-30psi'!$T$4:$T$34</c:f>
              <c:numCache>
                <c:formatCode>General</c:formatCode>
                <c:ptCount val="31"/>
                <c:pt idx="0">
                  <c:v>0.2266</c:v>
                </c:pt>
                <c:pt idx="1">
                  <c:v>0.2642</c:v>
                </c:pt>
                <c:pt idx="2">
                  <c:v>0.3761</c:v>
                </c:pt>
                <c:pt idx="3">
                  <c:v>0.4323</c:v>
                </c:pt>
                <c:pt idx="4">
                  <c:v>0.5758</c:v>
                </c:pt>
                <c:pt idx="5">
                  <c:v>0.6494</c:v>
                </c:pt>
                <c:pt idx="6">
                  <c:v>0.6706</c:v>
                </c:pt>
                <c:pt idx="7">
                  <c:v>0.6558</c:v>
                </c:pt>
                <c:pt idx="8">
                  <c:v>0.7241</c:v>
                </c:pt>
                <c:pt idx="9">
                  <c:v>0.7522</c:v>
                </c:pt>
                <c:pt idx="10">
                  <c:v>0.7539</c:v>
                </c:pt>
                <c:pt idx="11">
                  <c:v>0.7751</c:v>
                </c:pt>
                <c:pt idx="12">
                  <c:v>0.7949</c:v>
                </c:pt>
                <c:pt idx="13">
                  <c:v>0.8328</c:v>
                </c:pt>
                <c:pt idx="14">
                  <c:v>0.8639</c:v>
                </c:pt>
                <c:pt idx="15">
                  <c:v>0.8979</c:v>
                </c:pt>
                <c:pt idx="16">
                  <c:v>0.9421</c:v>
                </c:pt>
                <c:pt idx="17">
                  <c:v>0.9463</c:v>
                </c:pt>
                <c:pt idx="18">
                  <c:v>0.952</c:v>
                </c:pt>
                <c:pt idx="19">
                  <c:v>0.9681</c:v>
                </c:pt>
                <c:pt idx="20">
                  <c:v>0.9705</c:v>
                </c:pt>
                <c:pt idx="21">
                  <c:v>0.9921</c:v>
                </c:pt>
                <c:pt idx="22">
                  <c:v>1.001</c:v>
                </c:pt>
                <c:pt idx="23">
                  <c:v>1.0089</c:v>
                </c:pt>
                <c:pt idx="24">
                  <c:v>1.0202</c:v>
                </c:pt>
              </c:numCache>
            </c:numRef>
          </c:yVal>
          <c:smooth val="0"/>
        </c:ser>
        <c:ser>
          <c:idx val="8"/>
          <c:order val="4"/>
          <c:tx>
            <c:v>30psi-2%HF</c:v>
          </c:tx>
          <c:spPr>
            <a:ln w="12700">
              <a:solidFill>
                <a:srgbClr val="0070C0"/>
              </a:solidFill>
              <a:prstDash val="sysDash"/>
            </a:ln>
          </c:spPr>
          <c:marker>
            <c:symbol val="none"/>
          </c:marker>
          <c:xVal>
            <c:numRef>
              <c:f>'TQ-Absorption-30psi'!$Z$4:$Z$84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'TQ-Absorption-30psi'!$AA$4:$AA$84</c:f>
              <c:numCache>
                <c:formatCode>General</c:formatCode>
                <c:ptCount val="81"/>
                <c:pt idx="0">
                  <c:v>0.01358663</c:v>
                </c:pt>
                <c:pt idx="1">
                  <c:v>0.0722444</c:v>
                </c:pt>
                <c:pt idx="2">
                  <c:v>0.12132176</c:v>
                </c:pt>
                <c:pt idx="3">
                  <c:v>0.15247768</c:v>
                </c:pt>
                <c:pt idx="4">
                  <c:v>0.16955603</c:v>
                </c:pt>
                <c:pt idx="5">
                  <c:v>0.18259653</c:v>
                </c:pt>
                <c:pt idx="6">
                  <c:v>0.19628717</c:v>
                </c:pt>
                <c:pt idx="7">
                  <c:v>0.21146494</c:v>
                </c:pt>
                <c:pt idx="8">
                  <c:v>0.22793705</c:v>
                </c:pt>
                <c:pt idx="9">
                  <c:v>0.24535863</c:v>
                </c:pt>
                <c:pt idx="10">
                  <c:v>0.26337379</c:v>
                </c:pt>
                <c:pt idx="11">
                  <c:v>0.28163797</c:v>
                </c:pt>
                <c:pt idx="12">
                  <c:v>0.29982894</c:v>
                </c:pt>
                <c:pt idx="13">
                  <c:v>0.31765545</c:v>
                </c:pt>
                <c:pt idx="14">
                  <c:v>0.3348638</c:v>
                </c:pt>
                <c:pt idx="15">
                  <c:v>0.35124232</c:v>
                </c:pt>
                <c:pt idx="16">
                  <c:v>0.36662356</c:v>
                </c:pt>
                <c:pt idx="17">
                  <c:v>0.38088453</c:v>
                </c:pt>
                <c:pt idx="18">
                  <c:v>0.39394508</c:v>
                </c:pt>
                <c:pt idx="19">
                  <c:v>0.40576479</c:v>
                </c:pt>
                <c:pt idx="20">
                  <c:v>0.41633868</c:v>
                </c:pt>
                <c:pt idx="21">
                  <c:v>0.42569217</c:v>
                </c:pt>
                <c:pt idx="22">
                  <c:v>0.43387555</c:v>
                </c:pt>
                <c:pt idx="23">
                  <c:v>0.44095837</c:v>
                </c:pt>
                <c:pt idx="24">
                  <c:v>0.44702401</c:v>
                </c:pt>
                <c:pt idx="25">
                  <c:v>0.45216465</c:v>
                </c:pt>
                <c:pt idx="26">
                  <c:v>0.45647677</c:v>
                </c:pt>
                <c:pt idx="27">
                  <c:v>0.46005734</c:v>
                </c:pt>
                <c:pt idx="28">
                  <c:v>0.46300078</c:v>
                </c:pt>
                <c:pt idx="29">
                  <c:v>0.46539652</c:v>
                </c:pt>
                <c:pt idx="30">
                  <c:v>0.46732739</c:v>
                </c:pt>
                <c:pt idx="31">
                  <c:v>0.46886846</c:v>
                </c:pt>
                <c:pt idx="32">
                  <c:v>0.47008658</c:v>
                </c:pt>
                <c:pt idx="33">
                  <c:v>0.47104021</c:v>
                </c:pt>
                <c:pt idx="34">
                  <c:v>0.47177969</c:v>
                </c:pt>
                <c:pt idx="35">
                  <c:v>0.47234768</c:v>
                </c:pt>
                <c:pt idx="36">
                  <c:v>0.47277985</c:v>
                </c:pt>
                <c:pt idx="37">
                  <c:v>0.47310561</c:v>
                </c:pt>
                <c:pt idx="38">
                  <c:v>0.47334887</c:v>
                </c:pt>
                <c:pt idx="39">
                  <c:v>0.47352884</c:v>
                </c:pt>
                <c:pt idx="40">
                  <c:v>0.47366076</c:v>
                </c:pt>
                <c:pt idx="41">
                  <c:v>0.47375657</c:v>
                </c:pt>
                <c:pt idx="42">
                  <c:v>0.47382552</c:v>
                </c:pt>
                <c:pt idx="43">
                  <c:v>0.47387469</c:v>
                </c:pt>
                <c:pt idx="44">
                  <c:v>0.47390942</c:v>
                </c:pt>
                <c:pt idx="45">
                  <c:v>0.47393375</c:v>
                </c:pt>
                <c:pt idx="46">
                  <c:v>0.47395062</c:v>
                </c:pt>
                <c:pt idx="47">
                  <c:v>0.47396222</c:v>
                </c:pt>
                <c:pt idx="48">
                  <c:v>0.47397013</c:v>
                </c:pt>
                <c:pt idx="49">
                  <c:v>0.47397547</c:v>
                </c:pt>
                <c:pt idx="50">
                  <c:v>0.47397904</c:v>
                </c:pt>
              </c:numCache>
            </c:numRef>
          </c:yVal>
          <c:smooth val="0"/>
        </c:ser>
        <c:ser>
          <c:idx val="10"/>
          <c:order val="5"/>
          <c:tx>
            <c:v>30psi-40%hf</c:v>
          </c:tx>
          <c:spPr>
            <a:ln w="12700">
              <a:solidFill>
                <a:srgbClr val="C00000"/>
              </a:solidFill>
              <a:prstDash val="sysDash"/>
            </a:ln>
          </c:spPr>
          <c:marker>
            <c:symbol val="none"/>
          </c:marker>
          <c:xVal>
            <c:numRef>
              <c:f>'TQ-Absorption-30psi'!$AD$4:$AD$84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'TQ-Absorption-30psi'!$AE$4:$AE$84</c:f>
              <c:numCache>
                <c:formatCode>General</c:formatCode>
                <c:ptCount val="81"/>
                <c:pt idx="0">
                  <c:v>0.01627896</c:v>
                </c:pt>
                <c:pt idx="1">
                  <c:v>0.08978255</c:v>
                </c:pt>
                <c:pt idx="2">
                  <c:v>0.1504059</c:v>
                </c:pt>
                <c:pt idx="3">
                  <c:v>0.18647154</c:v>
                </c:pt>
                <c:pt idx="4">
                  <c:v>0.20396969</c:v>
                </c:pt>
                <c:pt idx="5">
                  <c:v>0.21623301</c:v>
                </c:pt>
                <c:pt idx="6">
                  <c:v>0.22902992</c:v>
                </c:pt>
                <c:pt idx="7">
                  <c:v>0.24338285</c:v>
                </c:pt>
                <c:pt idx="8">
                  <c:v>0.25917928</c:v>
                </c:pt>
                <c:pt idx="9">
                  <c:v>0.27615391</c:v>
                </c:pt>
                <c:pt idx="10">
                  <c:v>0.29402336</c:v>
                </c:pt>
                <c:pt idx="11">
                  <c:v>0.31250309</c:v>
                </c:pt>
                <c:pt idx="12">
                  <c:v>0.33131508</c:v>
                </c:pt>
                <c:pt idx="13">
                  <c:v>0.35019457</c:v>
                </c:pt>
                <c:pt idx="14">
                  <c:v>0.36889577</c:v>
                </c:pt>
                <c:pt idx="15">
                  <c:v>0.38719662</c:v>
                </c:pt>
                <c:pt idx="16">
                  <c:v>0.40490242</c:v>
                </c:pt>
                <c:pt idx="17">
                  <c:v>0.42184817</c:v>
                </c:pt>
                <c:pt idx="18">
                  <c:v>0.43789986</c:v>
                </c:pt>
                <c:pt idx="19">
                  <c:v>0.4529546</c:v>
                </c:pt>
                <c:pt idx="20">
                  <c:v>0.46693977</c:v>
                </c:pt>
                <c:pt idx="21">
                  <c:v>0.47981135</c:v>
                </c:pt>
                <c:pt idx="22">
                  <c:v>0.49155153</c:v>
                </c:pt>
                <c:pt idx="23">
                  <c:v>0.50216582</c:v>
                </c:pt>
                <c:pt idx="24">
                  <c:v>0.51167978</c:v>
                </c:pt>
                <c:pt idx="25">
                  <c:v>0.52013566</c:v>
                </c:pt>
                <c:pt idx="26">
                  <c:v>0.52758892</c:v>
                </c:pt>
                <c:pt idx="27">
                  <c:v>0.5341049</c:v>
                </c:pt>
                <c:pt idx="28">
                  <c:v>0.53975567</c:v>
                </c:pt>
                <c:pt idx="29">
                  <c:v>0.54461724</c:v>
                </c:pt>
                <c:pt idx="30">
                  <c:v>0.54876702</c:v>
                </c:pt>
                <c:pt idx="31">
                  <c:v>0.55228172</c:v>
                </c:pt>
                <c:pt idx="32">
                  <c:v>0.55523566</c:v>
                </c:pt>
                <c:pt idx="33">
                  <c:v>0.55769938</c:v>
                </c:pt>
                <c:pt idx="34">
                  <c:v>0.55973869</c:v>
                </c:pt>
                <c:pt idx="35">
                  <c:v>0.56141405</c:v>
                </c:pt>
                <c:pt idx="36">
                  <c:v>0.56278015</c:v>
                </c:pt>
                <c:pt idx="37">
                  <c:v>0.56388582</c:v>
                </c:pt>
                <c:pt idx="38">
                  <c:v>0.56477413</c:v>
                </c:pt>
                <c:pt idx="39">
                  <c:v>0.56548257</c:v>
                </c:pt>
                <c:pt idx="40">
                  <c:v>0.56604346</c:v>
                </c:pt>
                <c:pt idx="41">
                  <c:v>0.5664843</c:v>
                </c:pt>
                <c:pt idx="42">
                  <c:v>0.56682829</c:v>
                </c:pt>
                <c:pt idx="43">
                  <c:v>0.56709477</c:v>
                </c:pt>
                <c:pt idx="44">
                  <c:v>0.56729973</c:v>
                </c:pt>
                <c:pt idx="45">
                  <c:v>0.56745625</c:v>
                </c:pt>
                <c:pt idx="46">
                  <c:v>0.56757492</c:v>
                </c:pt>
                <c:pt idx="47">
                  <c:v>0.56766427</c:v>
                </c:pt>
                <c:pt idx="48">
                  <c:v>0.56773105</c:v>
                </c:pt>
                <c:pt idx="49">
                  <c:v>0.56778062</c:v>
                </c:pt>
                <c:pt idx="50">
                  <c:v>0.56781716</c:v>
                </c:pt>
              </c:numCache>
            </c:numRef>
          </c:yVal>
          <c:smooth val="0"/>
        </c:ser>
        <c:ser>
          <c:idx val="12"/>
          <c:order val="6"/>
          <c:tx>
            <c:v>30psi70%hf</c:v>
          </c:tx>
          <c:spPr>
            <a:ln w="12700">
              <a:solidFill>
                <a:srgbClr val="00B050"/>
              </a:solidFill>
              <a:prstDash val="sysDash"/>
            </a:ln>
          </c:spPr>
          <c:marker>
            <c:symbol val="none"/>
          </c:marker>
          <c:xVal>
            <c:numRef>
              <c:f>'TQ-Absorption-30psi'!$AH$4:$AH$84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'TQ-Absorption-30psi'!$AI$4:$AI$84</c:f>
              <c:numCache>
                <c:formatCode>General</c:formatCode>
                <c:ptCount val="81"/>
                <c:pt idx="0">
                  <c:v>0.02069546</c:v>
                </c:pt>
                <c:pt idx="1">
                  <c:v>0.20192596</c:v>
                </c:pt>
                <c:pt idx="2">
                  <c:v>0.3234835</c:v>
                </c:pt>
                <c:pt idx="3">
                  <c:v>0.36350615</c:v>
                </c:pt>
                <c:pt idx="4">
                  <c:v>0.38034105</c:v>
                </c:pt>
                <c:pt idx="5">
                  <c:v>0.39764606</c:v>
                </c:pt>
                <c:pt idx="6">
                  <c:v>0.41749737</c:v>
                </c:pt>
                <c:pt idx="7">
                  <c:v>0.4393958</c:v>
                </c:pt>
                <c:pt idx="8">
                  <c:v>0.4627135</c:v>
                </c:pt>
                <c:pt idx="9">
                  <c:v>0.4868229</c:v>
                </c:pt>
                <c:pt idx="10">
                  <c:v>0.51112547</c:v>
                </c:pt>
                <c:pt idx="11">
                  <c:v>0.53507499</c:v>
                </c:pt>
                <c:pt idx="12">
                  <c:v>0.55819577</c:v>
                </c:pt>
                <c:pt idx="13">
                  <c:v>0.58009506</c:v>
                </c:pt>
                <c:pt idx="14">
                  <c:v>0.60046958</c:v>
                </c:pt>
                <c:pt idx="15">
                  <c:v>0.61910646</c:v>
                </c:pt>
                <c:pt idx="16">
                  <c:v>0.63587932</c:v>
                </c:pt>
                <c:pt idx="17">
                  <c:v>0.65074032</c:v>
                </c:pt>
                <c:pt idx="18">
                  <c:v>0.66370939</c:v>
                </c:pt>
                <c:pt idx="19">
                  <c:v>0.67486179</c:v>
                </c:pt>
                <c:pt idx="20">
                  <c:v>0.68431491</c:v>
                </c:pt>
                <c:pt idx="21">
                  <c:v>0.69221546</c:v>
                </c:pt>
                <c:pt idx="22">
                  <c:v>0.6987276</c:v>
                </c:pt>
                <c:pt idx="23">
                  <c:v>0.70402263</c:v>
                </c:pt>
                <c:pt idx="24">
                  <c:v>0.70827053</c:v>
                </c:pt>
                <c:pt idx="25">
                  <c:v>0.7116334</c:v>
                </c:pt>
                <c:pt idx="26">
                  <c:v>0.7142609</c:v>
                </c:pt>
                <c:pt idx="27">
                  <c:v>0.71628731</c:v>
                </c:pt>
                <c:pt idx="28">
                  <c:v>0.71783011</c:v>
                </c:pt>
                <c:pt idx="29">
                  <c:v>0.71898979</c:v>
                </c:pt>
                <c:pt idx="30">
                  <c:v>0.71985049</c:v>
                </c:pt>
                <c:pt idx="31">
                  <c:v>0.72048128</c:v>
                </c:pt>
                <c:pt idx="32">
                  <c:v>0.72093782</c:v>
                </c:pt>
                <c:pt idx="33">
                  <c:v>0.72126414</c:v>
                </c:pt>
                <c:pt idx="34">
                  <c:v>0.7214945</c:v>
                </c:pt>
                <c:pt idx="35">
                  <c:v>0.72165514</c:v>
                </c:pt>
                <c:pt idx="36">
                  <c:v>0.72176577</c:v>
                </c:pt>
                <c:pt idx="37">
                  <c:v>0.72184105</c:v>
                </c:pt>
                <c:pt idx="38">
                  <c:v>0.72189164</c:v>
                </c:pt>
                <c:pt idx="39">
                  <c:v>0.72192523</c:v>
                </c:pt>
                <c:pt idx="40">
                  <c:v>0.72194726</c:v>
                </c:pt>
                <c:pt idx="41">
                  <c:v>0.72196154</c:v>
                </c:pt>
                <c:pt idx="42">
                  <c:v>0.72197069</c:v>
                </c:pt>
                <c:pt idx="43">
                  <c:v>0.72197647</c:v>
                </c:pt>
                <c:pt idx="44">
                  <c:v>0.72198009</c:v>
                </c:pt>
                <c:pt idx="45">
                  <c:v>0.72198232</c:v>
                </c:pt>
                <c:pt idx="46">
                  <c:v>0.72198368</c:v>
                </c:pt>
                <c:pt idx="47">
                  <c:v>0.72198451</c:v>
                </c:pt>
                <c:pt idx="48">
                  <c:v>0.721985</c:v>
                </c:pt>
                <c:pt idx="49">
                  <c:v>0.72198528</c:v>
                </c:pt>
                <c:pt idx="50">
                  <c:v>0.72198545</c:v>
                </c:pt>
              </c:numCache>
            </c:numRef>
          </c:yVal>
          <c:smooth val="0"/>
        </c:ser>
        <c:ser>
          <c:idx val="14"/>
          <c:order val="7"/>
          <c:tx>
            <c:v>30psi99%hf</c:v>
          </c:tx>
          <c:spPr>
            <a:ln w="12700">
              <a:solidFill>
                <a:srgbClr val="7030A0"/>
              </a:solidFill>
              <a:prstDash val="sysDash"/>
            </a:ln>
          </c:spPr>
          <c:marker>
            <c:symbol val="none"/>
          </c:marker>
          <c:xVal>
            <c:numRef>
              <c:f>'TQ-Absorption-30psi'!$AL$4:$AL$84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'TQ-Absorption-30psi'!$AM$4:$AM$84</c:f>
              <c:numCache>
                <c:formatCode>General</c:formatCode>
                <c:ptCount val="81"/>
                <c:pt idx="0">
                  <c:v>0.03009001</c:v>
                </c:pt>
                <c:pt idx="1">
                  <c:v>0.32242671</c:v>
                </c:pt>
                <c:pt idx="2">
                  <c:v>0.53438496</c:v>
                </c:pt>
                <c:pt idx="3">
                  <c:v>0.61497082</c:v>
                </c:pt>
                <c:pt idx="4">
                  <c:v>0.63810314</c:v>
                </c:pt>
                <c:pt idx="5">
                  <c:v>0.65409947</c:v>
                </c:pt>
                <c:pt idx="6">
                  <c:v>0.67197822</c:v>
                </c:pt>
                <c:pt idx="7">
                  <c:v>0.69204235</c:v>
                </c:pt>
                <c:pt idx="8">
                  <c:v>0.71387225</c:v>
                </c:pt>
                <c:pt idx="9">
                  <c:v>0.7370066</c:v>
                </c:pt>
                <c:pt idx="10">
                  <c:v>0.76098201</c:v>
                </c:pt>
                <c:pt idx="11">
                  <c:v>0.78534842</c:v>
                </c:pt>
                <c:pt idx="12">
                  <c:v>0.80968258</c:v>
                </c:pt>
                <c:pt idx="13">
                  <c:v>0.83359924</c:v>
                </c:pt>
                <c:pt idx="14">
                  <c:v>0.85675999</c:v>
                </c:pt>
                <c:pt idx="15">
                  <c:v>0.87887927</c:v>
                </c:pt>
                <c:pt idx="16">
                  <c:v>0.89972778</c:v>
                </c:pt>
                <c:pt idx="17">
                  <c:v>0.91913322</c:v>
                </c:pt>
                <c:pt idx="18">
                  <c:v>0.93697879</c:v>
                </c:pt>
                <c:pt idx="19">
                  <c:v>0.9531996</c:v>
                </c:pt>
                <c:pt idx="20">
                  <c:v>0.96777769</c:v>
                </c:pt>
                <c:pt idx="21">
                  <c:v>0.98073576</c:v>
                </c:pt>
                <c:pt idx="22">
                  <c:v>0.99213045</c:v>
                </c:pt>
                <c:pt idx="23">
                  <c:v>1.00204515</c:v>
                </c:pt>
                <c:pt idx="24">
                  <c:v>1.01058312</c:v>
                </c:pt>
                <c:pt idx="25">
                  <c:v>1.0178609</c:v>
                </c:pt>
                <c:pt idx="26">
                  <c:v>1.02400241</c:v>
                </c:pt>
                <c:pt idx="27">
                  <c:v>1.02913384</c:v>
                </c:pt>
                <c:pt idx="28">
                  <c:v>1.03337946</c:v>
                </c:pt>
                <c:pt idx="29">
                  <c:v>1.03685821</c:v>
                </c:pt>
                <c:pt idx="30">
                  <c:v>1.03968132</c:v>
                </c:pt>
                <c:pt idx="31">
                  <c:v>1.04195061</c:v>
                </c:pt>
                <c:pt idx="32">
                  <c:v>1.04375754</c:v>
                </c:pt>
                <c:pt idx="33">
                  <c:v>1.04518285</c:v>
                </c:pt>
                <c:pt idx="34">
                  <c:v>1.0462967</c:v>
                </c:pt>
                <c:pt idx="35">
                  <c:v>1.04715909</c:v>
                </c:pt>
                <c:pt idx="36">
                  <c:v>1.04782068</c:v>
                </c:pt>
                <c:pt idx="37">
                  <c:v>1.04832356</c:v>
                </c:pt>
                <c:pt idx="38">
                  <c:v>1.04870235</c:v>
                </c:pt>
                <c:pt idx="39">
                  <c:v>1.04898506</c:v>
                </c:pt>
                <c:pt idx="40">
                  <c:v>1.04919418</c:v>
                </c:pt>
                <c:pt idx="41">
                  <c:v>1.04934746</c:v>
                </c:pt>
                <c:pt idx="42">
                  <c:v>1.04945881</c:v>
                </c:pt>
                <c:pt idx="43">
                  <c:v>1.04953898</c:v>
                </c:pt>
                <c:pt idx="44">
                  <c:v>1.04959618</c:v>
                </c:pt>
                <c:pt idx="45">
                  <c:v>1.04963663</c:v>
                </c:pt>
                <c:pt idx="46">
                  <c:v>1.04966499</c:v>
                </c:pt>
                <c:pt idx="47">
                  <c:v>1.04968469</c:v>
                </c:pt>
                <c:pt idx="48">
                  <c:v>1.04969825</c:v>
                </c:pt>
                <c:pt idx="49">
                  <c:v>1.04970751</c:v>
                </c:pt>
                <c:pt idx="50">
                  <c:v>1.04971378</c:v>
                </c:pt>
              </c:numCache>
            </c:numRef>
          </c:yVal>
          <c:smooth val="0"/>
        </c:ser>
        <c:dLbls>
          <c:showLegendKey val="0"/>
          <c:showVal val="0"/>
          <c:showCatName val="0"/>
          <c:showSerName val="0"/>
          <c:showPercent val="0"/>
          <c:showBubbleSize val="0"/>
        </c:dLbls>
        <c:axId val="521277176"/>
        <c:axId val="521265512"/>
      </c:scatterChart>
      <c:valAx>
        <c:axId val="521277176"/>
        <c:scaling>
          <c:orientation val="minMax"/>
          <c:max val="21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521265512"/>
        <c:crosses val="autoZero"/>
        <c:crossBetween val="midCat"/>
        <c:majorUnit val="50.0"/>
        <c:minorUnit val="12.5"/>
      </c:valAx>
      <c:valAx>
        <c:axId val="521265512"/>
        <c:scaling>
          <c:orientation val="minMax"/>
          <c:max val="2.5"/>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521277176"/>
        <c:crosses val="autoZero"/>
        <c:crossBetween val="midCat"/>
        <c:majorUnit val="1.0"/>
        <c:minorUnit val="0.25"/>
      </c:valAx>
      <c:spPr>
        <a:ln w="19050">
          <a:solidFill>
            <a:sysClr val="windowText" lastClr="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439910583210997"/>
          <c:y val="0.0374139690871974"/>
          <c:w val="0.475343654077139"/>
          <c:h val="0.101097987751531"/>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5724009075137"/>
          <c:y val="0.0333333333333333"/>
          <c:w val="0.745862805284932"/>
          <c:h val="0.793114975211432"/>
        </c:manualLayout>
      </c:layout>
      <c:scatterChart>
        <c:scatterStyle val="lineMarker"/>
        <c:varyColors val="0"/>
        <c:ser>
          <c:idx val="0"/>
          <c:order val="0"/>
          <c:tx>
            <c:v>2% RH</c:v>
          </c:tx>
          <c:spPr>
            <a:ln w="28575">
              <a:noFill/>
            </a:ln>
          </c:spPr>
          <c:marker>
            <c:symbol val="circle"/>
            <c:size val="4"/>
            <c:spPr>
              <a:solidFill>
                <a:srgbClr val="0070C0">
                  <a:alpha val="50000"/>
                </a:srgbClr>
              </a:solidFill>
              <a:ln w="12700">
                <a:solidFill>
                  <a:schemeClr val="tx1"/>
                </a:solidFill>
              </a:ln>
            </c:spPr>
          </c:marker>
          <c:xVal>
            <c:numRef>
              <c:f>'TQ-Absorption-50psi'!$A$4:$A$34</c:f>
              <c:numCache>
                <c:formatCode>General</c:formatCode>
                <c:ptCount val="31"/>
                <c:pt idx="0">
                  <c:v>1.49</c:v>
                </c:pt>
                <c:pt idx="1">
                  <c:v>2.43</c:v>
                </c:pt>
                <c:pt idx="2">
                  <c:v>5.22</c:v>
                </c:pt>
                <c:pt idx="3">
                  <c:v>7.33</c:v>
                </c:pt>
                <c:pt idx="4">
                  <c:v>14.0</c:v>
                </c:pt>
                <c:pt idx="5">
                  <c:v>19.73</c:v>
                </c:pt>
                <c:pt idx="6">
                  <c:v>26.91</c:v>
                </c:pt>
                <c:pt idx="7">
                  <c:v>30.78</c:v>
                </c:pt>
                <c:pt idx="8">
                  <c:v>37.35</c:v>
                </c:pt>
                <c:pt idx="9">
                  <c:v>41.88</c:v>
                </c:pt>
                <c:pt idx="10">
                  <c:v>47.03</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130.24</c:v>
                </c:pt>
              </c:numCache>
            </c:numRef>
          </c:xVal>
          <c:yVal>
            <c:numRef>
              <c:f>'TQ-Absorption-50psi'!$B$4:$B$34</c:f>
              <c:numCache>
                <c:formatCode>General</c:formatCode>
                <c:ptCount val="31"/>
                <c:pt idx="0">
                  <c:v>0.066</c:v>
                </c:pt>
                <c:pt idx="1">
                  <c:v>0.0788</c:v>
                </c:pt>
                <c:pt idx="2">
                  <c:v>0.0942</c:v>
                </c:pt>
                <c:pt idx="3">
                  <c:v>0.1062</c:v>
                </c:pt>
                <c:pt idx="4">
                  <c:v>0.1233</c:v>
                </c:pt>
                <c:pt idx="5">
                  <c:v>0.147</c:v>
                </c:pt>
                <c:pt idx="6">
                  <c:v>0.1633</c:v>
                </c:pt>
                <c:pt idx="7">
                  <c:v>0.1613</c:v>
                </c:pt>
                <c:pt idx="8">
                  <c:v>0.1963</c:v>
                </c:pt>
                <c:pt idx="9">
                  <c:v>0.1919</c:v>
                </c:pt>
                <c:pt idx="10">
                  <c:v>0.1965</c:v>
                </c:pt>
                <c:pt idx="11">
                  <c:v>0.2</c:v>
                </c:pt>
                <c:pt idx="12">
                  <c:v>0.2342</c:v>
                </c:pt>
                <c:pt idx="13">
                  <c:v>0.2291</c:v>
                </c:pt>
                <c:pt idx="14">
                  <c:v>0.2723</c:v>
                </c:pt>
                <c:pt idx="15">
                  <c:v>0.3003</c:v>
                </c:pt>
                <c:pt idx="16">
                  <c:v>0.3239</c:v>
                </c:pt>
                <c:pt idx="17">
                  <c:v>0.3528</c:v>
                </c:pt>
                <c:pt idx="18">
                  <c:v>0.3585</c:v>
                </c:pt>
                <c:pt idx="19">
                  <c:v>0.3705</c:v>
                </c:pt>
                <c:pt idx="20">
                  <c:v>0.377</c:v>
                </c:pt>
                <c:pt idx="21">
                  <c:v>0.4102</c:v>
                </c:pt>
                <c:pt idx="22">
                  <c:v>0.4023</c:v>
                </c:pt>
                <c:pt idx="23">
                  <c:v>0.3994</c:v>
                </c:pt>
                <c:pt idx="24">
                  <c:v>0.4221</c:v>
                </c:pt>
              </c:numCache>
            </c:numRef>
          </c:yVal>
          <c:smooth val="0"/>
        </c:ser>
        <c:ser>
          <c:idx val="1"/>
          <c:order val="1"/>
          <c:tx>
            <c:v>40% RH</c:v>
          </c:tx>
          <c:spPr>
            <a:ln w="28575">
              <a:noFill/>
            </a:ln>
          </c:spPr>
          <c:marker>
            <c:symbol val="circle"/>
            <c:size val="4"/>
            <c:spPr>
              <a:solidFill>
                <a:srgbClr val="C00000">
                  <a:alpha val="50000"/>
                </a:srgbClr>
              </a:solidFill>
              <a:ln w="12700">
                <a:solidFill>
                  <a:sysClr val="windowText" lastClr="000000"/>
                </a:solidFill>
              </a:ln>
            </c:spPr>
          </c:marker>
          <c:xVal>
            <c:numRef>
              <c:f>'TQ-Absorption-50psi'!$G$4:$G$34</c:f>
              <c:numCache>
                <c:formatCode>General</c:formatCode>
                <c:ptCount val="31"/>
                <c:pt idx="0">
                  <c:v>1.53</c:v>
                </c:pt>
                <c:pt idx="1">
                  <c:v>2.45</c:v>
                </c:pt>
                <c:pt idx="2">
                  <c:v>5.23</c:v>
                </c:pt>
                <c:pt idx="3">
                  <c:v>7.34</c:v>
                </c:pt>
                <c:pt idx="4">
                  <c:v>14.0</c:v>
                </c:pt>
                <c:pt idx="5">
                  <c:v>19.73999999999999</c:v>
                </c:pt>
                <c:pt idx="6">
                  <c:v>26.91</c:v>
                </c:pt>
                <c:pt idx="7">
                  <c:v>30.78</c:v>
                </c:pt>
                <c:pt idx="8">
                  <c:v>37.35</c:v>
                </c:pt>
                <c:pt idx="9">
                  <c:v>41.88</c:v>
                </c:pt>
                <c:pt idx="10">
                  <c:v>47.03</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130.24</c:v>
                </c:pt>
              </c:numCache>
            </c:numRef>
          </c:xVal>
          <c:yVal>
            <c:numRef>
              <c:f>'TQ-Absorption-50psi'!$H$4:$H$34</c:f>
              <c:numCache>
                <c:formatCode>General</c:formatCode>
                <c:ptCount val="31"/>
                <c:pt idx="0">
                  <c:v>0.0878</c:v>
                </c:pt>
                <c:pt idx="1">
                  <c:v>0.0991</c:v>
                </c:pt>
                <c:pt idx="2">
                  <c:v>0.1206</c:v>
                </c:pt>
                <c:pt idx="3">
                  <c:v>0.1415</c:v>
                </c:pt>
                <c:pt idx="4">
                  <c:v>0.1477</c:v>
                </c:pt>
                <c:pt idx="5">
                  <c:v>0.1747</c:v>
                </c:pt>
                <c:pt idx="6">
                  <c:v>0.1852</c:v>
                </c:pt>
                <c:pt idx="7">
                  <c:v>0.1954</c:v>
                </c:pt>
                <c:pt idx="8">
                  <c:v>0.2103</c:v>
                </c:pt>
                <c:pt idx="9">
                  <c:v>0.2166</c:v>
                </c:pt>
                <c:pt idx="10">
                  <c:v>0.2128</c:v>
                </c:pt>
                <c:pt idx="11">
                  <c:v>0.2151</c:v>
                </c:pt>
                <c:pt idx="12">
                  <c:v>0.2438</c:v>
                </c:pt>
                <c:pt idx="13">
                  <c:v>0.2749</c:v>
                </c:pt>
                <c:pt idx="14">
                  <c:v>0.3118</c:v>
                </c:pt>
                <c:pt idx="15">
                  <c:v>0.3467</c:v>
                </c:pt>
                <c:pt idx="16">
                  <c:v>0.381</c:v>
                </c:pt>
                <c:pt idx="17">
                  <c:v>0.3988</c:v>
                </c:pt>
                <c:pt idx="18">
                  <c:v>0.4115</c:v>
                </c:pt>
                <c:pt idx="19">
                  <c:v>0.4149</c:v>
                </c:pt>
                <c:pt idx="20">
                  <c:v>0.4301</c:v>
                </c:pt>
                <c:pt idx="21">
                  <c:v>0.4448</c:v>
                </c:pt>
                <c:pt idx="22">
                  <c:v>0.4563</c:v>
                </c:pt>
                <c:pt idx="23">
                  <c:v>0.4507</c:v>
                </c:pt>
                <c:pt idx="24">
                  <c:v>0.4623</c:v>
                </c:pt>
              </c:numCache>
            </c:numRef>
          </c:yVal>
          <c:smooth val="0"/>
        </c:ser>
        <c:ser>
          <c:idx val="2"/>
          <c:order val="2"/>
          <c:tx>
            <c:v>70% RH</c:v>
          </c:tx>
          <c:spPr>
            <a:ln w="28575">
              <a:noFill/>
            </a:ln>
          </c:spPr>
          <c:marker>
            <c:symbol val="circle"/>
            <c:size val="4"/>
            <c:spPr>
              <a:solidFill>
                <a:srgbClr val="00B050">
                  <a:alpha val="50000"/>
                </a:srgbClr>
              </a:solidFill>
              <a:ln w="12700">
                <a:solidFill>
                  <a:sysClr val="windowText" lastClr="000000"/>
                </a:solidFill>
              </a:ln>
            </c:spPr>
          </c:marker>
          <c:xVal>
            <c:numRef>
              <c:f>'TQ-Absorption-50psi'!$M$4:$M$34</c:f>
              <c:numCache>
                <c:formatCode>General</c:formatCode>
                <c:ptCount val="31"/>
                <c:pt idx="0">
                  <c:v>1.57</c:v>
                </c:pt>
                <c:pt idx="1">
                  <c:v>2.47</c:v>
                </c:pt>
                <c:pt idx="2">
                  <c:v>5.24</c:v>
                </c:pt>
                <c:pt idx="3">
                  <c:v>7.35</c:v>
                </c:pt>
                <c:pt idx="4">
                  <c:v>14.0</c:v>
                </c:pt>
                <c:pt idx="5">
                  <c:v>19.73999999999999</c:v>
                </c:pt>
                <c:pt idx="6">
                  <c:v>26.91</c:v>
                </c:pt>
                <c:pt idx="7">
                  <c:v>30.78</c:v>
                </c:pt>
                <c:pt idx="8">
                  <c:v>37.35</c:v>
                </c:pt>
                <c:pt idx="9">
                  <c:v>41.88</c:v>
                </c:pt>
                <c:pt idx="10">
                  <c:v>47.04</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130.24</c:v>
                </c:pt>
              </c:numCache>
            </c:numRef>
          </c:xVal>
          <c:yVal>
            <c:numRef>
              <c:f>'TQ-Absorption-50psi'!$N$4:$N$34</c:f>
              <c:numCache>
                <c:formatCode>General</c:formatCode>
                <c:ptCount val="31"/>
                <c:pt idx="0">
                  <c:v>0.134</c:v>
                </c:pt>
                <c:pt idx="1">
                  <c:v>0.1596</c:v>
                </c:pt>
                <c:pt idx="2">
                  <c:v>0.2158</c:v>
                </c:pt>
                <c:pt idx="3">
                  <c:v>0.2516</c:v>
                </c:pt>
                <c:pt idx="4">
                  <c:v>0.3112</c:v>
                </c:pt>
                <c:pt idx="5">
                  <c:v>0.3567</c:v>
                </c:pt>
                <c:pt idx="6">
                  <c:v>0.3808</c:v>
                </c:pt>
                <c:pt idx="7">
                  <c:v>0.3741</c:v>
                </c:pt>
                <c:pt idx="8">
                  <c:v>0.4124</c:v>
                </c:pt>
                <c:pt idx="9">
                  <c:v>0.4078</c:v>
                </c:pt>
                <c:pt idx="10">
                  <c:v>0.407</c:v>
                </c:pt>
                <c:pt idx="11">
                  <c:v>0.4204</c:v>
                </c:pt>
                <c:pt idx="12">
                  <c:v>0.4441</c:v>
                </c:pt>
                <c:pt idx="13">
                  <c:v>0.4934</c:v>
                </c:pt>
                <c:pt idx="14">
                  <c:v>0.5293</c:v>
                </c:pt>
                <c:pt idx="15">
                  <c:v>0.5653</c:v>
                </c:pt>
                <c:pt idx="16">
                  <c:v>0.594</c:v>
                </c:pt>
                <c:pt idx="17">
                  <c:v>0.6042</c:v>
                </c:pt>
                <c:pt idx="18">
                  <c:v>0.6305</c:v>
                </c:pt>
                <c:pt idx="19">
                  <c:v>0.6227</c:v>
                </c:pt>
                <c:pt idx="20">
                  <c:v>0.6251</c:v>
                </c:pt>
                <c:pt idx="21">
                  <c:v>0.6413</c:v>
                </c:pt>
                <c:pt idx="22">
                  <c:v>0.6515</c:v>
                </c:pt>
                <c:pt idx="23">
                  <c:v>0.6705</c:v>
                </c:pt>
                <c:pt idx="24">
                  <c:v>0.6709</c:v>
                </c:pt>
              </c:numCache>
            </c:numRef>
          </c:yVal>
          <c:smooth val="0"/>
        </c:ser>
        <c:ser>
          <c:idx val="3"/>
          <c:order val="3"/>
          <c:tx>
            <c:v>99% RH</c:v>
          </c:tx>
          <c:spPr>
            <a:ln w="28575">
              <a:noFill/>
            </a:ln>
          </c:spPr>
          <c:marker>
            <c:symbol val="circle"/>
            <c:size val="4"/>
            <c:spPr>
              <a:solidFill>
                <a:srgbClr val="7030A0">
                  <a:alpha val="50000"/>
                </a:srgbClr>
              </a:solidFill>
              <a:ln w="12700">
                <a:solidFill>
                  <a:sysClr val="windowText" lastClr="000000"/>
                </a:solidFill>
              </a:ln>
            </c:spPr>
          </c:marker>
          <c:xVal>
            <c:numRef>
              <c:f>'TQ-Absorption-50psi'!$S$4:$S$34</c:f>
              <c:numCache>
                <c:formatCode>General</c:formatCode>
                <c:ptCount val="31"/>
                <c:pt idx="0">
                  <c:v>1.6</c:v>
                </c:pt>
                <c:pt idx="1">
                  <c:v>2.5</c:v>
                </c:pt>
                <c:pt idx="2">
                  <c:v>5.26</c:v>
                </c:pt>
                <c:pt idx="3">
                  <c:v>7.359999999999998</c:v>
                </c:pt>
                <c:pt idx="4">
                  <c:v>14.01</c:v>
                </c:pt>
                <c:pt idx="5">
                  <c:v>19.73999999999999</c:v>
                </c:pt>
                <c:pt idx="6">
                  <c:v>26.92</c:v>
                </c:pt>
                <c:pt idx="7">
                  <c:v>30.78</c:v>
                </c:pt>
                <c:pt idx="8">
                  <c:v>37.35</c:v>
                </c:pt>
                <c:pt idx="9">
                  <c:v>41.88</c:v>
                </c:pt>
                <c:pt idx="10">
                  <c:v>47.04</c:v>
                </c:pt>
                <c:pt idx="11">
                  <c:v>52.07</c:v>
                </c:pt>
                <c:pt idx="12">
                  <c:v>56.53</c:v>
                </c:pt>
                <c:pt idx="13">
                  <c:v>62.38</c:v>
                </c:pt>
                <c:pt idx="14">
                  <c:v>68.78</c:v>
                </c:pt>
                <c:pt idx="15">
                  <c:v>77.64</c:v>
                </c:pt>
                <c:pt idx="16">
                  <c:v>85.28</c:v>
                </c:pt>
                <c:pt idx="17">
                  <c:v>90.74</c:v>
                </c:pt>
                <c:pt idx="18">
                  <c:v>97.25</c:v>
                </c:pt>
                <c:pt idx="19">
                  <c:v>102.06</c:v>
                </c:pt>
                <c:pt idx="20">
                  <c:v>108.22</c:v>
                </c:pt>
                <c:pt idx="21">
                  <c:v>113.95</c:v>
                </c:pt>
                <c:pt idx="22">
                  <c:v>119.39</c:v>
                </c:pt>
                <c:pt idx="23">
                  <c:v>124.42</c:v>
                </c:pt>
                <c:pt idx="24">
                  <c:v>130.25</c:v>
                </c:pt>
              </c:numCache>
            </c:numRef>
          </c:xVal>
          <c:yVal>
            <c:numRef>
              <c:f>'TQ-Absorption-50psi'!$T$4:$T$34</c:f>
              <c:numCache>
                <c:formatCode>General</c:formatCode>
                <c:ptCount val="31"/>
                <c:pt idx="0">
                  <c:v>0.1824</c:v>
                </c:pt>
                <c:pt idx="1">
                  <c:v>0.218</c:v>
                </c:pt>
                <c:pt idx="2">
                  <c:v>0.3318</c:v>
                </c:pt>
                <c:pt idx="3">
                  <c:v>0.3802</c:v>
                </c:pt>
                <c:pt idx="4">
                  <c:v>0.5388</c:v>
                </c:pt>
                <c:pt idx="5">
                  <c:v>0.6295</c:v>
                </c:pt>
                <c:pt idx="6">
                  <c:v>0.6647</c:v>
                </c:pt>
                <c:pt idx="7">
                  <c:v>0.6658</c:v>
                </c:pt>
                <c:pt idx="8">
                  <c:v>0.7142</c:v>
                </c:pt>
                <c:pt idx="9">
                  <c:v>0.7184</c:v>
                </c:pt>
                <c:pt idx="10">
                  <c:v>0.7344</c:v>
                </c:pt>
                <c:pt idx="11">
                  <c:v>0.7448</c:v>
                </c:pt>
                <c:pt idx="12">
                  <c:v>0.7579</c:v>
                </c:pt>
                <c:pt idx="13">
                  <c:v>0.7841</c:v>
                </c:pt>
                <c:pt idx="14">
                  <c:v>0.8205</c:v>
                </c:pt>
                <c:pt idx="15">
                  <c:v>0.8573</c:v>
                </c:pt>
                <c:pt idx="16">
                  <c:v>0.9076</c:v>
                </c:pt>
                <c:pt idx="17">
                  <c:v>0.918</c:v>
                </c:pt>
                <c:pt idx="18">
                  <c:v>0.9268</c:v>
                </c:pt>
                <c:pt idx="19">
                  <c:v>0.9346</c:v>
                </c:pt>
                <c:pt idx="20">
                  <c:v>0.9283</c:v>
                </c:pt>
                <c:pt idx="21">
                  <c:v>0.9587</c:v>
                </c:pt>
                <c:pt idx="22">
                  <c:v>0.9676</c:v>
                </c:pt>
                <c:pt idx="23">
                  <c:v>0.9506</c:v>
                </c:pt>
                <c:pt idx="24">
                  <c:v>0.985</c:v>
                </c:pt>
              </c:numCache>
            </c:numRef>
          </c:yVal>
          <c:smooth val="0"/>
        </c:ser>
        <c:ser>
          <c:idx val="8"/>
          <c:order val="4"/>
          <c:tx>
            <c:v>50psi-2%HF</c:v>
          </c:tx>
          <c:spPr>
            <a:ln w="12700">
              <a:solidFill>
                <a:srgbClr val="0070C0"/>
              </a:solidFill>
              <a:prstDash val="sysDash"/>
            </a:ln>
          </c:spPr>
          <c:marker>
            <c:symbol val="none"/>
          </c:marker>
          <c:xVal>
            <c:numRef>
              <c:f>'TQ-Absorption-50psi'!$Z$4:$Z$84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'TQ-Absorption-50psi'!$AA$4:$AA$84</c:f>
              <c:numCache>
                <c:formatCode>General</c:formatCode>
                <c:ptCount val="81"/>
                <c:pt idx="0">
                  <c:v>0.0145149</c:v>
                </c:pt>
                <c:pt idx="1">
                  <c:v>0.06769938</c:v>
                </c:pt>
                <c:pt idx="2">
                  <c:v>0.11084681</c:v>
                </c:pt>
                <c:pt idx="3">
                  <c:v>0.13493164</c:v>
                </c:pt>
                <c:pt idx="4">
                  <c:v>0.14599958</c:v>
                </c:pt>
                <c:pt idx="5">
                  <c:v>0.15406635</c:v>
                </c:pt>
                <c:pt idx="6">
                  <c:v>0.16282184</c:v>
                </c:pt>
                <c:pt idx="7">
                  <c:v>0.1728157</c:v>
                </c:pt>
                <c:pt idx="8">
                  <c:v>0.18398273</c:v>
                </c:pt>
                <c:pt idx="9">
                  <c:v>0.19618727</c:v>
                </c:pt>
                <c:pt idx="10">
                  <c:v>0.20928165</c:v>
                </c:pt>
                <c:pt idx="11">
                  <c:v>0.22311215</c:v>
                </c:pt>
                <c:pt idx="12">
                  <c:v>0.23752213</c:v>
                </c:pt>
                <c:pt idx="13">
                  <c:v>0.25235484</c:v>
                </c:pt>
                <c:pt idx="14">
                  <c:v>0.26745629</c:v>
                </c:pt>
                <c:pt idx="15">
                  <c:v>0.28267775</c:v>
                </c:pt>
                <c:pt idx="16">
                  <c:v>0.29787805</c:v>
                </c:pt>
                <c:pt idx="17">
                  <c:v>0.3129256</c:v>
                </c:pt>
                <c:pt idx="18">
                  <c:v>0.32770001</c:v>
                </c:pt>
                <c:pt idx="19">
                  <c:v>0.34209341</c:v>
                </c:pt>
                <c:pt idx="20">
                  <c:v>0.35601135</c:v>
                </c:pt>
                <c:pt idx="21">
                  <c:v>0.36937338</c:v>
                </c:pt>
                <c:pt idx="22">
                  <c:v>0.38211322</c:v>
                </c:pt>
                <c:pt idx="23">
                  <c:v>0.3941787</c:v>
                </c:pt>
                <c:pt idx="24">
                  <c:v>0.40553131</c:v>
                </c:pt>
                <c:pt idx="25">
                  <c:v>0.41614557</c:v>
                </c:pt>
                <c:pt idx="26">
                  <c:v>0.4260081</c:v>
                </c:pt>
                <c:pt idx="27">
                  <c:v>0.43511664</c:v>
                </c:pt>
                <c:pt idx="28">
                  <c:v>0.44347882</c:v>
                </c:pt>
                <c:pt idx="29">
                  <c:v>0.45111096</c:v>
                </c:pt>
                <c:pt idx="30">
                  <c:v>0.4580367</c:v>
                </c:pt>
                <c:pt idx="31">
                  <c:v>0.46428581</c:v>
                </c:pt>
                <c:pt idx="32">
                  <c:v>0.46989284</c:v>
                </c:pt>
                <c:pt idx="33">
                  <c:v>0.47489593</c:v>
                </c:pt>
                <c:pt idx="34">
                  <c:v>0.47933574</c:v>
                </c:pt>
                <c:pt idx="35">
                  <c:v>0.48325435</c:v>
                </c:pt>
                <c:pt idx="36">
                  <c:v>0.4866944</c:v>
                </c:pt>
                <c:pt idx="37">
                  <c:v>0.4896983</c:v>
                </c:pt>
                <c:pt idx="38">
                  <c:v>0.4923075</c:v>
                </c:pt>
                <c:pt idx="39">
                  <c:v>0.49456202</c:v>
                </c:pt>
                <c:pt idx="40">
                  <c:v>0.49649994</c:v>
                </c:pt>
                <c:pt idx="41">
                  <c:v>0.49815713</c:v>
                </c:pt>
                <c:pt idx="42">
                  <c:v>0.49956698</c:v>
                </c:pt>
                <c:pt idx="43">
                  <c:v>0.50076028</c:v>
                </c:pt>
                <c:pt idx="44">
                  <c:v>0.50176518</c:v>
                </c:pt>
                <c:pt idx="45">
                  <c:v>0.50260715</c:v>
                </c:pt>
                <c:pt idx="46">
                  <c:v>0.50330905</c:v>
                </c:pt>
                <c:pt idx="47">
                  <c:v>0.50389127</c:v>
                </c:pt>
                <c:pt idx="48">
                  <c:v>0.5043718</c:v>
                </c:pt>
                <c:pt idx="49">
                  <c:v>0.50476644</c:v>
                </c:pt>
                <c:pt idx="50">
                  <c:v>0.50508893</c:v>
                </c:pt>
              </c:numCache>
            </c:numRef>
          </c:yVal>
          <c:smooth val="0"/>
        </c:ser>
        <c:ser>
          <c:idx val="10"/>
          <c:order val="5"/>
          <c:tx>
            <c:v>50psi-40%hf</c:v>
          </c:tx>
          <c:spPr>
            <a:ln w="12700">
              <a:solidFill>
                <a:srgbClr val="C00000"/>
              </a:solidFill>
              <a:prstDash val="sysDash"/>
            </a:ln>
          </c:spPr>
          <c:marker>
            <c:symbol val="none"/>
          </c:marker>
          <c:xVal>
            <c:numRef>
              <c:f>'TQ-Absorption-50psi'!$AD$4:$AD$84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'TQ-Absorption-50psi'!$AE$4:$AE$84</c:f>
              <c:numCache>
                <c:formatCode>General</c:formatCode>
                <c:ptCount val="81"/>
                <c:pt idx="0">
                  <c:v>0.01556725</c:v>
                </c:pt>
                <c:pt idx="1">
                  <c:v>0.08011187</c:v>
                </c:pt>
                <c:pt idx="2">
                  <c:v>0.13064982</c:v>
                </c:pt>
                <c:pt idx="3">
                  <c:v>0.15565873</c:v>
                </c:pt>
                <c:pt idx="4">
                  <c:v>0.16660172</c:v>
                </c:pt>
                <c:pt idx="5">
                  <c:v>0.17555469</c:v>
                </c:pt>
                <c:pt idx="6">
                  <c:v>0.18571072</c:v>
                </c:pt>
                <c:pt idx="7">
                  <c:v>0.1973244</c:v>
                </c:pt>
                <c:pt idx="8">
                  <c:v>0.21025575</c:v>
                </c:pt>
                <c:pt idx="9">
                  <c:v>0.22432755</c:v>
                </c:pt>
                <c:pt idx="10">
                  <c:v>0.23935193</c:v>
                </c:pt>
                <c:pt idx="11">
                  <c:v>0.25513522</c:v>
                </c:pt>
                <c:pt idx="12">
                  <c:v>0.27148213</c:v>
                </c:pt>
                <c:pt idx="13">
                  <c:v>0.2881996</c:v>
                </c:pt>
                <c:pt idx="14">
                  <c:v>0.30510055</c:v>
                </c:pt>
                <c:pt idx="15">
                  <c:v>0.32200713</c:v>
                </c:pt>
                <c:pt idx="16">
                  <c:v>0.33875362</c:v>
                </c:pt>
                <c:pt idx="17">
                  <c:v>0.35518879</c:v>
                </c:pt>
                <c:pt idx="18">
                  <c:v>0.37117775</c:v>
                </c:pt>
                <c:pt idx="19">
                  <c:v>0.38660326</c:v>
                </c:pt>
                <c:pt idx="20">
                  <c:v>0.40136653</c:v>
                </c:pt>
                <c:pt idx="21">
                  <c:v>0.41538742</c:v>
                </c:pt>
                <c:pt idx="22">
                  <c:v>0.42860427</c:v>
                </c:pt>
                <c:pt idx="23">
                  <c:v>0.44097326</c:v>
                </c:pt>
                <c:pt idx="24">
                  <c:v>0.45246738</c:v>
                </c:pt>
                <c:pt idx="25">
                  <c:v>0.46307516</c:v>
                </c:pt>
                <c:pt idx="26">
                  <c:v>0.47279912</c:v>
                </c:pt>
                <c:pt idx="27">
                  <c:v>0.48165411</c:v>
                </c:pt>
                <c:pt idx="28">
                  <c:v>0.48966551</c:v>
                </c:pt>
                <c:pt idx="29">
                  <c:v>0.49686744</c:v>
                </c:pt>
                <c:pt idx="30">
                  <c:v>0.50330096</c:v>
                </c:pt>
                <c:pt idx="31">
                  <c:v>0.50901237</c:v>
                </c:pt>
                <c:pt idx="32">
                  <c:v>0.51405162</c:v>
                </c:pt>
                <c:pt idx="33">
                  <c:v>0.51847084</c:v>
                </c:pt>
                <c:pt idx="34">
                  <c:v>0.52232304</c:v>
                </c:pt>
                <c:pt idx="35">
                  <c:v>0.52566099</c:v>
                </c:pt>
                <c:pt idx="36">
                  <c:v>0.52853627</c:v>
                </c:pt>
                <c:pt idx="37">
                  <c:v>0.53099852</c:v>
                </c:pt>
                <c:pt idx="38">
                  <c:v>0.53309482</c:v>
                </c:pt>
                <c:pt idx="39">
                  <c:v>0.53486925</c:v>
                </c:pt>
                <c:pt idx="40">
                  <c:v>0.53636262</c:v>
                </c:pt>
                <c:pt idx="41">
                  <c:v>0.53761229</c:v>
                </c:pt>
                <c:pt idx="42">
                  <c:v>0.53865209</c:v>
                </c:pt>
                <c:pt idx="43">
                  <c:v>0.5395124</c:v>
                </c:pt>
                <c:pt idx="44">
                  <c:v>0.54022019</c:v>
                </c:pt>
                <c:pt idx="45">
                  <c:v>0.54079926</c:v>
                </c:pt>
                <c:pt idx="46">
                  <c:v>0.54127038</c:v>
                </c:pt>
                <c:pt idx="47">
                  <c:v>0.54165154</c:v>
                </c:pt>
                <c:pt idx="48">
                  <c:v>0.54195823</c:v>
                </c:pt>
                <c:pt idx="49">
                  <c:v>0.54220363</c:v>
                </c:pt>
                <c:pt idx="50">
                  <c:v>0.54239892</c:v>
                </c:pt>
              </c:numCache>
            </c:numRef>
          </c:yVal>
          <c:smooth val="0"/>
        </c:ser>
        <c:ser>
          <c:idx val="12"/>
          <c:order val="6"/>
          <c:tx>
            <c:v>50psi70%hf</c:v>
          </c:tx>
          <c:spPr>
            <a:ln w="12700">
              <a:solidFill>
                <a:srgbClr val="00B050"/>
              </a:solidFill>
              <a:prstDash val="sysDash"/>
            </a:ln>
          </c:spPr>
          <c:marker>
            <c:symbol val="none"/>
          </c:marker>
          <c:xVal>
            <c:numRef>
              <c:f>'TQ-Absorption-50psi'!$AH$4:$AH$84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'TQ-Absorption-50psi'!$AI$4:$AI$84</c:f>
              <c:numCache>
                <c:formatCode>General</c:formatCode>
                <c:ptCount val="81"/>
                <c:pt idx="0">
                  <c:v>0.0207291</c:v>
                </c:pt>
                <c:pt idx="1">
                  <c:v>0.18626557</c:v>
                </c:pt>
                <c:pt idx="2">
                  <c:v>0.29923795</c:v>
                </c:pt>
                <c:pt idx="3">
                  <c:v>0.33558047</c:v>
                </c:pt>
                <c:pt idx="4">
                  <c:v>0.34751901</c:v>
                </c:pt>
                <c:pt idx="5">
                  <c:v>0.35867633</c:v>
                </c:pt>
                <c:pt idx="6">
                  <c:v>0.37171486</c:v>
                </c:pt>
                <c:pt idx="7">
                  <c:v>0.38652152</c:v>
                </c:pt>
                <c:pt idx="8">
                  <c:v>0.40283262</c:v>
                </c:pt>
                <c:pt idx="9">
                  <c:v>0.4203652</c:v>
                </c:pt>
                <c:pt idx="10">
                  <c:v>0.43882728</c:v>
                </c:pt>
                <c:pt idx="11">
                  <c:v>0.45792592</c:v>
                </c:pt>
                <c:pt idx="12">
                  <c:v>0.4773747</c:v>
                </c:pt>
                <c:pt idx="13">
                  <c:v>0.49690063</c:v>
                </c:pt>
                <c:pt idx="14">
                  <c:v>0.51625006</c:v>
                </c:pt>
                <c:pt idx="15">
                  <c:v>0.53519359</c:v>
                </c:pt>
                <c:pt idx="16">
                  <c:v>0.55352976</c:v>
                </c:pt>
                <c:pt idx="17">
                  <c:v>0.57108758</c:v>
                </c:pt>
                <c:pt idx="18">
                  <c:v>0.58772784</c:v>
                </c:pt>
                <c:pt idx="19">
                  <c:v>0.60334331</c:v>
                </c:pt>
                <c:pt idx="20">
                  <c:v>0.61785789</c:v>
                </c:pt>
                <c:pt idx="21">
                  <c:v>0.63122497</c:v>
                </c:pt>
                <c:pt idx="22">
                  <c:v>0.64342495</c:v>
                </c:pt>
                <c:pt idx="23">
                  <c:v>0.65446237</c:v>
                </c:pt>
                <c:pt idx="24">
                  <c:v>0.66436253</c:v>
                </c:pt>
                <c:pt idx="25">
                  <c:v>0.67316808</c:v>
                </c:pt>
                <c:pt idx="26">
                  <c:v>0.6809354</c:v>
                </c:pt>
                <c:pt idx="27">
                  <c:v>0.68773127</c:v>
                </c:pt>
                <c:pt idx="28">
                  <c:v>0.69362953</c:v>
                </c:pt>
                <c:pt idx="29">
                  <c:v>0.69870826</c:v>
                </c:pt>
                <c:pt idx="30">
                  <c:v>0.70304714</c:v>
                </c:pt>
                <c:pt idx="31">
                  <c:v>0.70672526</c:v>
                </c:pt>
                <c:pt idx="32">
                  <c:v>0.70981935</c:v>
                </c:pt>
                <c:pt idx="33">
                  <c:v>0.71240237</c:v>
                </c:pt>
                <c:pt idx="34">
                  <c:v>0.71454249</c:v>
                </c:pt>
                <c:pt idx="35">
                  <c:v>0.71630239</c:v>
                </c:pt>
                <c:pt idx="36">
                  <c:v>0.71773886</c:v>
                </c:pt>
                <c:pt idx="37">
                  <c:v>0.71890268</c:v>
                </c:pt>
                <c:pt idx="38">
                  <c:v>0.71983869</c:v>
                </c:pt>
                <c:pt idx="39">
                  <c:v>0.72058597</c:v>
                </c:pt>
                <c:pt idx="40">
                  <c:v>0.72117826</c:v>
                </c:pt>
                <c:pt idx="41">
                  <c:v>0.72164429</c:v>
                </c:pt>
                <c:pt idx="42">
                  <c:v>0.72200834</c:v>
                </c:pt>
                <c:pt idx="43">
                  <c:v>0.7222907</c:v>
                </c:pt>
                <c:pt idx="44">
                  <c:v>0.72250812</c:v>
                </c:pt>
                <c:pt idx="45">
                  <c:v>0.72267435</c:v>
                </c:pt>
                <c:pt idx="46">
                  <c:v>0.72280053</c:v>
                </c:pt>
                <c:pt idx="47">
                  <c:v>0.72289565</c:v>
                </c:pt>
                <c:pt idx="48">
                  <c:v>0.72296684</c:v>
                </c:pt>
                <c:pt idx="49">
                  <c:v>0.72301974</c:v>
                </c:pt>
                <c:pt idx="50">
                  <c:v>0.72305878</c:v>
                </c:pt>
              </c:numCache>
            </c:numRef>
          </c:yVal>
          <c:smooth val="0"/>
        </c:ser>
        <c:ser>
          <c:idx val="14"/>
          <c:order val="7"/>
          <c:tx>
            <c:v>50psi99%hf</c:v>
          </c:tx>
          <c:spPr>
            <a:ln w="12700">
              <a:solidFill>
                <a:srgbClr val="7030A0"/>
              </a:solidFill>
              <a:prstDash val="sysDash"/>
            </a:ln>
          </c:spPr>
          <c:marker>
            <c:symbol val="none"/>
          </c:marker>
          <c:xVal>
            <c:numRef>
              <c:f>'TQ-Absorption-50psi'!$AL$4:$AL$84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'TQ-Absorption-50psi'!$AM$4:$AM$84</c:f>
              <c:numCache>
                <c:formatCode>General</c:formatCode>
                <c:ptCount val="81"/>
                <c:pt idx="0">
                  <c:v>0.02865767</c:v>
                </c:pt>
                <c:pt idx="1">
                  <c:v>0.29313476</c:v>
                </c:pt>
                <c:pt idx="2">
                  <c:v>0.49809338</c:v>
                </c:pt>
                <c:pt idx="3">
                  <c:v>0.59416591</c:v>
                </c:pt>
                <c:pt idx="4">
                  <c:v>0.6248297</c:v>
                </c:pt>
                <c:pt idx="5">
                  <c:v>0.64097581</c:v>
                </c:pt>
                <c:pt idx="6">
                  <c:v>0.6573633</c:v>
                </c:pt>
                <c:pt idx="7">
                  <c:v>0.67561905</c:v>
                </c:pt>
                <c:pt idx="8">
                  <c:v>0.69547225</c:v>
                </c:pt>
                <c:pt idx="9">
                  <c:v>0.71650649</c:v>
                </c:pt>
                <c:pt idx="10">
                  <c:v>0.73829937</c:v>
                </c:pt>
                <c:pt idx="11">
                  <c:v>0.76044084</c:v>
                </c:pt>
                <c:pt idx="12">
                  <c:v>0.78254547</c:v>
                </c:pt>
                <c:pt idx="13">
                  <c:v>0.80426282</c:v>
                </c:pt>
                <c:pt idx="14">
                  <c:v>0.82528531</c:v>
                </c:pt>
                <c:pt idx="15">
                  <c:v>0.84535382</c:v>
                </c:pt>
                <c:pt idx="16">
                  <c:v>0.86426061</c:v>
                </c:pt>
                <c:pt idx="17">
                  <c:v>0.88185005</c:v>
                </c:pt>
                <c:pt idx="18">
                  <c:v>0.89801711</c:v>
                </c:pt>
                <c:pt idx="19">
                  <c:v>0.91270407</c:v>
                </c:pt>
                <c:pt idx="20">
                  <c:v>0.92589589</c:v>
                </c:pt>
                <c:pt idx="21">
                  <c:v>0.93761453</c:v>
                </c:pt>
                <c:pt idx="22">
                  <c:v>0.94791265</c:v>
                </c:pt>
                <c:pt idx="23">
                  <c:v>0.95686712</c:v>
                </c:pt>
                <c:pt idx="24">
                  <c:v>0.96457274</c:v>
                </c:pt>
                <c:pt idx="25">
                  <c:v>0.97113615</c:v>
                </c:pt>
                <c:pt idx="26">
                  <c:v>0.97667056</c:v>
                </c:pt>
                <c:pt idx="27">
                  <c:v>0.98129104</c:v>
                </c:pt>
                <c:pt idx="28">
                  <c:v>0.98511073</c:v>
                </c:pt>
                <c:pt idx="29">
                  <c:v>0.98823778</c:v>
                </c:pt>
                <c:pt idx="30">
                  <c:v>0.99077322</c:v>
                </c:pt>
                <c:pt idx="31">
                  <c:v>0.99280938</c:v>
                </c:pt>
                <c:pt idx="32">
                  <c:v>0.99442914</c:v>
                </c:pt>
                <c:pt idx="33">
                  <c:v>0.99570555</c:v>
                </c:pt>
                <c:pt idx="34">
                  <c:v>0.99670202</c:v>
                </c:pt>
                <c:pt idx="35">
                  <c:v>0.99747273</c:v>
                </c:pt>
                <c:pt idx="36">
                  <c:v>0.99806334</c:v>
                </c:pt>
                <c:pt idx="37">
                  <c:v>0.99851179</c:v>
                </c:pt>
                <c:pt idx="38">
                  <c:v>0.99884917</c:v>
                </c:pt>
                <c:pt idx="39">
                  <c:v>0.9991007</c:v>
                </c:pt>
                <c:pt idx="40">
                  <c:v>0.99928653</c:v>
                </c:pt>
                <c:pt idx="41">
                  <c:v>0.99942257</c:v>
                </c:pt>
                <c:pt idx="42">
                  <c:v>0.99952127</c:v>
                </c:pt>
                <c:pt idx="43">
                  <c:v>0.99959224</c:v>
                </c:pt>
                <c:pt idx="44">
                  <c:v>0.99964281</c:v>
                </c:pt>
                <c:pt idx="45">
                  <c:v>0.99967853</c:v>
                </c:pt>
                <c:pt idx="46">
                  <c:v>0.99970353</c:v>
                </c:pt>
                <c:pt idx="47">
                  <c:v>0.99972087</c:v>
                </c:pt>
                <c:pt idx="48">
                  <c:v>0.9997328</c:v>
                </c:pt>
                <c:pt idx="49">
                  <c:v>0.99974093</c:v>
                </c:pt>
                <c:pt idx="50">
                  <c:v>0.99974642</c:v>
                </c:pt>
              </c:numCache>
            </c:numRef>
          </c:yVal>
          <c:smooth val="0"/>
        </c:ser>
        <c:dLbls>
          <c:showLegendKey val="0"/>
          <c:showVal val="0"/>
          <c:showCatName val="0"/>
          <c:showSerName val="0"/>
          <c:showPercent val="0"/>
          <c:showBubbleSize val="0"/>
        </c:dLbls>
        <c:axId val="521171432"/>
        <c:axId val="521177336"/>
      </c:scatterChart>
      <c:valAx>
        <c:axId val="521171432"/>
        <c:scaling>
          <c:orientation val="minMax"/>
          <c:max val="21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521177336"/>
        <c:crosses val="autoZero"/>
        <c:crossBetween val="midCat"/>
        <c:majorUnit val="50.0"/>
        <c:minorUnit val="12.5"/>
      </c:valAx>
      <c:valAx>
        <c:axId val="521177336"/>
        <c:scaling>
          <c:orientation val="minMax"/>
          <c:max val="2.5"/>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521171432"/>
        <c:crosses val="autoZero"/>
        <c:crossBetween val="midCat"/>
        <c:majorUnit val="1.0"/>
        <c:minorUnit val="0.25"/>
      </c:valAx>
      <c:spPr>
        <a:ln w="19050">
          <a:solidFill>
            <a:sysClr val="windowText" lastClr="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439910583210997"/>
          <c:y val="0.0374139690871974"/>
          <c:w val="0.475343654077139"/>
          <c:h val="0.101097987751531"/>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5724009075137"/>
          <c:y val="0.0333333333333333"/>
          <c:w val="0.745862805284932"/>
          <c:h val="0.793114975211432"/>
        </c:manualLayout>
      </c:layout>
      <c:scatterChart>
        <c:scatterStyle val="lineMarker"/>
        <c:varyColors val="0"/>
        <c:ser>
          <c:idx val="0"/>
          <c:order val="0"/>
          <c:tx>
            <c:v>2% RH</c:v>
          </c:tx>
          <c:spPr>
            <a:ln w="28575">
              <a:noFill/>
            </a:ln>
          </c:spPr>
          <c:marker>
            <c:symbol val="circle"/>
            <c:size val="4"/>
            <c:spPr>
              <a:solidFill>
                <a:srgbClr val="0070C0">
                  <a:alpha val="50000"/>
                </a:srgbClr>
              </a:solidFill>
              <a:ln w="12700">
                <a:solidFill>
                  <a:schemeClr val="tx1"/>
                </a:solidFill>
              </a:ln>
            </c:spPr>
          </c:marker>
          <c:xVal>
            <c:numRef>
              <c:f>'TQ-Absorption-70psi'!$A$4:$A$34</c:f>
              <c:numCache>
                <c:formatCode>General</c:formatCode>
                <c:ptCount val="31"/>
                <c:pt idx="0">
                  <c:v>1.49</c:v>
                </c:pt>
                <c:pt idx="1">
                  <c:v>2.44</c:v>
                </c:pt>
                <c:pt idx="2">
                  <c:v>5.26</c:v>
                </c:pt>
                <c:pt idx="3">
                  <c:v>7.33</c:v>
                </c:pt>
                <c:pt idx="4">
                  <c:v>14.0</c:v>
                </c:pt>
                <c:pt idx="5">
                  <c:v>19.73</c:v>
                </c:pt>
                <c:pt idx="6">
                  <c:v>26.91</c:v>
                </c:pt>
                <c:pt idx="7">
                  <c:v>30.77</c:v>
                </c:pt>
                <c:pt idx="8">
                  <c:v>37.35</c:v>
                </c:pt>
                <c:pt idx="9">
                  <c:v>41.88</c:v>
                </c:pt>
                <c:pt idx="10">
                  <c:v>47.03</c:v>
                </c:pt>
                <c:pt idx="11">
                  <c:v>52.07</c:v>
                </c:pt>
                <c:pt idx="12">
                  <c:v>56.52</c:v>
                </c:pt>
                <c:pt idx="13">
                  <c:v>62.38</c:v>
                </c:pt>
                <c:pt idx="14">
                  <c:v>68.77</c:v>
                </c:pt>
                <c:pt idx="15">
                  <c:v>77.63</c:v>
                </c:pt>
                <c:pt idx="16">
                  <c:v>85.28</c:v>
                </c:pt>
                <c:pt idx="17">
                  <c:v>90.74</c:v>
                </c:pt>
                <c:pt idx="18">
                  <c:v>97.25</c:v>
                </c:pt>
                <c:pt idx="19">
                  <c:v>102.06</c:v>
                </c:pt>
                <c:pt idx="20">
                  <c:v>108.22</c:v>
                </c:pt>
                <c:pt idx="21">
                  <c:v>113.94</c:v>
                </c:pt>
                <c:pt idx="22">
                  <c:v>119.38</c:v>
                </c:pt>
                <c:pt idx="23">
                  <c:v>124.42</c:v>
                </c:pt>
                <c:pt idx="24">
                  <c:v>130.24</c:v>
                </c:pt>
              </c:numCache>
            </c:numRef>
          </c:xVal>
          <c:yVal>
            <c:numRef>
              <c:f>'TQ-Absorption-70psi'!$B$4:$B$34</c:f>
              <c:numCache>
                <c:formatCode>General</c:formatCode>
                <c:ptCount val="31"/>
                <c:pt idx="0">
                  <c:v>0.0582</c:v>
                </c:pt>
                <c:pt idx="1">
                  <c:v>0.0651</c:v>
                </c:pt>
                <c:pt idx="2">
                  <c:v>0.0757</c:v>
                </c:pt>
                <c:pt idx="3">
                  <c:v>0.0789</c:v>
                </c:pt>
                <c:pt idx="4">
                  <c:v>0.0969</c:v>
                </c:pt>
                <c:pt idx="5">
                  <c:v>0.1111</c:v>
                </c:pt>
                <c:pt idx="6">
                  <c:v>0.1322</c:v>
                </c:pt>
                <c:pt idx="7">
                  <c:v>0.1386</c:v>
                </c:pt>
                <c:pt idx="8">
                  <c:v>0.1518</c:v>
                </c:pt>
                <c:pt idx="9">
                  <c:v>0.1651</c:v>
                </c:pt>
                <c:pt idx="10">
                  <c:v>0.1614</c:v>
                </c:pt>
                <c:pt idx="11">
                  <c:v>0.1687</c:v>
                </c:pt>
                <c:pt idx="12">
                  <c:v>0.1974</c:v>
                </c:pt>
                <c:pt idx="13">
                  <c:v>0.218</c:v>
                </c:pt>
                <c:pt idx="14">
                  <c:v>0.2612</c:v>
                </c:pt>
                <c:pt idx="15">
                  <c:v>0.2878</c:v>
                </c:pt>
                <c:pt idx="16">
                  <c:v>0.3067</c:v>
                </c:pt>
                <c:pt idx="17">
                  <c:v>0.3195</c:v>
                </c:pt>
                <c:pt idx="18">
                  <c:v>0.3219</c:v>
                </c:pt>
                <c:pt idx="19">
                  <c:v>0.3412</c:v>
                </c:pt>
                <c:pt idx="20">
                  <c:v>0.3463</c:v>
                </c:pt>
                <c:pt idx="21">
                  <c:v>0.3765</c:v>
                </c:pt>
                <c:pt idx="22">
                  <c:v>0.362</c:v>
                </c:pt>
                <c:pt idx="23">
                  <c:v>0.3681</c:v>
                </c:pt>
                <c:pt idx="24">
                  <c:v>0.3761</c:v>
                </c:pt>
              </c:numCache>
            </c:numRef>
          </c:yVal>
          <c:smooth val="0"/>
        </c:ser>
        <c:ser>
          <c:idx val="1"/>
          <c:order val="1"/>
          <c:tx>
            <c:v>40% RH</c:v>
          </c:tx>
          <c:spPr>
            <a:ln w="28575">
              <a:noFill/>
            </a:ln>
          </c:spPr>
          <c:marker>
            <c:symbol val="circle"/>
            <c:size val="4"/>
            <c:spPr>
              <a:solidFill>
                <a:srgbClr val="C00000">
                  <a:alpha val="50000"/>
                </a:srgbClr>
              </a:solidFill>
              <a:ln w="12700">
                <a:solidFill>
                  <a:sysClr val="windowText" lastClr="000000"/>
                </a:solidFill>
              </a:ln>
            </c:spPr>
          </c:marker>
          <c:xVal>
            <c:numRef>
              <c:f>'TQ-Absorption-70psi'!$G$4:$G$34</c:f>
              <c:numCache>
                <c:formatCode>General</c:formatCode>
                <c:ptCount val="31"/>
                <c:pt idx="0">
                  <c:v>1.53</c:v>
                </c:pt>
                <c:pt idx="1">
                  <c:v>2.48</c:v>
                </c:pt>
                <c:pt idx="2">
                  <c:v>5.28</c:v>
                </c:pt>
                <c:pt idx="3">
                  <c:v>7.35</c:v>
                </c:pt>
                <c:pt idx="4">
                  <c:v>14.0</c:v>
                </c:pt>
                <c:pt idx="5">
                  <c:v>19.73999999999999</c:v>
                </c:pt>
                <c:pt idx="6">
                  <c:v>26.92</c:v>
                </c:pt>
                <c:pt idx="7">
                  <c:v>30.78</c:v>
                </c:pt>
                <c:pt idx="8">
                  <c:v>37.35</c:v>
                </c:pt>
                <c:pt idx="9">
                  <c:v>41.88</c:v>
                </c:pt>
                <c:pt idx="10">
                  <c:v>47.04</c:v>
                </c:pt>
                <c:pt idx="11">
                  <c:v>52.07</c:v>
                </c:pt>
                <c:pt idx="12">
                  <c:v>56.52</c:v>
                </c:pt>
                <c:pt idx="13">
                  <c:v>62.38</c:v>
                </c:pt>
                <c:pt idx="14">
                  <c:v>68.78</c:v>
                </c:pt>
                <c:pt idx="15">
                  <c:v>77.63</c:v>
                </c:pt>
                <c:pt idx="16">
                  <c:v>85.28</c:v>
                </c:pt>
                <c:pt idx="17">
                  <c:v>90.74</c:v>
                </c:pt>
                <c:pt idx="18">
                  <c:v>97.25</c:v>
                </c:pt>
                <c:pt idx="19">
                  <c:v>102.06</c:v>
                </c:pt>
                <c:pt idx="20">
                  <c:v>108.22</c:v>
                </c:pt>
                <c:pt idx="21">
                  <c:v>113.95</c:v>
                </c:pt>
                <c:pt idx="22">
                  <c:v>119.38</c:v>
                </c:pt>
                <c:pt idx="23">
                  <c:v>124.42</c:v>
                </c:pt>
                <c:pt idx="24">
                  <c:v>130.24</c:v>
                </c:pt>
              </c:numCache>
            </c:numRef>
          </c:xVal>
          <c:yVal>
            <c:numRef>
              <c:f>'TQ-Absorption-70psi'!$H$4:$H$34</c:f>
              <c:numCache>
                <c:formatCode>General</c:formatCode>
                <c:ptCount val="31"/>
                <c:pt idx="0">
                  <c:v>0.0927</c:v>
                </c:pt>
                <c:pt idx="1">
                  <c:v>0.102</c:v>
                </c:pt>
                <c:pt idx="2">
                  <c:v>0.1409</c:v>
                </c:pt>
                <c:pt idx="3">
                  <c:v>0.161</c:v>
                </c:pt>
                <c:pt idx="4">
                  <c:v>0.1873</c:v>
                </c:pt>
                <c:pt idx="5">
                  <c:v>0.2009</c:v>
                </c:pt>
                <c:pt idx="6">
                  <c:v>0.2336</c:v>
                </c:pt>
                <c:pt idx="7">
                  <c:v>0.2419</c:v>
                </c:pt>
                <c:pt idx="8">
                  <c:v>0.2627</c:v>
                </c:pt>
                <c:pt idx="9">
                  <c:v>0.2717</c:v>
                </c:pt>
                <c:pt idx="10">
                  <c:v>0.2664</c:v>
                </c:pt>
                <c:pt idx="11">
                  <c:v>0.2752</c:v>
                </c:pt>
                <c:pt idx="12">
                  <c:v>0.2969</c:v>
                </c:pt>
                <c:pt idx="13">
                  <c:v>0.3198</c:v>
                </c:pt>
                <c:pt idx="14">
                  <c:v>0.3734</c:v>
                </c:pt>
                <c:pt idx="15">
                  <c:v>0.3911</c:v>
                </c:pt>
                <c:pt idx="16">
                  <c:v>0.4349</c:v>
                </c:pt>
                <c:pt idx="17">
                  <c:v>0.4451</c:v>
                </c:pt>
                <c:pt idx="18">
                  <c:v>0.4615</c:v>
                </c:pt>
                <c:pt idx="19">
                  <c:v>0.4647</c:v>
                </c:pt>
                <c:pt idx="20">
                  <c:v>0.4707</c:v>
                </c:pt>
                <c:pt idx="21">
                  <c:v>0.4952</c:v>
                </c:pt>
                <c:pt idx="22">
                  <c:v>0.5071</c:v>
                </c:pt>
                <c:pt idx="23">
                  <c:v>0.5001</c:v>
                </c:pt>
                <c:pt idx="24">
                  <c:v>0.5193</c:v>
                </c:pt>
              </c:numCache>
            </c:numRef>
          </c:yVal>
          <c:smooth val="0"/>
        </c:ser>
        <c:ser>
          <c:idx val="2"/>
          <c:order val="2"/>
          <c:tx>
            <c:v>70% RH</c:v>
          </c:tx>
          <c:spPr>
            <a:ln w="28575">
              <a:noFill/>
            </a:ln>
          </c:spPr>
          <c:marker>
            <c:symbol val="circle"/>
            <c:size val="4"/>
            <c:spPr>
              <a:solidFill>
                <a:srgbClr val="00B050">
                  <a:alpha val="50000"/>
                </a:srgbClr>
              </a:solidFill>
              <a:ln w="12700">
                <a:solidFill>
                  <a:sysClr val="windowText" lastClr="000000"/>
                </a:solidFill>
              </a:ln>
            </c:spPr>
          </c:marker>
          <c:xVal>
            <c:numRef>
              <c:f>'TQ-Absorption-70psi'!$M$4:$M$34</c:f>
              <c:numCache>
                <c:formatCode>General</c:formatCode>
                <c:ptCount val="31"/>
                <c:pt idx="0">
                  <c:v>1.57</c:v>
                </c:pt>
                <c:pt idx="1">
                  <c:v>2.5</c:v>
                </c:pt>
                <c:pt idx="2">
                  <c:v>5.29</c:v>
                </c:pt>
                <c:pt idx="3">
                  <c:v>7.359999999999998</c:v>
                </c:pt>
                <c:pt idx="4">
                  <c:v>14.02</c:v>
                </c:pt>
                <c:pt idx="5">
                  <c:v>19.73999999999999</c:v>
                </c:pt>
                <c:pt idx="6">
                  <c:v>26.92</c:v>
                </c:pt>
                <c:pt idx="7">
                  <c:v>30.78</c:v>
                </c:pt>
                <c:pt idx="8">
                  <c:v>37.35</c:v>
                </c:pt>
                <c:pt idx="9">
                  <c:v>41.88</c:v>
                </c:pt>
                <c:pt idx="10">
                  <c:v>47.04</c:v>
                </c:pt>
                <c:pt idx="11">
                  <c:v>52.07</c:v>
                </c:pt>
                <c:pt idx="12">
                  <c:v>56.52</c:v>
                </c:pt>
                <c:pt idx="13">
                  <c:v>62.38</c:v>
                </c:pt>
                <c:pt idx="14">
                  <c:v>68.78</c:v>
                </c:pt>
                <c:pt idx="15">
                  <c:v>77.64</c:v>
                </c:pt>
                <c:pt idx="16">
                  <c:v>85.28</c:v>
                </c:pt>
                <c:pt idx="17">
                  <c:v>90.74</c:v>
                </c:pt>
                <c:pt idx="18">
                  <c:v>97.25</c:v>
                </c:pt>
                <c:pt idx="19">
                  <c:v>102.06</c:v>
                </c:pt>
                <c:pt idx="20">
                  <c:v>108.22</c:v>
                </c:pt>
                <c:pt idx="21">
                  <c:v>113.95</c:v>
                </c:pt>
                <c:pt idx="22">
                  <c:v>119.38</c:v>
                </c:pt>
                <c:pt idx="23">
                  <c:v>124.42</c:v>
                </c:pt>
                <c:pt idx="24">
                  <c:v>130.25</c:v>
                </c:pt>
              </c:numCache>
            </c:numRef>
          </c:xVal>
          <c:yVal>
            <c:numRef>
              <c:f>'TQ-Absorption-70psi'!$N$4:$N$34</c:f>
              <c:numCache>
                <c:formatCode>General</c:formatCode>
                <c:ptCount val="31"/>
                <c:pt idx="0">
                  <c:v>0.1254</c:v>
                </c:pt>
                <c:pt idx="1">
                  <c:v>0.1535</c:v>
                </c:pt>
                <c:pt idx="2">
                  <c:v>0.2177</c:v>
                </c:pt>
                <c:pt idx="3">
                  <c:v>0.2461</c:v>
                </c:pt>
                <c:pt idx="4">
                  <c:v>0.3069</c:v>
                </c:pt>
                <c:pt idx="5">
                  <c:v>0.347</c:v>
                </c:pt>
                <c:pt idx="6">
                  <c:v>0.3608</c:v>
                </c:pt>
                <c:pt idx="7">
                  <c:v>0.3619</c:v>
                </c:pt>
                <c:pt idx="8">
                  <c:v>0.4092</c:v>
                </c:pt>
                <c:pt idx="9">
                  <c:v>0.4152</c:v>
                </c:pt>
                <c:pt idx="10">
                  <c:v>0.4196</c:v>
                </c:pt>
                <c:pt idx="11">
                  <c:v>0.4318</c:v>
                </c:pt>
                <c:pt idx="12">
                  <c:v>0.4747</c:v>
                </c:pt>
                <c:pt idx="13">
                  <c:v>0.4709</c:v>
                </c:pt>
                <c:pt idx="14">
                  <c:v>0.499</c:v>
                </c:pt>
                <c:pt idx="15">
                  <c:v>0.5315</c:v>
                </c:pt>
                <c:pt idx="16">
                  <c:v>0.5426</c:v>
                </c:pt>
                <c:pt idx="17">
                  <c:v>0.5629</c:v>
                </c:pt>
                <c:pt idx="18">
                  <c:v>0.5711</c:v>
                </c:pt>
                <c:pt idx="19">
                  <c:v>0.5716</c:v>
                </c:pt>
                <c:pt idx="20">
                  <c:v>0.5763</c:v>
                </c:pt>
                <c:pt idx="21">
                  <c:v>0.6305</c:v>
                </c:pt>
                <c:pt idx="22">
                  <c:v>0.6474</c:v>
                </c:pt>
                <c:pt idx="23">
                  <c:v>0.6454</c:v>
                </c:pt>
                <c:pt idx="24">
                  <c:v>0.6593</c:v>
                </c:pt>
              </c:numCache>
            </c:numRef>
          </c:yVal>
          <c:smooth val="0"/>
        </c:ser>
        <c:ser>
          <c:idx val="3"/>
          <c:order val="3"/>
          <c:tx>
            <c:v>99% RH</c:v>
          </c:tx>
          <c:spPr>
            <a:ln w="28575">
              <a:noFill/>
            </a:ln>
          </c:spPr>
          <c:marker>
            <c:symbol val="circle"/>
            <c:size val="4"/>
            <c:spPr>
              <a:solidFill>
                <a:srgbClr val="7030A0">
                  <a:alpha val="50000"/>
                </a:srgbClr>
              </a:solidFill>
              <a:ln w="12700">
                <a:solidFill>
                  <a:sysClr val="windowText" lastClr="000000"/>
                </a:solidFill>
              </a:ln>
            </c:spPr>
          </c:marker>
          <c:xVal>
            <c:numRef>
              <c:f>'TQ-Absorption-70psi'!$S$4:$S$34</c:f>
              <c:numCache>
                <c:formatCode>General</c:formatCode>
                <c:ptCount val="31"/>
                <c:pt idx="0">
                  <c:v>1.6</c:v>
                </c:pt>
                <c:pt idx="1">
                  <c:v>2.52</c:v>
                </c:pt>
                <c:pt idx="2">
                  <c:v>5.3</c:v>
                </c:pt>
                <c:pt idx="3">
                  <c:v>7.37</c:v>
                </c:pt>
                <c:pt idx="4">
                  <c:v>14.03</c:v>
                </c:pt>
                <c:pt idx="5">
                  <c:v>19.75</c:v>
                </c:pt>
                <c:pt idx="6">
                  <c:v>26.92</c:v>
                </c:pt>
                <c:pt idx="7">
                  <c:v>30.78</c:v>
                </c:pt>
                <c:pt idx="8">
                  <c:v>37.35</c:v>
                </c:pt>
                <c:pt idx="9">
                  <c:v>41.88</c:v>
                </c:pt>
                <c:pt idx="10">
                  <c:v>47.04</c:v>
                </c:pt>
                <c:pt idx="11">
                  <c:v>52.07</c:v>
                </c:pt>
                <c:pt idx="12">
                  <c:v>56.53</c:v>
                </c:pt>
                <c:pt idx="13">
                  <c:v>62.38</c:v>
                </c:pt>
                <c:pt idx="14">
                  <c:v>68.78</c:v>
                </c:pt>
                <c:pt idx="15">
                  <c:v>77.64</c:v>
                </c:pt>
                <c:pt idx="16">
                  <c:v>85.28</c:v>
                </c:pt>
                <c:pt idx="17">
                  <c:v>90.74</c:v>
                </c:pt>
                <c:pt idx="18">
                  <c:v>97.25</c:v>
                </c:pt>
                <c:pt idx="19">
                  <c:v>102.06</c:v>
                </c:pt>
                <c:pt idx="20">
                  <c:v>108.22</c:v>
                </c:pt>
                <c:pt idx="21">
                  <c:v>113.95</c:v>
                </c:pt>
                <c:pt idx="22">
                  <c:v>119.39</c:v>
                </c:pt>
                <c:pt idx="23">
                  <c:v>124.42</c:v>
                </c:pt>
                <c:pt idx="24">
                  <c:v>130.25</c:v>
                </c:pt>
              </c:numCache>
            </c:numRef>
          </c:xVal>
          <c:yVal>
            <c:numRef>
              <c:f>'TQ-Absorption-70psi'!$T$4:$T$34</c:f>
              <c:numCache>
                <c:formatCode>General</c:formatCode>
                <c:ptCount val="31"/>
                <c:pt idx="0">
                  <c:v>0.1983</c:v>
                </c:pt>
                <c:pt idx="1">
                  <c:v>0.2475</c:v>
                </c:pt>
                <c:pt idx="2">
                  <c:v>0.3777</c:v>
                </c:pt>
                <c:pt idx="3">
                  <c:v>0.4537</c:v>
                </c:pt>
                <c:pt idx="4">
                  <c:v>0.6604</c:v>
                </c:pt>
                <c:pt idx="5">
                  <c:v>0.7755</c:v>
                </c:pt>
                <c:pt idx="6">
                  <c:v>0.8286</c:v>
                </c:pt>
                <c:pt idx="7">
                  <c:v>0.8269</c:v>
                </c:pt>
                <c:pt idx="8">
                  <c:v>0.8997</c:v>
                </c:pt>
                <c:pt idx="9">
                  <c:v>0.9045</c:v>
                </c:pt>
                <c:pt idx="10">
                  <c:v>0.9326</c:v>
                </c:pt>
                <c:pt idx="11">
                  <c:v>0.9373</c:v>
                </c:pt>
                <c:pt idx="12">
                  <c:v>0.9789</c:v>
                </c:pt>
                <c:pt idx="13">
                  <c:v>0.9947</c:v>
                </c:pt>
                <c:pt idx="14">
                  <c:v>1.0302</c:v>
                </c:pt>
                <c:pt idx="15">
                  <c:v>1.0579</c:v>
                </c:pt>
                <c:pt idx="16">
                  <c:v>1.0677</c:v>
                </c:pt>
                <c:pt idx="17">
                  <c:v>1.091</c:v>
                </c:pt>
                <c:pt idx="18">
                  <c:v>1.1015</c:v>
                </c:pt>
                <c:pt idx="19">
                  <c:v>1.1026</c:v>
                </c:pt>
                <c:pt idx="20">
                  <c:v>1.0934</c:v>
                </c:pt>
                <c:pt idx="21">
                  <c:v>1.1296</c:v>
                </c:pt>
                <c:pt idx="22">
                  <c:v>1.1435</c:v>
                </c:pt>
                <c:pt idx="23">
                  <c:v>1.1427</c:v>
                </c:pt>
                <c:pt idx="24">
                  <c:v>1.1614</c:v>
                </c:pt>
              </c:numCache>
            </c:numRef>
          </c:yVal>
          <c:smooth val="0"/>
        </c:ser>
        <c:ser>
          <c:idx val="8"/>
          <c:order val="4"/>
          <c:tx>
            <c:v>70psi-2%HF</c:v>
          </c:tx>
          <c:spPr>
            <a:ln w="12700">
              <a:solidFill>
                <a:srgbClr val="0070C0"/>
              </a:solidFill>
              <a:prstDash val="sysDash"/>
            </a:ln>
          </c:spPr>
          <c:marker>
            <c:symbol val="none"/>
          </c:marker>
          <c:xVal>
            <c:numRef>
              <c:f>'TQ-Absorption-70psi'!$Z$4:$Z$84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'TQ-Absorption-70psi'!$AA$4:$AA$84</c:f>
              <c:numCache>
                <c:formatCode>General</c:formatCode>
                <c:ptCount val="81"/>
                <c:pt idx="0">
                  <c:v>0.01201725</c:v>
                </c:pt>
                <c:pt idx="1">
                  <c:v>0.05240199</c:v>
                </c:pt>
                <c:pt idx="2">
                  <c:v>0.08456287</c:v>
                </c:pt>
                <c:pt idx="3">
                  <c:v>0.10177862</c:v>
                </c:pt>
                <c:pt idx="4">
                  <c:v>0.11127933</c:v>
                </c:pt>
                <c:pt idx="5">
                  <c:v>0.12035144</c:v>
                </c:pt>
                <c:pt idx="6">
                  <c:v>0.13079693</c:v>
                </c:pt>
                <c:pt idx="7">
                  <c:v>0.14265692</c:v>
                </c:pt>
                <c:pt idx="8">
                  <c:v>0.15573629</c:v>
                </c:pt>
                <c:pt idx="9">
                  <c:v>0.16981329</c:v>
                </c:pt>
                <c:pt idx="10">
                  <c:v>0.18465815</c:v>
                </c:pt>
                <c:pt idx="11">
                  <c:v>0.20003968</c:v>
                </c:pt>
                <c:pt idx="12">
                  <c:v>0.21573108</c:v>
                </c:pt>
                <c:pt idx="13">
                  <c:v>0.23151534</c:v>
                </c:pt>
                <c:pt idx="14">
                  <c:v>0.24718986</c:v>
                </c:pt>
                <c:pt idx="15">
                  <c:v>0.26257042</c:v>
                </c:pt>
                <c:pt idx="16">
                  <c:v>0.2774941</c:v>
                </c:pt>
                <c:pt idx="17">
                  <c:v>0.29182142</c:v>
                </c:pt>
                <c:pt idx="18">
                  <c:v>0.30543755</c:v>
                </c:pt>
                <c:pt idx="19">
                  <c:v>0.31825256</c:v>
                </c:pt>
                <c:pt idx="20">
                  <c:v>0.330201</c:v>
                </c:pt>
                <c:pt idx="21">
                  <c:v>0.34124071</c:v>
                </c:pt>
                <c:pt idx="22">
                  <c:v>0.35135109</c:v>
                </c:pt>
                <c:pt idx="23">
                  <c:v>0.36053093</c:v>
                </c:pt>
                <c:pt idx="24">
                  <c:v>0.36879593</c:v>
                </c:pt>
                <c:pt idx="25">
                  <c:v>0.37617602</c:v>
                </c:pt>
                <c:pt idx="26">
                  <c:v>0.38271268</c:v>
                </c:pt>
                <c:pt idx="27">
                  <c:v>0.38845624</c:v>
                </c:pt>
                <c:pt idx="28">
                  <c:v>0.39346335</c:v>
                </c:pt>
                <c:pt idx="29">
                  <c:v>0.39779465</c:v>
                </c:pt>
                <c:pt idx="30">
                  <c:v>0.4015127</c:v>
                </c:pt>
                <c:pt idx="31">
                  <c:v>0.40468018</c:v>
                </c:pt>
                <c:pt idx="32">
                  <c:v>0.40735839</c:v>
                </c:pt>
                <c:pt idx="33">
                  <c:v>0.4096061</c:v>
                </c:pt>
                <c:pt idx="34">
                  <c:v>0.41147863</c:v>
                </c:pt>
                <c:pt idx="35">
                  <c:v>0.41302718</c:v>
                </c:pt>
                <c:pt idx="36">
                  <c:v>0.41429854</c:v>
                </c:pt>
                <c:pt idx="37">
                  <c:v>0.41533478</c:v>
                </c:pt>
                <c:pt idx="38">
                  <c:v>0.41617334</c:v>
                </c:pt>
                <c:pt idx="39">
                  <c:v>0.4168471</c:v>
                </c:pt>
                <c:pt idx="40">
                  <c:v>0.41738461</c:v>
                </c:pt>
                <c:pt idx="41">
                  <c:v>0.41781039</c:v>
                </c:pt>
                <c:pt idx="42">
                  <c:v>0.41814531</c:v>
                </c:pt>
                <c:pt idx="43">
                  <c:v>0.4184069</c:v>
                </c:pt>
                <c:pt idx="44">
                  <c:v>0.41860981</c:v>
                </c:pt>
                <c:pt idx="45">
                  <c:v>0.4187661</c:v>
                </c:pt>
                <c:pt idx="46">
                  <c:v>0.41888566</c:v>
                </c:pt>
                <c:pt idx="47">
                  <c:v>0.41897648</c:v>
                </c:pt>
                <c:pt idx="48">
                  <c:v>0.419045</c:v>
                </c:pt>
                <c:pt idx="49">
                  <c:v>0.41909634</c:v>
                </c:pt>
                <c:pt idx="50">
                  <c:v>0.41913455</c:v>
                </c:pt>
              </c:numCache>
            </c:numRef>
          </c:yVal>
          <c:smooth val="0"/>
        </c:ser>
        <c:ser>
          <c:idx val="10"/>
          <c:order val="5"/>
          <c:tx>
            <c:v>70psi-40%hf</c:v>
          </c:tx>
          <c:spPr>
            <a:ln w="12700">
              <a:solidFill>
                <a:srgbClr val="C00000"/>
              </a:solidFill>
              <a:prstDash val="sysDash"/>
            </a:ln>
          </c:spPr>
          <c:marker>
            <c:symbol val="none"/>
          </c:marker>
          <c:xVal>
            <c:numRef>
              <c:f>'TQ-Absorption-70psi'!$AD$4:$AD$84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'TQ-Absorption-70psi'!$AE$4:$AE$84</c:f>
              <c:numCache>
                <c:formatCode>General</c:formatCode>
                <c:ptCount val="81"/>
                <c:pt idx="0">
                  <c:v>0.01701976</c:v>
                </c:pt>
                <c:pt idx="1">
                  <c:v>0.10726366</c:v>
                </c:pt>
                <c:pt idx="2">
                  <c:v>0.17421334</c:v>
                </c:pt>
                <c:pt idx="3">
                  <c:v>0.2019342</c:v>
                </c:pt>
                <c:pt idx="4">
                  <c:v>0.21260317</c:v>
                </c:pt>
                <c:pt idx="5">
                  <c:v>0.22186752</c:v>
                </c:pt>
                <c:pt idx="6">
                  <c:v>0.23259937</c:v>
                </c:pt>
                <c:pt idx="7">
                  <c:v>0.24487431</c:v>
                </c:pt>
                <c:pt idx="8">
                  <c:v>0.25852002</c:v>
                </c:pt>
                <c:pt idx="9">
                  <c:v>0.27334106</c:v>
                </c:pt>
                <c:pt idx="10">
                  <c:v>0.28913166</c:v>
                </c:pt>
                <c:pt idx="11">
                  <c:v>0.30568061</c:v>
                </c:pt>
                <c:pt idx="12">
                  <c:v>0.32277586</c:v>
                </c:pt>
                <c:pt idx="13">
                  <c:v>0.34020897</c:v>
                </c:pt>
                <c:pt idx="14">
                  <c:v>0.35777918</c:v>
                </c:pt>
                <c:pt idx="15">
                  <c:v>0.37529698</c:v>
                </c:pt>
                <c:pt idx="16">
                  <c:v>0.39258729</c:v>
                </c:pt>
                <c:pt idx="17">
                  <c:v>0.4094919</c:v>
                </c:pt>
                <c:pt idx="18">
                  <c:v>0.42587139</c:v>
                </c:pt>
                <c:pt idx="19">
                  <c:v>0.44160634</c:v>
                </c:pt>
                <c:pt idx="20">
                  <c:v>0.45659804</c:v>
                </c:pt>
                <c:pt idx="21">
                  <c:v>0.47076849</c:v>
                </c:pt>
                <c:pt idx="22">
                  <c:v>0.48405994</c:v>
                </c:pt>
                <c:pt idx="23">
                  <c:v>0.49643398</c:v>
                </c:pt>
                <c:pt idx="24">
                  <c:v>0.5078702</c:v>
                </c:pt>
                <c:pt idx="25">
                  <c:v>0.51836461</c:v>
                </c:pt>
                <c:pt idx="26">
                  <c:v>0.52792773</c:v>
                </c:pt>
                <c:pt idx="27">
                  <c:v>0.53658268</c:v>
                </c:pt>
                <c:pt idx="28">
                  <c:v>0.54436307</c:v>
                </c:pt>
                <c:pt idx="29">
                  <c:v>0.55131099</c:v>
                </c:pt>
                <c:pt idx="30">
                  <c:v>0.557475</c:v>
                </c:pt>
                <c:pt idx="31">
                  <c:v>0.56290832</c:v>
                </c:pt>
                <c:pt idx="32">
                  <c:v>0.56766704</c:v>
                </c:pt>
                <c:pt idx="33">
                  <c:v>0.57180864</c:v>
                </c:pt>
                <c:pt idx="34">
                  <c:v>0.57539065</c:v>
                </c:pt>
                <c:pt idx="35">
                  <c:v>0.57846951</c:v>
                </c:pt>
                <c:pt idx="36">
                  <c:v>0.58109965</c:v>
                </c:pt>
                <c:pt idx="37">
                  <c:v>0.58333278</c:v>
                </c:pt>
                <c:pt idx="38">
                  <c:v>0.58521736</c:v>
                </c:pt>
                <c:pt idx="39">
                  <c:v>0.58679824</c:v>
                </c:pt>
                <c:pt idx="40">
                  <c:v>0.58811644</c:v>
                </c:pt>
                <c:pt idx="41">
                  <c:v>0.58920908</c:v>
                </c:pt>
                <c:pt idx="42">
                  <c:v>0.5901094</c:v>
                </c:pt>
                <c:pt idx="43">
                  <c:v>0.5908469</c:v>
                </c:pt>
                <c:pt idx="44">
                  <c:v>0.59144748</c:v>
                </c:pt>
                <c:pt idx="45">
                  <c:v>0.59193371</c:v>
                </c:pt>
                <c:pt idx="46">
                  <c:v>0.59232509</c:v>
                </c:pt>
                <c:pt idx="47">
                  <c:v>0.59263829</c:v>
                </c:pt>
                <c:pt idx="48">
                  <c:v>0.59288749</c:v>
                </c:pt>
                <c:pt idx="49">
                  <c:v>0.59308462</c:v>
                </c:pt>
                <c:pt idx="50">
                  <c:v>0.59323968</c:v>
                </c:pt>
              </c:numCache>
            </c:numRef>
          </c:yVal>
          <c:smooth val="0"/>
        </c:ser>
        <c:ser>
          <c:idx val="12"/>
          <c:order val="6"/>
          <c:tx>
            <c:v>70psi70%hf</c:v>
          </c:tx>
          <c:spPr>
            <a:ln w="12700">
              <a:solidFill>
                <a:srgbClr val="00B050"/>
              </a:solidFill>
              <a:prstDash val="sysDash"/>
            </a:ln>
          </c:spPr>
          <c:marker>
            <c:symbol val="none"/>
          </c:marker>
          <c:xVal>
            <c:numRef>
              <c:f>'TQ-Absorption-70psi'!$AH$4:$AH$84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'TQ-Absorption-70psi'!$AI$4:$AI$84</c:f>
              <c:numCache>
                <c:formatCode>General</c:formatCode>
                <c:ptCount val="81"/>
                <c:pt idx="0">
                  <c:v>0.02026375</c:v>
                </c:pt>
                <c:pt idx="1">
                  <c:v>0.18811485</c:v>
                </c:pt>
                <c:pt idx="2">
                  <c:v>0.30388004</c:v>
                </c:pt>
                <c:pt idx="3">
                  <c:v>0.34140061</c:v>
                </c:pt>
                <c:pt idx="4">
                  <c:v>0.35200934</c:v>
                </c:pt>
                <c:pt idx="5">
                  <c:v>0.36090419</c:v>
                </c:pt>
                <c:pt idx="6">
                  <c:v>0.37127778</c:v>
                </c:pt>
                <c:pt idx="7">
                  <c:v>0.3831335</c:v>
                </c:pt>
                <c:pt idx="8">
                  <c:v>0.39629373</c:v>
                </c:pt>
                <c:pt idx="9">
                  <c:v>0.41056322</c:v>
                </c:pt>
                <c:pt idx="10">
                  <c:v>0.42573716</c:v>
                </c:pt>
                <c:pt idx="11">
                  <c:v>0.44160611</c:v>
                </c:pt>
                <c:pt idx="12">
                  <c:v>0.45796066</c:v>
                </c:pt>
                <c:pt idx="13">
                  <c:v>0.474596</c:v>
                </c:pt>
                <c:pt idx="14">
                  <c:v>0.49131593</c:v>
                </c:pt>
                <c:pt idx="15">
                  <c:v>0.50793651</c:v>
                </c:pt>
                <c:pt idx="16">
                  <c:v>0.52428907</c:v>
                </c:pt>
                <c:pt idx="17">
                  <c:v>0.54022262</c:v>
                </c:pt>
                <c:pt idx="18">
                  <c:v>0.55560555</c:v>
                </c:pt>
                <c:pt idx="19">
                  <c:v>0.57032678</c:v>
                </c:pt>
                <c:pt idx="20">
                  <c:v>0.58429614</c:v>
                </c:pt>
                <c:pt idx="21">
                  <c:v>0.59744426</c:v>
                </c:pt>
                <c:pt idx="22">
                  <c:v>0.6097219</c:v>
                </c:pt>
                <c:pt idx="23">
                  <c:v>0.6210988</c:v>
                </c:pt>
                <c:pt idx="24">
                  <c:v>0.63156219</c:v>
                </c:pt>
                <c:pt idx="25">
                  <c:v>0.64111504</c:v>
                </c:pt>
                <c:pt idx="26">
                  <c:v>0.64977403</c:v>
                </c:pt>
                <c:pt idx="27">
                  <c:v>0.65756751</c:v>
                </c:pt>
                <c:pt idx="28">
                  <c:v>0.66453339</c:v>
                </c:pt>
                <c:pt idx="29">
                  <c:v>0.67071703</c:v>
                </c:pt>
                <c:pt idx="30">
                  <c:v>0.67616927</c:v>
                </c:pt>
                <c:pt idx="31">
                  <c:v>0.68094463</c:v>
                </c:pt>
                <c:pt idx="32">
                  <c:v>0.6850996</c:v>
                </c:pt>
                <c:pt idx="33">
                  <c:v>0.68869123</c:v>
                </c:pt>
                <c:pt idx="34">
                  <c:v>0.69177584</c:v>
                </c:pt>
                <c:pt idx="35">
                  <c:v>0.69440806</c:v>
                </c:pt>
                <c:pt idx="36">
                  <c:v>0.69663997</c:v>
                </c:pt>
                <c:pt idx="37">
                  <c:v>0.69852052</c:v>
                </c:pt>
                <c:pt idx="38">
                  <c:v>0.70009511</c:v>
                </c:pt>
                <c:pt idx="39">
                  <c:v>0.70140531</c:v>
                </c:pt>
                <c:pt idx="40">
                  <c:v>0.70248877</c:v>
                </c:pt>
                <c:pt idx="41">
                  <c:v>0.70337923</c:v>
                </c:pt>
                <c:pt idx="42">
                  <c:v>0.70410657</c:v>
                </c:pt>
                <c:pt idx="43">
                  <c:v>0.70469707</c:v>
                </c:pt>
                <c:pt idx="44">
                  <c:v>0.70517356</c:v>
                </c:pt>
                <c:pt idx="45">
                  <c:v>0.70555573</c:v>
                </c:pt>
                <c:pt idx="46">
                  <c:v>0.70586041</c:v>
                </c:pt>
                <c:pt idx="47">
                  <c:v>0.70610185</c:v>
                </c:pt>
                <c:pt idx="48">
                  <c:v>0.70629203</c:v>
                </c:pt>
                <c:pt idx="49">
                  <c:v>0.70644096</c:v>
                </c:pt>
                <c:pt idx="50">
                  <c:v>0.70655687</c:v>
                </c:pt>
              </c:numCache>
            </c:numRef>
          </c:yVal>
          <c:smooth val="0"/>
        </c:ser>
        <c:ser>
          <c:idx val="14"/>
          <c:order val="7"/>
          <c:tx>
            <c:v>70psi99%hf</c:v>
          </c:tx>
          <c:spPr>
            <a:ln w="12700">
              <a:solidFill>
                <a:srgbClr val="7030A0"/>
              </a:solidFill>
              <a:prstDash val="sysDash"/>
            </a:ln>
          </c:spPr>
          <c:marker>
            <c:symbol val="none"/>
          </c:marker>
          <c:xVal>
            <c:numRef>
              <c:f>'TQ-Absorption-70psi'!$AL$4:$AL$84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'TQ-Absorption-70psi'!$AM$4:$AM$84</c:f>
              <c:numCache>
                <c:formatCode>General</c:formatCode>
                <c:ptCount val="81"/>
                <c:pt idx="0">
                  <c:v>0.03251605</c:v>
                </c:pt>
                <c:pt idx="1">
                  <c:v>0.34245769</c:v>
                </c:pt>
                <c:pt idx="2">
                  <c:v>0.59013362</c:v>
                </c:pt>
                <c:pt idx="3">
                  <c:v>0.72111577</c:v>
                </c:pt>
                <c:pt idx="4">
                  <c:v>0.77076627</c:v>
                </c:pt>
                <c:pt idx="5">
                  <c:v>0.79779347</c:v>
                </c:pt>
                <c:pt idx="6">
                  <c:v>0.82362005</c:v>
                </c:pt>
                <c:pt idx="7">
                  <c:v>0.85121743</c:v>
                </c:pt>
                <c:pt idx="8">
                  <c:v>0.88001056</c:v>
                </c:pt>
                <c:pt idx="9">
                  <c:v>0.90911888</c:v>
                </c:pt>
                <c:pt idx="10">
                  <c:v>0.93772763</c:v>
                </c:pt>
                <c:pt idx="11">
                  <c:v>0.96513956</c:v>
                </c:pt>
                <c:pt idx="12">
                  <c:v>0.99079744</c:v>
                </c:pt>
                <c:pt idx="13">
                  <c:v>1.01429396</c:v>
                </c:pt>
                <c:pt idx="14">
                  <c:v>1.03537034</c:v>
                </c:pt>
                <c:pt idx="15">
                  <c:v>1.05390552</c:v>
                </c:pt>
                <c:pt idx="16">
                  <c:v>1.06989837</c:v>
                </c:pt>
                <c:pt idx="17">
                  <c:v>1.08344531</c:v>
                </c:pt>
                <c:pt idx="18">
                  <c:v>1.09471618</c:v>
                </c:pt>
                <c:pt idx="19">
                  <c:v>1.10393025</c:v>
                </c:pt>
                <c:pt idx="20">
                  <c:v>1.11133438</c:v>
                </c:pt>
                <c:pt idx="21">
                  <c:v>1.11718432</c:v>
                </c:pt>
                <c:pt idx="22">
                  <c:v>1.12172994</c:v>
                </c:pt>
                <c:pt idx="23">
                  <c:v>1.12520445</c:v>
                </c:pt>
                <c:pt idx="24">
                  <c:v>1.12781743</c:v>
                </c:pt>
                <c:pt idx="25">
                  <c:v>1.12975114</c:v>
                </c:pt>
                <c:pt idx="26">
                  <c:v>1.13115952</c:v>
                </c:pt>
                <c:pt idx="27">
                  <c:v>1.13216919</c:v>
                </c:pt>
                <c:pt idx="28">
                  <c:v>1.13288176</c:v>
                </c:pt>
                <c:pt idx="29">
                  <c:v>1.13337686</c:v>
                </c:pt>
                <c:pt idx="30">
                  <c:v>1.13371557</c:v>
                </c:pt>
                <c:pt idx="31">
                  <c:v>1.13394374</c:v>
                </c:pt>
                <c:pt idx="32">
                  <c:v>1.13409511</c:v>
                </c:pt>
                <c:pt idx="33">
                  <c:v>1.134194</c:v>
                </c:pt>
                <c:pt idx="34">
                  <c:v>1.13425764</c:v>
                </c:pt>
                <c:pt idx="35">
                  <c:v>1.13429797</c:v>
                </c:pt>
                <c:pt idx="36">
                  <c:v>1.13432314</c:v>
                </c:pt>
                <c:pt idx="37">
                  <c:v>1.13433863</c:v>
                </c:pt>
                <c:pt idx="38">
                  <c:v>1.13434801</c:v>
                </c:pt>
                <c:pt idx="39">
                  <c:v>1.1343536</c:v>
                </c:pt>
                <c:pt idx="40">
                  <c:v>1.13435689</c:v>
                </c:pt>
                <c:pt idx="41">
                  <c:v>1.1343588</c:v>
                </c:pt>
                <c:pt idx="42">
                  <c:v>1.13435989</c:v>
                </c:pt>
                <c:pt idx="43">
                  <c:v>1.1343605</c:v>
                </c:pt>
                <c:pt idx="44">
                  <c:v>1.13436084</c:v>
                </c:pt>
                <c:pt idx="45">
                  <c:v>1.13436102</c:v>
                </c:pt>
                <c:pt idx="46">
                  <c:v>1.13436112</c:v>
                </c:pt>
                <c:pt idx="47">
                  <c:v>1.13436117</c:v>
                </c:pt>
                <c:pt idx="48">
                  <c:v>1.1343612</c:v>
                </c:pt>
                <c:pt idx="49">
                  <c:v>1.13436122</c:v>
                </c:pt>
                <c:pt idx="50">
                  <c:v>1.13436122</c:v>
                </c:pt>
              </c:numCache>
            </c:numRef>
          </c:yVal>
          <c:smooth val="0"/>
        </c:ser>
        <c:dLbls>
          <c:showLegendKey val="0"/>
          <c:showVal val="0"/>
          <c:showCatName val="0"/>
          <c:showSerName val="0"/>
          <c:showPercent val="0"/>
          <c:showBubbleSize val="0"/>
        </c:dLbls>
        <c:axId val="564979512"/>
        <c:axId val="564985416"/>
      </c:scatterChart>
      <c:valAx>
        <c:axId val="564979512"/>
        <c:scaling>
          <c:orientation val="minMax"/>
          <c:max val="21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564985416"/>
        <c:crosses val="autoZero"/>
        <c:crossBetween val="midCat"/>
        <c:majorUnit val="50.0"/>
        <c:minorUnit val="12.5"/>
      </c:valAx>
      <c:valAx>
        <c:axId val="564985416"/>
        <c:scaling>
          <c:orientation val="minMax"/>
          <c:max val="2.5"/>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564979512"/>
        <c:crosses val="autoZero"/>
        <c:crossBetween val="midCat"/>
        <c:majorUnit val="1.0"/>
        <c:minorUnit val="0.5"/>
      </c:valAx>
      <c:spPr>
        <a:ln w="19050">
          <a:solidFill>
            <a:sysClr val="windowText" lastClr="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439910583210997"/>
          <c:y val="0.0374139690871974"/>
          <c:w val="0.475343654077139"/>
          <c:h val="0.101097987751531"/>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5724009075137"/>
          <c:y val="0.0333333333333333"/>
          <c:w val="0.745862805284932"/>
          <c:h val="0.793114975211432"/>
        </c:manualLayout>
      </c:layout>
      <c:scatterChart>
        <c:scatterStyle val="lineMarker"/>
        <c:varyColors val="0"/>
        <c:ser>
          <c:idx val="0"/>
          <c:order val="0"/>
          <c:tx>
            <c:v>2% RH</c:v>
          </c:tx>
          <c:spPr>
            <a:ln w="28575">
              <a:noFill/>
            </a:ln>
          </c:spPr>
          <c:marker>
            <c:symbol val="triangle"/>
            <c:size val="4"/>
            <c:spPr>
              <a:solidFill>
                <a:srgbClr val="0070C0">
                  <a:alpha val="50000"/>
                </a:srgbClr>
              </a:solidFill>
              <a:ln w="12700">
                <a:solidFill>
                  <a:schemeClr val="tx1"/>
                </a:solidFill>
              </a:ln>
            </c:spPr>
          </c:marker>
          <c:xVal>
            <c:numRef>
              <c:f>'TC-Absorption-10psi'!$A$4:$A$34</c:f>
              <c:numCache>
                <c:formatCode>General</c:formatCode>
                <c:ptCount val="31"/>
                <c:pt idx="0">
                  <c:v>2.31</c:v>
                </c:pt>
                <c:pt idx="1">
                  <c:v>5.38</c:v>
                </c:pt>
                <c:pt idx="2">
                  <c:v>8.620000000000001</c:v>
                </c:pt>
                <c:pt idx="3">
                  <c:v>13.89</c:v>
                </c:pt>
                <c:pt idx="4">
                  <c:v>20.36</c:v>
                </c:pt>
                <c:pt idx="5">
                  <c:v>25.98</c:v>
                </c:pt>
                <c:pt idx="6">
                  <c:v>31.03</c:v>
                </c:pt>
                <c:pt idx="7">
                  <c:v>35.71</c:v>
                </c:pt>
                <c:pt idx="8">
                  <c:v>43.02</c:v>
                </c:pt>
                <c:pt idx="9">
                  <c:v>48.49</c:v>
                </c:pt>
                <c:pt idx="10">
                  <c:v>54.32</c:v>
                </c:pt>
                <c:pt idx="11">
                  <c:v>59.81</c:v>
                </c:pt>
                <c:pt idx="12">
                  <c:v>65.37</c:v>
                </c:pt>
                <c:pt idx="13">
                  <c:v>71.48</c:v>
                </c:pt>
                <c:pt idx="14">
                  <c:v>77.91</c:v>
                </c:pt>
                <c:pt idx="15">
                  <c:v>82.55</c:v>
                </c:pt>
                <c:pt idx="16">
                  <c:v>89.14</c:v>
                </c:pt>
                <c:pt idx="17">
                  <c:v>94.63</c:v>
                </c:pt>
                <c:pt idx="18">
                  <c:v>99.81</c:v>
                </c:pt>
                <c:pt idx="19">
                  <c:v>104.61</c:v>
                </c:pt>
                <c:pt idx="20">
                  <c:v>110.3</c:v>
                </c:pt>
                <c:pt idx="30">
                  <c:v>130.07</c:v>
                </c:pt>
              </c:numCache>
            </c:numRef>
          </c:xVal>
          <c:yVal>
            <c:numRef>
              <c:f>'TC-Absorption-10psi'!$B$4:$B$34</c:f>
              <c:numCache>
                <c:formatCode>General</c:formatCode>
                <c:ptCount val="31"/>
                <c:pt idx="0">
                  <c:v>0.3287</c:v>
                </c:pt>
                <c:pt idx="1">
                  <c:v>0.4051</c:v>
                </c:pt>
                <c:pt idx="2">
                  <c:v>0.4546</c:v>
                </c:pt>
                <c:pt idx="3">
                  <c:v>0.4912</c:v>
                </c:pt>
                <c:pt idx="4">
                  <c:v>0.5034</c:v>
                </c:pt>
                <c:pt idx="5">
                  <c:v>0.56</c:v>
                </c:pt>
                <c:pt idx="6">
                  <c:v>0.5664</c:v>
                </c:pt>
                <c:pt idx="7">
                  <c:v>0.5738</c:v>
                </c:pt>
                <c:pt idx="8">
                  <c:v>0.6273</c:v>
                </c:pt>
                <c:pt idx="9">
                  <c:v>0.6998</c:v>
                </c:pt>
                <c:pt idx="10">
                  <c:v>0.7448</c:v>
                </c:pt>
                <c:pt idx="11">
                  <c:v>0.8159</c:v>
                </c:pt>
                <c:pt idx="12">
                  <c:v>0.8236</c:v>
                </c:pt>
                <c:pt idx="13">
                  <c:v>0.8615</c:v>
                </c:pt>
                <c:pt idx="14">
                  <c:v>0.9196</c:v>
                </c:pt>
                <c:pt idx="15">
                  <c:v>0.9437</c:v>
                </c:pt>
                <c:pt idx="16">
                  <c:v>0.9381</c:v>
                </c:pt>
                <c:pt idx="17">
                  <c:v>1.0036</c:v>
                </c:pt>
                <c:pt idx="18">
                  <c:v>1.0104</c:v>
                </c:pt>
                <c:pt idx="19">
                  <c:v>1.015</c:v>
                </c:pt>
                <c:pt idx="20">
                  <c:v>1.0596</c:v>
                </c:pt>
              </c:numCache>
            </c:numRef>
          </c:yVal>
          <c:smooth val="0"/>
        </c:ser>
        <c:ser>
          <c:idx val="1"/>
          <c:order val="1"/>
          <c:tx>
            <c:v>40% RH</c:v>
          </c:tx>
          <c:spPr>
            <a:ln w="28575">
              <a:noFill/>
            </a:ln>
          </c:spPr>
          <c:marker>
            <c:symbol val="triangle"/>
            <c:size val="4"/>
            <c:spPr>
              <a:solidFill>
                <a:srgbClr val="C00000">
                  <a:alpha val="50000"/>
                </a:srgbClr>
              </a:solidFill>
              <a:ln w="12700">
                <a:solidFill>
                  <a:sysClr val="windowText" lastClr="000000"/>
                </a:solidFill>
              </a:ln>
            </c:spPr>
          </c:marker>
          <c:xVal>
            <c:numRef>
              <c:f>'TC-Absorption-10psi'!$G$4:$G$34</c:f>
              <c:numCache>
                <c:formatCode>General</c:formatCode>
                <c:ptCount val="31"/>
                <c:pt idx="0">
                  <c:v>2.33</c:v>
                </c:pt>
                <c:pt idx="1">
                  <c:v>5.39</c:v>
                </c:pt>
                <c:pt idx="2">
                  <c:v>8.629999999999998</c:v>
                </c:pt>
                <c:pt idx="3">
                  <c:v>13.9</c:v>
                </c:pt>
                <c:pt idx="4">
                  <c:v>20.36</c:v>
                </c:pt>
                <c:pt idx="5">
                  <c:v>25.98</c:v>
                </c:pt>
                <c:pt idx="6">
                  <c:v>31.03</c:v>
                </c:pt>
                <c:pt idx="7">
                  <c:v>35.71</c:v>
                </c:pt>
                <c:pt idx="8">
                  <c:v>43.02</c:v>
                </c:pt>
                <c:pt idx="9">
                  <c:v>48.49</c:v>
                </c:pt>
                <c:pt idx="10">
                  <c:v>54.32</c:v>
                </c:pt>
                <c:pt idx="11">
                  <c:v>59.81</c:v>
                </c:pt>
                <c:pt idx="12">
                  <c:v>65.38</c:v>
                </c:pt>
                <c:pt idx="13">
                  <c:v>71.48</c:v>
                </c:pt>
                <c:pt idx="14">
                  <c:v>77.91</c:v>
                </c:pt>
                <c:pt idx="15">
                  <c:v>82.56</c:v>
                </c:pt>
                <c:pt idx="16">
                  <c:v>89.14</c:v>
                </c:pt>
                <c:pt idx="17">
                  <c:v>94.63</c:v>
                </c:pt>
                <c:pt idx="18">
                  <c:v>99.81</c:v>
                </c:pt>
                <c:pt idx="19">
                  <c:v>104.61</c:v>
                </c:pt>
                <c:pt idx="20">
                  <c:v>110.3</c:v>
                </c:pt>
              </c:numCache>
            </c:numRef>
          </c:xVal>
          <c:yVal>
            <c:numRef>
              <c:f>'TC-Absorption-10psi'!$H$4:$H$34</c:f>
              <c:numCache>
                <c:formatCode>General</c:formatCode>
                <c:ptCount val="31"/>
                <c:pt idx="0">
                  <c:v>0.3518</c:v>
                </c:pt>
                <c:pt idx="1">
                  <c:v>0.5612</c:v>
                </c:pt>
                <c:pt idx="2">
                  <c:v>0.638</c:v>
                </c:pt>
                <c:pt idx="3">
                  <c:v>0.6884</c:v>
                </c:pt>
                <c:pt idx="4">
                  <c:v>0.7237</c:v>
                </c:pt>
                <c:pt idx="5">
                  <c:v>0.7723</c:v>
                </c:pt>
                <c:pt idx="6">
                  <c:v>0.7878</c:v>
                </c:pt>
                <c:pt idx="7">
                  <c:v>0.7896</c:v>
                </c:pt>
                <c:pt idx="8">
                  <c:v>0.8346</c:v>
                </c:pt>
                <c:pt idx="9">
                  <c:v>0.8434</c:v>
                </c:pt>
                <c:pt idx="10">
                  <c:v>0.8953</c:v>
                </c:pt>
                <c:pt idx="11">
                  <c:v>0.9799</c:v>
                </c:pt>
                <c:pt idx="12">
                  <c:v>1.0272</c:v>
                </c:pt>
                <c:pt idx="13">
                  <c:v>1.0776</c:v>
                </c:pt>
                <c:pt idx="14">
                  <c:v>1.1432</c:v>
                </c:pt>
                <c:pt idx="15">
                  <c:v>1.1187</c:v>
                </c:pt>
                <c:pt idx="16">
                  <c:v>1.1352</c:v>
                </c:pt>
                <c:pt idx="17">
                  <c:v>1.2182</c:v>
                </c:pt>
                <c:pt idx="18">
                  <c:v>1.231</c:v>
                </c:pt>
                <c:pt idx="19">
                  <c:v>1.2452</c:v>
                </c:pt>
                <c:pt idx="20">
                  <c:v>1.2753</c:v>
                </c:pt>
              </c:numCache>
            </c:numRef>
          </c:yVal>
          <c:smooth val="0"/>
        </c:ser>
        <c:ser>
          <c:idx val="2"/>
          <c:order val="2"/>
          <c:tx>
            <c:v>70% RH</c:v>
          </c:tx>
          <c:spPr>
            <a:ln w="28575">
              <a:noFill/>
            </a:ln>
          </c:spPr>
          <c:marker>
            <c:symbol val="triangle"/>
            <c:size val="4"/>
            <c:spPr>
              <a:solidFill>
                <a:srgbClr val="00B050">
                  <a:alpha val="50000"/>
                </a:srgbClr>
              </a:solidFill>
              <a:ln w="12700">
                <a:solidFill>
                  <a:sysClr val="windowText" lastClr="000000"/>
                </a:solidFill>
              </a:ln>
            </c:spPr>
          </c:marker>
          <c:xVal>
            <c:numRef>
              <c:f>'TC-Absorption-10psi'!$M$4:$M$34</c:f>
              <c:numCache>
                <c:formatCode>General</c:formatCode>
                <c:ptCount val="31"/>
                <c:pt idx="0">
                  <c:v>2.36</c:v>
                </c:pt>
                <c:pt idx="1">
                  <c:v>5.4</c:v>
                </c:pt>
                <c:pt idx="2">
                  <c:v>8.64</c:v>
                </c:pt>
                <c:pt idx="3">
                  <c:v>13.9</c:v>
                </c:pt>
                <c:pt idx="4">
                  <c:v>20.37</c:v>
                </c:pt>
                <c:pt idx="5">
                  <c:v>25.98</c:v>
                </c:pt>
                <c:pt idx="6">
                  <c:v>31.04</c:v>
                </c:pt>
                <c:pt idx="7">
                  <c:v>35.71</c:v>
                </c:pt>
                <c:pt idx="8">
                  <c:v>43.02</c:v>
                </c:pt>
                <c:pt idx="9">
                  <c:v>48.49</c:v>
                </c:pt>
                <c:pt idx="10">
                  <c:v>54.32</c:v>
                </c:pt>
                <c:pt idx="11">
                  <c:v>59.81</c:v>
                </c:pt>
                <c:pt idx="12">
                  <c:v>65.38</c:v>
                </c:pt>
                <c:pt idx="13">
                  <c:v>71.48</c:v>
                </c:pt>
                <c:pt idx="14">
                  <c:v>77.91</c:v>
                </c:pt>
                <c:pt idx="15">
                  <c:v>82.56</c:v>
                </c:pt>
                <c:pt idx="16">
                  <c:v>89.14</c:v>
                </c:pt>
                <c:pt idx="17">
                  <c:v>94.63</c:v>
                </c:pt>
                <c:pt idx="18">
                  <c:v>99.81</c:v>
                </c:pt>
                <c:pt idx="19">
                  <c:v>104.61</c:v>
                </c:pt>
                <c:pt idx="20">
                  <c:v>110.3</c:v>
                </c:pt>
              </c:numCache>
            </c:numRef>
          </c:xVal>
          <c:yVal>
            <c:numRef>
              <c:f>'TC-Absorption-10psi'!$N$4:$N$34</c:f>
              <c:numCache>
                <c:formatCode>General</c:formatCode>
                <c:ptCount val="31"/>
                <c:pt idx="0">
                  <c:v>0.4851</c:v>
                </c:pt>
                <c:pt idx="1">
                  <c:v>0.8286</c:v>
                </c:pt>
                <c:pt idx="2">
                  <c:v>0.9983</c:v>
                </c:pt>
                <c:pt idx="3">
                  <c:v>1.1089</c:v>
                </c:pt>
                <c:pt idx="4">
                  <c:v>1.1316</c:v>
                </c:pt>
                <c:pt idx="5">
                  <c:v>1.1726</c:v>
                </c:pt>
                <c:pt idx="6">
                  <c:v>1.2018</c:v>
                </c:pt>
                <c:pt idx="7">
                  <c:v>1.2322</c:v>
                </c:pt>
                <c:pt idx="8">
                  <c:v>1.269</c:v>
                </c:pt>
                <c:pt idx="9">
                  <c:v>1.2975</c:v>
                </c:pt>
                <c:pt idx="10">
                  <c:v>1.3325</c:v>
                </c:pt>
                <c:pt idx="11">
                  <c:v>1.403</c:v>
                </c:pt>
                <c:pt idx="12">
                  <c:v>1.4896</c:v>
                </c:pt>
                <c:pt idx="13">
                  <c:v>1.5453</c:v>
                </c:pt>
                <c:pt idx="14">
                  <c:v>1.5757</c:v>
                </c:pt>
                <c:pt idx="15">
                  <c:v>1.5968</c:v>
                </c:pt>
                <c:pt idx="16">
                  <c:v>1.6222</c:v>
                </c:pt>
                <c:pt idx="17">
                  <c:v>1.6444</c:v>
                </c:pt>
                <c:pt idx="18">
                  <c:v>1.6547</c:v>
                </c:pt>
                <c:pt idx="19">
                  <c:v>1.6703</c:v>
                </c:pt>
                <c:pt idx="20">
                  <c:v>1.6972</c:v>
                </c:pt>
              </c:numCache>
            </c:numRef>
          </c:yVal>
          <c:smooth val="0"/>
        </c:ser>
        <c:ser>
          <c:idx val="3"/>
          <c:order val="3"/>
          <c:tx>
            <c:v>99% RH</c:v>
          </c:tx>
          <c:spPr>
            <a:ln w="28575">
              <a:noFill/>
            </a:ln>
          </c:spPr>
          <c:marker>
            <c:symbol val="triangle"/>
            <c:size val="4"/>
            <c:spPr>
              <a:solidFill>
                <a:srgbClr val="7030A0">
                  <a:alpha val="50000"/>
                </a:srgbClr>
              </a:solidFill>
              <a:ln w="12700">
                <a:solidFill>
                  <a:sysClr val="windowText" lastClr="000000"/>
                </a:solidFill>
              </a:ln>
            </c:spPr>
          </c:marker>
          <c:xVal>
            <c:numRef>
              <c:f>'TC-Absorption-10psi'!$S$4:$S$34</c:f>
              <c:numCache>
                <c:formatCode>General</c:formatCode>
                <c:ptCount val="31"/>
                <c:pt idx="0">
                  <c:v>2.39</c:v>
                </c:pt>
                <c:pt idx="1">
                  <c:v>5.42</c:v>
                </c:pt>
                <c:pt idx="2">
                  <c:v>8.65</c:v>
                </c:pt>
                <c:pt idx="3">
                  <c:v>13.91</c:v>
                </c:pt>
                <c:pt idx="4">
                  <c:v>20.37</c:v>
                </c:pt>
                <c:pt idx="5">
                  <c:v>25.99</c:v>
                </c:pt>
                <c:pt idx="6">
                  <c:v>31.04</c:v>
                </c:pt>
                <c:pt idx="7">
                  <c:v>35.72</c:v>
                </c:pt>
                <c:pt idx="8">
                  <c:v>43.03</c:v>
                </c:pt>
                <c:pt idx="9">
                  <c:v>48.49</c:v>
                </c:pt>
                <c:pt idx="10">
                  <c:v>54.32</c:v>
                </c:pt>
                <c:pt idx="11">
                  <c:v>59.82</c:v>
                </c:pt>
                <c:pt idx="12">
                  <c:v>65.38</c:v>
                </c:pt>
                <c:pt idx="13">
                  <c:v>71.49</c:v>
                </c:pt>
                <c:pt idx="14">
                  <c:v>77.91</c:v>
                </c:pt>
                <c:pt idx="15">
                  <c:v>82.56</c:v>
                </c:pt>
                <c:pt idx="16">
                  <c:v>89.14</c:v>
                </c:pt>
                <c:pt idx="17">
                  <c:v>94.64</c:v>
                </c:pt>
                <c:pt idx="18">
                  <c:v>99.81</c:v>
                </c:pt>
                <c:pt idx="19">
                  <c:v>104.61</c:v>
                </c:pt>
                <c:pt idx="20">
                  <c:v>110.31</c:v>
                </c:pt>
              </c:numCache>
            </c:numRef>
          </c:xVal>
          <c:yVal>
            <c:numRef>
              <c:f>'TC-Absorption-10psi'!$T$4:$T$34</c:f>
              <c:numCache>
                <c:formatCode>General</c:formatCode>
                <c:ptCount val="31"/>
                <c:pt idx="0">
                  <c:v>0.6093</c:v>
                </c:pt>
                <c:pt idx="1">
                  <c:v>0.9752</c:v>
                </c:pt>
                <c:pt idx="2">
                  <c:v>1.1243</c:v>
                </c:pt>
                <c:pt idx="3">
                  <c:v>1.1987</c:v>
                </c:pt>
                <c:pt idx="4">
                  <c:v>1.251</c:v>
                </c:pt>
                <c:pt idx="5">
                  <c:v>1.3047</c:v>
                </c:pt>
                <c:pt idx="6">
                  <c:v>1.3327</c:v>
                </c:pt>
                <c:pt idx="7">
                  <c:v>1.3695</c:v>
                </c:pt>
                <c:pt idx="8">
                  <c:v>1.421899999999999</c:v>
                </c:pt>
                <c:pt idx="9">
                  <c:v>1.4862</c:v>
                </c:pt>
                <c:pt idx="10">
                  <c:v>1.5705</c:v>
                </c:pt>
                <c:pt idx="11">
                  <c:v>1.6233</c:v>
                </c:pt>
                <c:pt idx="12">
                  <c:v>1.6641</c:v>
                </c:pt>
                <c:pt idx="13">
                  <c:v>1.7041</c:v>
                </c:pt>
                <c:pt idx="14">
                  <c:v>1.766</c:v>
                </c:pt>
                <c:pt idx="15">
                  <c:v>1.7638</c:v>
                </c:pt>
                <c:pt idx="16">
                  <c:v>1.7824</c:v>
                </c:pt>
                <c:pt idx="17">
                  <c:v>1.8124</c:v>
                </c:pt>
                <c:pt idx="18">
                  <c:v>1.8147</c:v>
                </c:pt>
                <c:pt idx="19">
                  <c:v>1.8279</c:v>
                </c:pt>
                <c:pt idx="20">
                  <c:v>1.8293</c:v>
                </c:pt>
              </c:numCache>
            </c:numRef>
          </c:yVal>
          <c:smooth val="0"/>
        </c:ser>
        <c:ser>
          <c:idx val="8"/>
          <c:order val="4"/>
          <c:tx>
            <c:v>10psi-2%HF</c:v>
          </c:tx>
          <c:spPr>
            <a:ln w="12700">
              <a:solidFill>
                <a:srgbClr val="0070C0"/>
              </a:solidFill>
              <a:prstDash val="sysDash"/>
            </a:ln>
          </c:spPr>
          <c:marker>
            <c:symbol val="none"/>
          </c:marker>
          <c:xVal>
            <c:numRef>
              <c:f>'TC-Absorption-10psi'!$Z$4:$Z$84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'TC-Absorption-10psi'!$AA$4:$AA$84</c:f>
              <c:numCache>
                <c:formatCode>General</c:formatCode>
                <c:ptCount val="81"/>
                <c:pt idx="0">
                  <c:v>0.03177774</c:v>
                </c:pt>
                <c:pt idx="1">
                  <c:v>0.31596349</c:v>
                </c:pt>
                <c:pt idx="2">
                  <c:v>0.46979922</c:v>
                </c:pt>
                <c:pt idx="3">
                  <c:v>0.50326986</c:v>
                </c:pt>
                <c:pt idx="4">
                  <c:v>0.52297817</c:v>
                </c:pt>
                <c:pt idx="5">
                  <c:v>0.54658906</c:v>
                </c:pt>
                <c:pt idx="6">
                  <c:v>0.57415119</c:v>
                </c:pt>
                <c:pt idx="7">
                  <c:v>0.60498714</c:v>
                </c:pt>
                <c:pt idx="8">
                  <c:v>0.63836293</c:v>
                </c:pt>
                <c:pt idx="9">
                  <c:v>0.67352287</c:v>
                </c:pt>
                <c:pt idx="10">
                  <c:v>0.70971748</c:v>
                </c:pt>
                <c:pt idx="11">
                  <c:v>0.74622927</c:v>
                </c:pt>
                <c:pt idx="12">
                  <c:v>0.78239504</c:v>
                </c:pt>
                <c:pt idx="13">
                  <c:v>0.81762387</c:v>
                </c:pt>
                <c:pt idx="14">
                  <c:v>0.85141034</c:v>
                </c:pt>
                <c:pt idx="15">
                  <c:v>0.88334266</c:v>
                </c:pt>
                <c:pt idx="16">
                  <c:v>0.91310588</c:v>
                </c:pt>
                <c:pt idx="17">
                  <c:v>0.94048064</c:v>
                </c:pt>
                <c:pt idx="18">
                  <c:v>0.96533802</c:v>
                </c:pt>
                <c:pt idx="19">
                  <c:v>0.98763122</c:v>
                </c:pt>
                <c:pt idx="20">
                  <c:v>1.00738505</c:v>
                </c:pt>
                <c:pt idx="21">
                  <c:v>1.02468397</c:v>
                </c:pt>
                <c:pt idx="22">
                  <c:v>1.03965959</c:v>
                </c:pt>
                <c:pt idx="23">
                  <c:v>1.05247825</c:v>
                </c:pt>
                <c:pt idx="24">
                  <c:v>1.06332937</c:v>
                </c:pt>
                <c:pt idx="25">
                  <c:v>1.07241494</c:v>
                </c:pt>
                <c:pt idx="26">
                  <c:v>1.07994049</c:v>
                </c:pt>
                <c:pt idx="27">
                  <c:v>1.08610769</c:v>
                </c:pt>
                <c:pt idx="28">
                  <c:v>1.09110865</c:v>
                </c:pt>
                <c:pt idx="29">
                  <c:v>1.09512171</c:v>
                </c:pt>
                <c:pt idx="30">
                  <c:v>1.09830881</c:v>
                </c:pt>
                <c:pt idx="31">
                  <c:v>1.10081406</c:v>
                </c:pt>
                <c:pt idx="32">
                  <c:v>1.10276332</c:v>
                </c:pt>
                <c:pt idx="33">
                  <c:v>1.10426468</c:v>
                </c:pt>
                <c:pt idx="34">
                  <c:v>1.10540947</c:v>
                </c:pt>
                <c:pt idx="35">
                  <c:v>1.10627365</c:v>
                </c:pt>
                <c:pt idx="36">
                  <c:v>1.10691953</c:v>
                </c:pt>
                <c:pt idx="37">
                  <c:v>1.1073975</c:v>
                </c:pt>
                <c:pt idx="38">
                  <c:v>1.10774772</c:v>
                </c:pt>
                <c:pt idx="39">
                  <c:v>1.10800182</c:v>
                </c:pt>
                <c:pt idx="40">
                  <c:v>1.10818439</c:v>
                </c:pt>
                <c:pt idx="41">
                  <c:v>1.10831428</c:v>
                </c:pt>
                <c:pt idx="42">
                  <c:v>1.10840581</c:v>
                </c:pt>
                <c:pt idx="43">
                  <c:v>1.10846967</c:v>
                </c:pt>
                <c:pt idx="44">
                  <c:v>1.1085138</c:v>
                </c:pt>
                <c:pt idx="45">
                  <c:v>1.108544</c:v>
                </c:pt>
                <c:pt idx="46">
                  <c:v>1.10856448</c:v>
                </c:pt>
                <c:pt idx="47">
                  <c:v>1.10857822</c:v>
                </c:pt>
                <c:pt idx="48">
                  <c:v>1.10858736</c:v>
                </c:pt>
                <c:pt idx="49">
                  <c:v>1.10859338</c:v>
                </c:pt>
                <c:pt idx="50">
                  <c:v>1.10859731</c:v>
                </c:pt>
              </c:numCache>
            </c:numRef>
          </c:yVal>
          <c:smooth val="0"/>
        </c:ser>
        <c:ser>
          <c:idx val="10"/>
          <c:order val="5"/>
          <c:tx>
            <c:v>10psi-40%hf</c:v>
          </c:tx>
          <c:spPr>
            <a:ln w="12700">
              <a:solidFill>
                <a:srgbClr val="C00000"/>
              </a:solidFill>
              <a:prstDash val="sysDash"/>
            </a:ln>
          </c:spPr>
          <c:marker>
            <c:symbol val="none"/>
          </c:marker>
          <c:xVal>
            <c:numRef>
              <c:f>'TC-Absorption-10psi'!$AD$4:$AD$84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'TC-Absorption-10psi'!$AE$4:$AE$84</c:f>
              <c:numCache>
                <c:formatCode>General</c:formatCode>
                <c:ptCount val="81"/>
                <c:pt idx="0">
                  <c:v>0.06438237</c:v>
                </c:pt>
                <c:pt idx="1">
                  <c:v>0.40098274</c:v>
                </c:pt>
                <c:pt idx="2">
                  <c:v>0.64694133</c:v>
                </c:pt>
                <c:pt idx="3">
                  <c:v>0.73966464</c:v>
                </c:pt>
                <c:pt idx="4">
                  <c:v>0.76325038</c:v>
                </c:pt>
                <c:pt idx="5">
                  <c:v>0.77735205</c:v>
                </c:pt>
                <c:pt idx="6">
                  <c:v>0.79328728</c:v>
                </c:pt>
                <c:pt idx="7">
                  <c:v>0.81185951</c:v>
                </c:pt>
                <c:pt idx="8">
                  <c:v>0.83299358</c:v>
                </c:pt>
                <c:pt idx="9">
                  <c:v>0.85656927</c:v>
                </c:pt>
                <c:pt idx="10">
                  <c:v>0.88245341</c:v>
                </c:pt>
                <c:pt idx="11">
                  <c:v>0.91050157</c:v>
                </c:pt>
                <c:pt idx="12">
                  <c:v>0.94055945</c:v>
                </c:pt>
                <c:pt idx="13">
                  <c:v>0.97246429</c:v>
                </c:pt>
                <c:pt idx="14">
                  <c:v>1.0060463</c:v>
                </c:pt>
                <c:pt idx="15">
                  <c:v>1.04113021</c:v>
                </c:pt>
                <c:pt idx="16">
                  <c:v>1.07753672</c:v>
                </c:pt>
                <c:pt idx="17">
                  <c:v>1.11508407</c:v>
                </c:pt>
                <c:pt idx="18">
                  <c:v>1.15358948</c:v>
                </c:pt>
                <c:pt idx="19">
                  <c:v>1.19287066</c:v>
                </c:pt>
                <c:pt idx="20">
                  <c:v>1.23274714</c:v>
                </c:pt>
                <c:pt idx="21">
                  <c:v>1.27304166</c:v>
                </c:pt>
                <c:pt idx="22">
                  <c:v>1.31358141</c:v>
                </c:pt>
                <c:pt idx="23">
                  <c:v>1.35419918</c:v>
                </c:pt>
                <c:pt idx="24">
                  <c:v>1.39473443</c:v>
                </c:pt>
                <c:pt idx="25">
                  <c:v>1.435034249999999</c:v>
                </c:pt>
                <c:pt idx="26">
                  <c:v>1.47495417</c:v>
                </c:pt>
                <c:pt idx="27">
                  <c:v>1.51435889</c:v>
                </c:pt>
                <c:pt idx="28">
                  <c:v>1.5531229</c:v>
                </c:pt>
                <c:pt idx="29">
                  <c:v>1.59113088</c:v>
                </c:pt>
                <c:pt idx="30">
                  <c:v>1.6282781</c:v>
                </c:pt>
                <c:pt idx="31">
                  <c:v>1.66447066</c:v>
                </c:pt>
                <c:pt idx="32">
                  <c:v>1.69962553</c:v>
                </c:pt>
                <c:pt idx="33">
                  <c:v>1.7336706</c:v>
                </c:pt>
                <c:pt idx="34">
                  <c:v>1.76654458</c:v>
                </c:pt>
                <c:pt idx="35">
                  <c:v>1.79819676</c:v>
                </c:pt>
                <c:pt idx="36">
                  <c:v>1.82858673</c:v>
                </c:pt>
                <c:pt idx="37">
                  <c:v>1.85768405</c:v>
                </c:pt>
                <c:pt idx="38">
                  <c:v>1.88546774</c:v>
                </c:pt>
                <c:pt idx="39">
                  <c:v>1.91192583</c:v>
                </c:pt>
                <c:pt idx="40">
                  <c:v>1.93705479</c:v>
                </c:pt>
                <c:pt idx="41">
                  <c:v>1.96085893</c:v>
                </c:pt>
                <c:pt idx="42">
                  <c:v>1.9833498</c:v>
                </c:pt>
                <c:pt idx="43">
                  <c:v>2.00454552</c:v>
                </c:pt>
                <c:pt idx="44">
                  <c:v>2.02447015</c:v>
                </c:pt>
                <c:pt idx="45">
                  <c:v>2.043153</c:v>
                </c:pt>
                <c:pt idx="46">
                  <c:v>2.06062801</c:v>
                </c:pt>
                <c:pt idx="47">
                  <c:v>2.07693305</c:v>
                </c:pt>
                <c:pt idx="48">
                  <c:v>2.09210938</c:v>
                </c:pt>
                <c:pt idx="49">
                  <c:v>2.10620093</c:v>
                </c:pt>
                <c:pt idx="50">
                  <c:v>2.119253839999998</c:v>
                </c:pt>
              </c:numCache>
            </c:numRef>
          </c:yVal>
          <c:smooth val="0"/>
        </c:ser>
        <c:ser>
          <c:idx val="12"/>
          <c:order val="6"/>
          <c:tx>
            <c:v>10psi70%hf</c:v>
          </c:tx>
          <c:spPr>
            <a:ln w="12700">
              <a:solidFill>
                <a:srgbClr val="00B050"/>
              </a:solidFill>
              <a:prstDash val="sysDash"/>
            </a:ln>
          </c:spPr>
          <c:marker>
            <c:symbol val="none"/>
          </c:marker>
          <c:xVal>
            <c:numRef>
              <c:f>'TC-Absorption-10psi'!$AH$4:$AH$84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'TC-Absorption-10psi'!$AI$4:$AI$84</c:f>
              <c:numCache>
                <c:formatCode>General</c:formatCode>
                <c:ptCount val="81"/>
                <c:pt idx="0">
                  <c:v>0.04983055</c:v>
                </c:pt>
                <c:pt idx="1">
                  <c:v>0.70858969</c:v>
                </c:pt>
                <c:pt idx="2">
                  <c:v>1.04544259</c:v>
                </c:pt>
                <c:pt idx="3">
                  <c:v>1.10051482</c:v>
                </c:pt>
                <c:pt idx="4">
                  <c:v>1.12255934</c:v>
                </c:pt>
                <c:pt idx="5">
                  <c:v>1.14842027</c:v>
                </c:pt>
                <c:pt idx="6">
                  <c:v>1.17854853</c:v>
                </c:pt>
                <c:pt idx="7">
                  <c:v>1.21217724</c:v>
                </c:pt>
                <c:pt idx="8">
                  <c:v>1.24847737</c:v>
                </c:pt>
                <c:pt idx="9">
                  <c:v>1.28659979</c:v>
                </c:pt>
                <c:pt idx="10">
                  <c:v>1.32570763</c:v>
                </c:pt>
                <c:pt idx="11">
                  <c:v>1.36500583</c:v>
                </c:pt>
                <c:pt idx="12">
                  <c:v>1.40376626</c:v>
                </c:pt>
                <c:pt idx="13">
                  <c:v>1.44134762</c:v>
                </c:pt>
                <c:pt idx="14">
                  <c:v>1.47720943</c:v>
                </c:pt>
                <c:pt idx="15">
                  <c:v>1.51092007</c:v>
                </c:pt>
                <c:pt idx="16">
                  <c:v>1.54215894</c:v>
                </c:pt>
                <c:pt idx="17">
                  <c:v>1.57071358</c:v>
                </c:pt>
                <c:pt idx="18">
                  <c:v>1.59647229</c:v>
                </c:pt>
                <c:pt idx="19">
                  <c:v>1.61941346</c:v>
                </c:pt>
                <c:pt idx="20">
                  <c:v>1.63959251</c:v>
                </c:pt>
                <c:pt idx="21">
                  <c:v>1.65712753</c:v>
                </c:pt>
                <c:pt idx="22">
                  <c:v>1.67218465</c:v>
                </c:pt>
                <c:pt idx="23">
                  <c:v>1.68496377</c:v>
                </c:pt>
                <c:pt idx="24">
                  <c:v>1.69568553</c:v>
                </c:pt>
                <c:pt idx="25">
                  <c:v>1.70457975</c:v>
                </c:pt>
                <c:pt idx="26">
                  <c:v>1.71187585</c:v>
                </c:pt>
                <c:pt idx="27">
                  <c:v>1.71779514</c:v>
                </c:pt>
                <c:pt idx="28">
                  <c:v>1.72254513</c:v>
                </c:pt>
                <c:pt idx="29">
                  <c:v>1.7263157</c:v>
                </c:pt>
                <c:pt idx="30">
                  <c:v>1.72927678</c:v>
                </c:pt>
                <c:pt idx="31">
                  <c:v>1.73157747</c:v>
                </c:pt>
                <c:pt idx="32">
                  <c:v>1.73334621</c:v>
                </c:pt>
                <c:pt idx="33">
                  <c:v>1.73469175</c:v>
                </c:pt>
                <c:pt idx="34">
                  <c:v>1.73570468</c:v>
                </c:pt>
                <c:pt idx="35">
                  <c:v>1.73645933</c:v>
                </c:pt>
                <c:pt idx="36">
                  <c:v>1.73701575</c:v>
                </c:pt>
                <c:pt idx="37">
                  <c:v>1.73742181</c:v>
                </c:pt>
                <c:pt idx="38">
                  <c:v>1.73771511</c:v>
                </c:pt>
                <c:pt idx="39">
                  <c:v>1.7379248</c:v>
                </c:pt>
                <c:pt idx="40">
                  <c:v>1.7380732</c:v>
                </c:pt>
                <c:pt idx="41">
                  <c:v>1.73817716</c:v>
                </c:pt>
                <c:pt idx="42">
                  <c:v>1.73824925</c:v>
                </c:pt>
                <c:pt idx="43">
                  <c:v>1.73829874</c:v>
                </c:pt>
                <c:pt idx="44">
                  <c:v>1.73833238</c:v>
                </c:pt>
                <c:pt idx="45">
                  <c:v>1.73835501</c:v>
                </c:pt>
                <c:pt idx="46">
                  <c:v>1.73837009</c:v>
                </c:pt>
                <c:pt idx="47">
                  <c:v>1.73838003</c:v>
                </c:pt>
                <c:pt idx="48">
                  <c:v>1.73838652</c:v>
                </c:pt>
                <c:pt idx="49">
                  <c:v>1.73839072</c:v>
                </c:pt>
                <c:pt idx="50">
                  <c:v>1.7383934</c:v>
                </c:pt>
              </c:numCache>
            </c:numRef>
          </c:yVal>
          <c:smooth val="0"/>
        </c:ser>
        <c:ser>
          <c:idx val="14"/>
          <c:order val="7"/>
          <c:tx>
            <c:v>10psi99%hf</c:v>
          </c:tx>
          <c:spPr>
            <a:ln w="12700">
              <a:solidFill>
                <a:srgbClr val="7030A0"/>
              </a:solidFill>
              <a:prstDash val="sysDash"/>
            </a:ln>
          </c:spPr>
          <c:marker>
            <c:symbol val="none"/>
          </c:marker>
          <c:xVal>
            <c:numRef>
              <c:f>'TC-Absorption-10psi'!$AL$4:$AL$84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'TC-Absorption-10psi'!$AM$4:$AM$84</c:f>
              <c:numCache>
                <c:formatCode>General</c:formatCode>
                <c:ptCount val="81"/>
                <c:pt idx="0">
                  <c:v>0.0549012</c:v>
                </c:pt>
                <c:pt idx="1">
                  <c:v>0.84908941</c:v>
                </c:pt>
                <c:pt idx="2">
                  <c:v>1.18339662</c:v>
                </c:pt>
                <c:pt idx="3">
                  <c:v>1.22664978</c:v>
                </c:pt>
                <c:pt idx="4">
                  <c:v>1.25409622</c:v>
                </c:pt>
                <c:pt idx="5">
                  <c:v>1.28743786</c:v>
                </c:pt>
                <c:pt idx="6">
                  <c:v>1.32591337</c:v>
                </c:pt>
                <c:pt idx="7">
                  <c:v>1.36835603</c:v>
                </c:pt>
                <c:pt idx="8">
                  <c:v>1.41354468</c:v>
                </c:pt>
                <c:pt idx="9">
                  <c:v>1.46026191</c:v>
                </c:pt>
                <c:pt idx="10">
                  <c:v>1.50734698</c:v>
                </c:pt>
                <c:pt idx="11">
                  <c:v>1.55374095</c:v>
                </c:pt>
                <c:pt idx="12">
                  <c:v>1.59852197</c:v>
                </c:pt>
                <c:pt idx="13">
                  <c:v>1.64092935</c:v>
                </c:pt>
                <c:pt idx="14">
                  <c:v>1.68037615</c:v>
                </c:pt>
                <c:pt idx="15">
                  <c:v>1.71645093</c:v>
                </c:pt>
                <c:pt idx="16">
                  <c:v>1.74891004</c:v>
                </c:pt>
                <c:pt idx="17">
                  <c:v>1.77766211</c:v>
                </c:pt>
                <c:pt idx="18">
                  <c:v>1.80274717</c:v>
                </c:pt>
                <c:pt idx="19">
                  <c:v>1.82431228</c:v>
                </c:pt>
                <c:pt idx="20">
                  <c:v>1.84258609</c:v>
                </c:pt>
                <c:pt idx="21">
                  <c:v>1.8578538</c:v>
                </c:pt>
                <c:pt idx="22">
                  <c:v>1.87043423</c:v>
                </c:pt>
                <c:pt idx="23">
                  <c:v>1.88065981</c:v>
                </c:pt>
                <c:pt idx="24">
                  <c:v>1.88886017</c:v>
                </c:pt>
                <c:pt idx="25">
                  <c:v>1.89534954</c:v>
                </c:pt>
                <c:pt idx="26">
                  <c:v>1.9004178</c:v>
                </c:pt>
                <c:pt idx="27">
                  <c:v>1.90432494</c:v>
                </c:pt>
                <c:pt idx="28">
                  <c:v>1.90729832</c:v>
                </c:pt>
                <c:pt idx="29">
                  <c:v>1.9095323</c:v>
                </c:pt>
                <c:pt idx="30">
                  <c:v>1.91118954</c:v>
                </c:pt>
                <c:pt idx="31">
                  <c:v>1.91240349</c:v>
                </c:pt>
                <c:pt idx="32">
                  <c:v>1.91328163</c:v>
                </c:pt>
                <c:pt idx="33">
                  <c:v>1.91390896</c:v>
                </c:pt>
                <c:pt idx="34">
                  <c:v>1.91435159</c:v>
                </c:pt>
                <c:pt idx="35">
                  <c:v>1.91466004</c:v>
                </c:pt>
                <c:pt idx="36">
                  <c:v>1.91487237</c:v>
                </c:pt>
                <c:pt idx="37">
                  <c:v>1.91501673</c:v>
                </c:pt>
                <c:pt idx="38">
                  <c:v>1.9151137</c:v>
                </c:pt>
                <c:pt idx="39">
                  <c:v>1.91517804</c:v>
                </c:pt>
                <c:pt idx="40">
                  <c:v>1.915220219999999</c:v>
                </c:pt>
                <c:pt idx="41">
                  <c:v>1.91524753</c:v>
                </c:pt>
                <c:pt idx="42">
                  <c:v>1.91526501</c:v>
                </c:pt>
                <c:pt idx="43">
                  <c:v>1.91527606</c:v>
                </c:pt>
                <c:pt idx="44">
                  <c:v>1.91528296</c:v>
                </c:pt>
                <c:pt idx="45">
                  <c:v>1.91528722</c:v>
                </c:pt>
                <c:pt idx="46">
                  <c:v>1.91528981</c:v>
                </c:pt>
                <c:pt idx="47">
                  <c:v>1.91529138</c:v>
                </c:pt>
                <c:pt idx="48">
                  <c:v>1.91529231</c:v>
                </c:pt>
                <c:pt idx="49">
                  <c:v>1.91529286</c:v>
                </c:pt>
                <c:pt idx="50">
                  <c:v>1.91529317</c:v>
                </c:pt>
              </c:numCache>
            </c:numRef>
          </c:yVal>
          <c:smooth val="0"/>
        </c:ser>
        <c:dLbls>
          <c:showLegendKey val="0"/>
          <c:showVal val="0"/>
          <c:showCatName val="0"/>
          <c:showSerName val="0"/>
          <c:showPercent val="0"/>
          <c:showBubbleSize val="0"/>
        </c:dLbls>
        <c:axId val="565067224"/>
        <c:axId val="565073192"/>
      </c:scatterChart>
      <c:valAx>
        <c:axId val="565067224"/>
        <c:scaling>
          <c:orientation val="minMax"/>
          <c:max val="21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565073192"/>
        <c:crosses val="autoZero"/>
        <c:crossBetween val="midCat"/>
        <c:majorUnit val="50.0"/>
        <c:minorUnit val="12.5"/>
      </c:valAx>
      <c:valAx>
        <c:axId val="565073192"/>
        <c:scaling>
          <c:orientation val="minMax"/>
          <c:max val="2.5"/>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565067224"/>
        <c:crosses val="autoZero"/>
        <c:crossBetween val="midCat"/>
        <c:majorUnit val="1.0"/>
        <c:minorUnit val="0.25"/>
      </c:valAx>
      <c:spPr>
        <a:ln w="19050">
          <a:solidFill>
            <a:sysClr val="windowText" lastClr="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439910583210997"/>
          <c:y val="0.0374139690871974"/>
          <c:w val="0.475343654077139"/>
          <c:h val="0.101097987751531"/>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5724009075137"/>
          <c:y val="0.0333333333333333"/>
          <c:w val="0.745862805284932"/>
          <c:h val="0.793114975211432"/>
        </c:manualLayout>
      </c:layout>
      <c:scatterChart>
        <c:scatterStyle val="lineMarker"/>
        <c:varyColors val="0"/>
        <c:ser>
          <c:idx val="0"/>
          <c:order val="0"/>
          <c:tx>
            <c:v>2% RH</c:v>
          </c:tx>
          <c:spPr>
            <a:ln w="28575">
              <a:noFill/>
            </a:ln>
          </c:spPr>
          <c:marker>
            <c:symbol val="triangle"/>
            <c:size val="4"/>
            <c:spPr>
              <a:solidFill>
                <a:srgbClr val="0070C0">
                  <a:alpha val="50000"/>
                </a:srgbClr>
              </a:solidFill>
              <a:ln w="12700">
                <a:solidFill>
                  <a:schemeClr val="tx1"/>
                </a:solidFill>
              </a:ln>
            </c:spPr>
          </c:marker>
          <c:xVal>
            <c:numRef>
              <c:f>'TC-Absorption-30psi'!$A$4:$A$34</c:f>
              <c:numCache>
                <c:formatCode>General</c:formatCode>
                <c:ptCount val="31"/>
                <c:pt idx="0">
                  <c:v>2.319999999999998</c:v>
                </c:pt>
                <c:pt idx="1">
                  <c:v>5.39</c:v>
                </c:pt>
                <c:pt idx="2">
                  <c:v>8.620000000000001</c:v>
                </c:pt>
                <c:pt idx="3">
                  <c:v>13.9</c:v>
                </c:pt>
                <c:pt idx="4">
                  <c:v>20.37</c:v>
                </c:pt>
                <c:pt idx="5">
                  <c:v>25.97</c:v>
                </c:pt>
                <c:pt idx="6">
                  <c:v>31.03</c:v>
                </c:pt>
                <c:pt idx="7">
                  <c:v>35.71</c:v>
                </c:pt>
                <c:pt idx="8">
                  <c:v>43.02</c:v>
                </c:pt>
                <c:pt idx="9">
                  <c:v>48.49</c:v>
                </c:pt>
                <c:pt idx="10">
                  <c:v>54.32</c:v>
                </c:pt>
                <c:pt idx="11">
                  <c:v>59.81</c:v>
                </c:pt>
                <c:pt idx="12">
                  <c:v>65.37</c:v>
                </c:pt>
                <c:pt idx="13">
                  <c:v>71.48</c:v>
                </c:pt>
                <c:pt idx="14">
                  <c:v>77.91</c:v>
                </c:pt>
                <c:pt idx="15">
                  <c:v>82.57</c:v>
                </c:pt>
                <c:pt idx="16">
                  <c:v>89.14</c:v>
                </c:pt>
                <c:pt idx="17">
                  <c:v>94.63</c:v>
                </c:pt>
                <c:pt idx="18">
                  <c:v>99.81</c:v>
                </c:pt>
                <c:pt idx="19">
                  <c:v>104.61</c:v>
                </c:pt>
                <c:pt idx="20">
                  <c:v>110.3</c:v>
                </c:pt>
                <c:pt idx="30">
                  <c:v>130.07</c:v>
                </c:pt>
              </c:numCache>
            </c:numRef>
          </c:xVal>
          <c:yVal>
            <c:numRef>
              <c:f>'TC-Absorption-30psi'!$B$4:$B$34</c:f>
              <c:numCache>
                <c:formatCode>General</c:formatCode>
                <c:ptCount val="31"/>
                <c:pt idx="0">
                  <c:v>0.1434</c:v>
                </c:pt>
                <c:pt idx="1">
                  <c:v>0.1963</c:v>
                </c:pt>
                <c:pt idx="2">
                  <c:v>0.2105</c:v>
                </c:pt>
                <c:pt idx="3">
                  <c:v>0.2378</c:v>
                </c:pt>
                <c:pt idx="4">
                  <c:v>0.2598</c:v>
                </c:pt>
                <c:pt idx="5">
                  <c:v>0.2884</c:v>
                </c:pt>
                <c:pt idx="6">
                  <c:v>0.3108</c:v>
                </c:pt>
                <c:pt idx="7">
                  <c:v>0.3334</c:v>
                </c:pt>
                <c:pt idx="8">
                  <c:v>0.3583</c:v>
                </c:pt>
                <c:pt idx="9">
                  <c:v>0.3727</c:v>
                </c:pt>
                <c:pt idx="10">
                  <c:v>0.405</c:v>
                </c:pt>
                <c:pt idx="11">
                  <c:v>0.4347</c:v>
                </c:pt>
                <c:pt idx="12">
                  <c:v>0.4633</c:v>
                </c:pt>
                <c:pt idx="13">
                  <c:v>0.4921</c:v>
                </c:pt>
                <c:pt idx="14">
                  <c:v>0.5339</c:v>
                </c:pt>
                <c:pt idx="15">
                  <c:v>0.5716</c:v>
                </c:pt>
                <c:pt idx="16">
                  <c:v>0.6185</c:v>
                </c:pt>
                <c:pt idx="17">
                  <c:v>0.6412</c:v>
                </c:pt>
                <c:pt idx="18">
                  <c:v>0.6769</c:v>
                </c:pt>
                <c:pt idx="19">
                  <c:v>0.6985</c:v>
                </c:pt>
                <c:pt idx="20">
                  <c:v>0.7121</c:v>
                </c:pt>
              </c:numCache>
            </c:numRef>
          </c:yVal>
          <c:smooth val="0"/>
        </c:ser>
        <c:ser>
          <c:idx val="1"/>
          <c:order val="1"/>
          <c:tx>
            <c:v>40% RH</c:v>
          </c:tx>
          <c:spPr>
            <a:ln w="28575">
              <a:noFill/>
            </a:ln>
          </c:spPr>
          <c:marker>
            <c:symbol val="triangle"/>
            <c:size val="4"/>
            <c:spPr>
              <a:solidFill>
                <a:srgbClr val="C00000">
                  <a:alpha val="50000"/>
                </a:srgbClr>
              </a:solidFill>
              <a:ln w="12700">
                <a:solidFill>
                  <a:sysClr val="windowText" lastClr="000000"/>
                </a:solidFill>
              </a:ln>
            </c:spPr>
          </c:marker>
          <c:xVal>
            <c:numRef>
              <c:f>'TC-Absorption-30psi'!$G$4:$G$34</c:f>
              <c:numCache>
                <c:formatCode>General</c:formatCode>
                <c:ptCount val="31"/>
                <c:pt idx="0">
                  <c:v>2.35</c:v>
                </c:pt>
                <c:pt idx="1">
                  <c:v>5.41</c:v>
                </c:pt>
                <c:pt idx="2">
                  <c:v>8.629999999999998</c:v>
                </c:pt>
                <c:pt idx="3">
                  <c:v>13.9</c:v>
                </c:pt>
                <c:pt idx="4">
                  <c:v>20.37</c:v>
                </c:pt>
                <c:pt idx="5">
                  <c:v>25.98</c:v>
                </c:pt>
                <c:pt idx="6">
                  <c:v>31.04</c:v>
                </c:pt>
                <c:pt idx="7">
                  <c:v>35.71</c:v>
                </c:pt>
                <c:pt idx="8">
                  <c:v>43.02</c:v>
                </c:pt>
                <c:pt idx="9">
                  <c:v>48.49</c:v>
                </c:pt>
                <c:pt idx="10">
                  <c:v>54.32</c:v>
                </c:pt>
                <c:pt idx="11">
                  <c:v>59.81</c:v>
                </c:pt>
                <c:pt idx="12">
                  <c:v>65.38</c:v>
                </c:pt>
                <c:pt idx="13">
                  <c:v>71.48</c:v>
                </c:pt>
                <c:pt idx="14">
                  <c:v>77.91</c:v>
                </c:pt>
                <c:pt idx="15">
                  <c:v>82.57</c:v>
                </c:pt>
                <c:pt idx="16">
                  <c:v>89.14</c:v>
                </c:pt>
                <c:pt idx="17">
                  <c:v>94.63</c:v>
                </c:pt>
                <c:pt idx="18">
                  <c:v>99.81</c:v>
                </c:pt>
                <c:pt idx="19">
                  <c:v>104.61</c:v>
                </c:pt>
                <c:pt idx="20">
                  <c:v>110.3</c:v>
                </c:pt>
              </c:numCache>
            </c:numRef>
          </c:xVal>
          <c:yVal>
            <c:numRef>
              <c:f>'TC-Absorption-30psi'!$H$4:$H$34</c:f>
              <c:numCache>
                <c:formatCode>General</c:formatCode>
                <c:ptCount val="31"/>
                <c:pt idx="0">
                  <c:v>0.2234</c:v>
                </c:pt>
                <c:pt idx="1">
                  <c:v>0.3231</c:v>
                </c:pt>
                <c:pt idx="2">
                  <c:v>0.38</c:v>
                </c:pt>
                <c:pt idx="3">
                  <c:v>0.4204</c:v>
                </c:pt>
                <c:pt idx="4">
                  <c:v>0.4706</c:v>
                </c:pt>
                <c:pt idx="5">
                  <c:v>0.5278</c:v>
                </c:pt>
                <c:pt idx="6">
                  <c:v>0.5386</c:v>
                </c:pt>
                <c:pt idx="7">
                  <c:v>0.5592</c:v>
                </c:pt>
                <c:pt idx="8">
                  <c:v>0.6029</c:v>
                </c:pt>
                <c:pt idx="9">
                  <c:v>0.6439</c:v>
                </c:pt>
                <c:pt idx="10">
                  <c:v>0.6879</c:v>
                </c:pt>
                <c:pt idx="11">
                  <c:v>0.766</c:v>
                </c:pt>
                <c:pt idx="12">
                  <c:v>0.8129</c:v>
                </c:pt>
                <c:pt idx="13">
                  <c:v>0.8199</c:v>
                </c:pt>
                <c:pt idx="14">
                  <c:v>0.8765</c:v>
                </c:pt>
                <c:pt idx="15">
                  <c:v>0.8665</c:v>
                </c:pt>
                <c:pt idx="16">
                  <c:v>0.9292</c:v>
                </c:pt>
                <c:pt idx="17">
                  <c:v>0.9445</c:v>
                </c:pt>
                <c:pt idx="18">
                  <c:v>0.9422</c:v>
                </c:pt>
                <c:pt idx="19">
                  <c:v>0.9559</c:v>
                </c:pt>
                <c:pt idx="20">
                  <c:v>0.9976</c:v>
                </c:pt>
              </c:numCache>
            </c:numRef>
          </c:yVal>
          <c:smooth val="0"/>
        </c:ser>
        <c:ser>
          <c:idx val="2"/>
          <c:order val="2"/>
          <c:tx>
            <c:v>70% RH</c:v>
          </c:tx>
          <c:spPr>
            <a:ln w="28575">
              <a:noFill/>
            </a:ln>
          </c:spPr>
          <c:marker>
            <c:symbol val="triangle"/>
            <c:size val="4"/>
            <c:spPr>
              <a:solidFill>
                <a:srgbClr val="00B050">
                  <a:alpha val="50000"/>
                </a:srgbClr>
              </a:solidFill>
              <a:ln w="12700">
                <a:solidFill>
                  <a:sysClr val="windowText" lastClr="000000"/>
                </a:solidFill>
              </a:ln>
            </c:spPr>
          </c:marker>
          <c:xVal>
            <c:numRef>
              <c:f>'TC-Absorption-30psi'!$M$4:$M$34</c:f>
              <c:numCache>
                <c:formatCode>General</c:formatCode>
                <c:ptCount val="31"/>
                <c:pt idx="0">
                  <c:v>2.37</c:v>
                </c:pt>
                <c:pt idx="1">
                  <c:v>5.42</c:v>
                </c:pt>
                <c:pt idx="2">
                  <c:v>8.64</c:v>
                </c:pt>
                <c:pt idx="3">
                  <c:v>13.91</c:v>
                </c:pt>
                <c:pt idx="4">
                  <c:v>20.38</c:v>
                </c:pt>
                <c:pt idx="5">
                  <c:v>25.98</c:v>
                </c:pt>
                <c:pt idx="6">
                  <c:v>31.04</c:v>
                </c:pt>
                <c:pt idx="7">
                  <c:v>35.71</c:v>
                </c:pt>
                <c:pt idx="8">
                  <c:v>43.02</c:v>
                </c:pt>
                <c:pt idx="9">
                  <c:v>48.49</c:v>
                </c:pt>
                <c:pt idx="10">
                  <c:v>54.32</c:v>
                </c:pt>
                <c:pt idx="11">
                  <c:v>59.81</c:v>
                </c:pt>
                <c:pt idx="12">
                  <c:v>65.38</c:v>
                </c:pt>
                <c:pt idx="13">
                  <c:v>71.48</c:v>
                </c:pt>
                <c:pt idx="14">
                  <c:v>77.91</c:v>
                </c:pt>
                <c:pt idx="15">
                  <c:v>82.57</c:v>
                </c:pt>
                <c:pt idx="16">
                  <c:v>89.14</c:v>
                </c:pt>
                <c:pt idx="17">
                  <c:v>94.63</c:v>
                </c:pt>
                <c:pt idx="18">
                  <c:v>99.81</c:v>
                </c:pt>
                <c:pt idx="19">
                  <c:v>104.61</c:v>
                </c:pt>
                <c:pt idx="20">
                  <c:v>110.3</c:v>
                </c:pt>
              </c:numCache>
            </c:numRef>
          </c:xVal>
          <c:yVal>
            <c:numRef>
              <c:f>'TC-Absorption-30psi'!$N$4:$N$34</c:f>
              <c:numCache>
                <c:formatCode>General</c:formatCode>
                <c:ptCount val="31"/>
                <c:pt idx="0">
                  <c:v>0.3124</c:v>
                </c:pt>
                <c:pt idx="1">
                  <c:v>0.4933</c:v>
                </c:pt>
                <c:pt idx="2">
                  <c:v>0.6047</c:v>
                </c:pt>
                <c:pt idx="3">
                  <c:v>0.6694</c:v>
                </c:pt>
                <c:pt idx="4">
                  <c:v>0.7138</c:v>
                </c:pt>
                <c:pt idx="5">
                  <c:v>0.7848</c:v>
                </c:pt>
                <c:pt idx="6">
                  <c:v>0.8003</c:v>
                </c:pt>
                <c:pt idx="7">
                  <c:v>0.81</c:v>
                </c:pt>
                <c:pt idx="8">
                  <c:v>0.8472</c:v>
                </c:pt>
                <c:pt idx="9">
                  <c:v>0.8929</c:v>
                </c:pt>
                <c:pt idx="10">
                  <c:v>0.9447</c:v>
                </c:pt>
                <c:pt idx="11">
                  <c:v>1.0226</c:v>
                </c:pt>
                <c:pt idx="12">
                  <c:v>1.0623</c:v>
                </c:pt>
                <c:pt idx="13">
                  <c:v>1.1018</c:v>
                </c:pt>
                <c:pt idx="14">
                  <c:v>1.1297</c:v>
                </c:pt>
                <c:pt idx="15">
                  <c:v>1.1381</c:v>
                </c:pt>
                <c:pt idx="16">
                  <c:v>1.176</c:v>
                </c:pt>
                <c:pt idx="17">
                  <c:v>1.2071</c:v>
                </c:pt>
                <c:pt idx="18">
                  <c:v>1.2012</c:v>
                </c:pt>
                <c:pt idx="19">
                  <c:v>1.1904</c:v>
                </c:pt>
                <c:pt idx="20">
                  <c:v>1.2281</c:v>
                </c:pt>
              </c:numCache>
            </c:numRef>
          </c:yVal>
          <c:smooth val="0"/>
        </c:ser>
        <c:ser>
          <c:idx val="3"/>
          <c:order val="3"/>
          <c:tx>
            <c:v>99% RH</c:v>
          </c:tx>
          <c:spPr>
            <a:ln w="28575">
              <a:noFill/>
            </a:ln>
          </c:spPr>
          <c:marker>
            <c:symbol val="triangle"/>
            <c:size val="4"/>
            <c:spPr>
              <a:solidFill>
                <a:srgbClr val="7030A0">
                  <a:alpha val="50000"/>
                </a:srgbClr>
              </a:solidFill>
              <a:ln w="12700">
                <a:solidFill>
                  <a:sysClr val="windowText" lastClr="000000"/>
                </a:solidFill>
              </a:ln>
            </c:spPr>
          </c:marker>
          <c:xVal>
            <c:numRef>
              <c:f>'TC-Absorption-30psi'!$S$4:$S$34</c:f>
              <c:numCache>
                <c:formatCode>General</c:formatCode>
                <c:ptCount val="31"/>
                <c:pt idx="0">
                  <c:v>2.39</c:v>
                </c:pt>
                <c:pt idx="1">
                  <c:v>5.43</c:v>
                </c:pt>
                <c:pt idx="2">
                  <c:v>8.65</c:v>
                </c:pt>
                <c:pt idx="3">
                  <c:v>13.91</c:v>
                </c:pt>
                <c:pt idx="4">
                  <c:v>20.38</c:v>
                </c:pt>
                <c:pt idx="5">
                  <c:v>25.98</c:v>
                </c:pt>
                <c:pt idx="6">
                  <c:v>31.04</c:v>
                </c:pt>
                <c:pt idx="7">
                  <c:v>35.72</c:v>
                </c:pt>
                <c:pt idx="8">
                  <c:v>43.03</c:v>
                </c:pt>
                <c:pt idx="9">
                  <c:v>48.49</c:v>
                </c:pt>
                <c:pt idx="10">
                  <c:v>54.32</c:v>
                </c:pt>
                <c:pt idx="11">
                  <c:v>59.82</c:v>
                </c:pt>
                <c:pt idx="12">
                  <c:v>65.38</c:v>
                </c:pt>
                <c:pt idx="13">
                  <c:v>71.49</c:v>
                </c:pt>
                <c:pt idx="14">
                  <c:v>77.91</c:v>
                </c:pt>
                <c:pt idx="15">
                  <c:v>82.57</c:v>
                </c:pt>
                <c:pt idx="16">
                  <c:v>89.14</c:v>
                </c:pt>
                <c:pt idx="17">
                  <c:v>94.63</c:v>
                </c:pt>
                <c:pt idx="18">
                  <c:v>99.81</c:v>
                </c:pt>
                <c:pt idx="19">
                  <c:v>104.61</c:v>
                </c:pt>
                <c:pt idx="20">
                  <c:v>110.3</c:v>
                </c:pt>
              </c:numCache>
            </c:numRef>
          </c:xVal>
          <c:yVal>
            <c:numRef>
              <c:f>'TC-Absorption-30psi'!$T$4:$T$34</c:f>
              <c:numCache>
                <c:formatCode>General</c:formatCode>
                <c:ptCount val="31"/>
                <c:pt idx="0">
                  <c:v>0.5416</c:v>
                </c:pt>
                <c:pt idx="1">
                  <c:v>0.9574</c:v>
                </c:pt>
                <c:pt idx="2">
                  <c:v>1.1939</c:v>
                </c:pt>
                <c:pt idx="3">
                  <c:v>1.3006</c:v>
                </c:pt>
                <c:pt idx="4">
                  <c:v>1.3304</c:v>
                </c:pt>
                <c:pt idx="5">
                  <c:v>1.3852</c:v>
                </c:pt>
                <c:pt idx="6">
                  <c:v>1.4164</c:v>
                </c:pt>
                <c:pt idx="7">
                  <c:v>1.4616</c:v>
                </c:pt>
                <c:pt idx="8">
                  <c:v>1.536</c:v>
                </c:pt>
                <c:pt idx="9">
                  <c:v>1.5892</c:v>
                </c:pt>
                <c:pt idx="10">
                  <c:v>1.6283</c:v>
                </c:pt>
                <c:pt idx="11">
                  <c:v>1.6767</c:v>
                </c:pt>
                <c:pt idx="12">
                  <c:v>1.727</c:v>
                </c:pt>
                <c:pt idx="13">
                  <c:v>1.751</c:v>
                </c:pt>
                <c:pt idx="14">
                  <c:v>1.7692</c:v>
                </c:pt>
                <c:pt idx="15">
                  <c:v>1.7544</c:v>
                </c:pt>
                <c:pt idx="16">
                  <c:v>1.8139</c:v>
                </c:pt>
                <c:pt idx="17">
                  <c:v>1.8733</c:v>
                </c:pt>
                <c:pt idx="18">
                  <c:v>1.8927</c:v>
                </c:pt>
                <c:pt idx="19">
                  <c:v>1.8998</c:v>
                </c:pt>
                <c:pt idx="20">
                  <c:v>1.9195</c:v>
                </c:pt>
              </c:numCache>
            </c:numRef>
          </c:yVal>
          <c:smooth val="0"/>
        </c:ser>
        <c:ser>
          <c:idx val="8"/>
          <c:order val="4"/>
          <c:tx>
            <c:v>30psi-2%HF</c:v>
          </c:tx>
          <c:spPr>
            <a:ln w="12700">
              <a:solidFill>
                <a:srgbClr val="0070C0"/>
              </a:solidFill>
              <a:prstDash val="sysDash"/>
            </a:ln>
          </c:spPr>
          <c:marker>
            <c:symbol val="none"/>
          </c:marker>
          <c:xVal>
            <c:numRef>
              <c:f>'TC-Absorption-30psi'!$Z$4:$Z$84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'TC-Absorption-30psi'!$AA$4:$AA$84</c:f>
              <c:numCache>
                <c:formatCode>General</c:formatCode>
                <c:ptCount val="81"/>
                <c:pt idx="0">
                  <c:v>0.04803368</c:v>
                </c:pt>
                <c:pt idx="1">
                  <c:v>0.14354967</c:v>
                </c:pt>
                <c:pt idx="2">
                  <c:v>0.2173999</c:v>
                </c:pt>
                <c:pt idx="3">
                  <c:v>0.25188697</c:v>
                </c:pt>
                <c:pt idx="4">
                  <c:v>0.26596857</c:v>
                </c:pt>
                <c:pt idx="5">
                  <c:v>0.2775176</c:v>
                </c:pt>
                <c:pt idx="6">
                  <c:v>0.29089965</c:v>
                </c:pt>
                <c:pt idx="7">
                  <c:v>0.30652039</c:v>
                </c:pt>
                <c:pt idx="8">
                  <c:v>0.32432474</c:v>
                </c:pt>
                <c:pt idx="9">
                  <c:v>0.34422327</c:v>
                </c:pt>
                <c:pt idx="10">
                  <c:v>0.36611625</c:v>
                </c:pt>
                <c:pt idx="11">
                  <c:v>0.38989517</c:v>
                </c:pt>
                <c:pt idx="12">
                  <c:v>0.41544361</c:v>
                </c:pt>
                <c:pt idx="13">
                  <c:v>0.44263819</c:v>
                </c:pt>
                <c:pt idx="14">
                  <c:v>0.47134958</c:v>
                </c:pt>
                <c:pt idx="15">
                  <c:v>0.50144348</c:v>
                </c:pt>
                <c:pt idx="16">
                  <c:v>0.53278172</c:v>
                </c:pt>
                <c:pt idx="17">
                  <c:v>0.56522325</c:v>
                </c:pt>
                <c:pt idx="18">
                  <c:v>0.59862522</c:v>
                </c:pt>
                <c:pt idx="19">
                  <c:v>0.63284401</c:v>
                </c:pt>
                <c:pt idx="20">
                  <c:v>0.66773623</c:v>
                </c:pt>
                <c:pt idx="21">
                  <c:v>0.7031597</c:v>
                </c:pt>
                <c:pt idx="22">
                  <c:v>0.73897438</c:v>
                </c:pt>
                <c:pt idx="23">
                  <c:v>0.77504327</c:v>
                </c:pt>
                <c:pt idx="24">
                  <c:v>0.81123322</c:v>
                </c:pt>
                <c:pt idx="25">
                  <c:v>0.84741569</c:v>
                </c:pt>
                <c:pt idx="26">
                  <c:v>0.88346746</c:v>
                </c:pt>
                <c:pt idx="27">
                  <c:v>0.91927122</c:v>
                </c:pt>
                <c:pt idx="28">
                  <c:v>0.95471616</c:v>
                </c:pt>
                <c:pt idx="29">
                  <c:v>0.98969837</c:v>
                </c:pt>
                <c:pt idx="30">
                  <c:v>1.02412127</c:v>
                </c:pt>
                <c:pt idx="31">
                  <c:v>1.05789591</c:v>
                </c:pt>
                <c:pt idx="32">
                  <c:v>1.09094117</c:v>
                </c:pt>
                <c:pt idx="33">
                  <c:v>1.12318389</c:v>
                </c:pt>
                <c:pt idx="34">
                  <c:v>1.154559</c:v>
                </c:pt>
                <c:pt idx="35">
                  <c:v>1.18500947</c:v>
                </c:pt>
                <c:pt idx="36">
                  <c:v>1.21448624</c:v>
                </c:pt>
                <c:pt idx="37">
                  <c:v>1.24294811</c:v>
                </c:pt>
                <c:pt idx="38">
                  <c:v>1.27036151</c:v>
                </c:pt>
                <c:pt idx="39">
                  <c:v>1.29670031</c:v>
                </c:pt>
                <c:pt idx="40">
                  <c:v>1.32194547</c:v>
                </c:pt>
                <c:pt idx="41">
                  <c:v>1.34608474</c:v>
                </c:pt>
                <c:pt idx="42">
                  <c:v>1.36911228</c:v>
                </c:pt>
                <c:pt idx="43">
                  <c:v>1.39102828</c:v>
                </c:pt>
                <c:pt idx="44">
                  <c:v>1.4118385</c:v>
                </c:pt>
                <c:pt idx="45">
                  <c:v>1.43155387</c:v>
                </c:pt>
                <c:pt idx="46">
                  <c:v>1.45019002</c:v>
                </c:pt>
                <c:pt idx="47">
                  <c:v>1.46776682</c:v>
                </c:pt>
                <c:pt idx="48">
                  <c:v>1.48430794</c:v>
                </c:pt>
                <c:pt idx="49">
                  <c:v>1.49984039</c:v>
                </c:pt>
                <c:pt idx="50">
                  <c:v>1.51439406</c:v>
                </c:pt>
              </c:numCache>
            </c:numRef>
          </c:yVal>
          <c:smooth val="0"/>
        </c:ser>
        <c:ser>
          <c:idx val="10"/>
          <c:order val="5"/>
          <c:tx>
            <c:v>30psi-40%hf</c:v>
          </c:tx>
          <c:spPr>
            <a:ln w="12700">
              <a:solidFill>
                <a:srgbClr val="C00000"/>
              </a:solidFill>
              <a:prstDash val="sysDash"/>
            </a:ln>
          </c:spPr>
          <c:marker>
            <c:symbol val="none"/>
          </c:marker>
          <c:xVal>
            <c:numRef>
              <c:f>'TC-Absorption-30psi'!$AD$4:$AD$84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'TC-Absorption-30psi'!$AE$4:$AE$84</c:f>
              <c:numCache>
                <c:formatCode>General</c:formatCode>
                <c:ptCount val="81"/>
                <c:pt idx="0">
                  <c:v>0.02954298</c:v>
                </c:pt>
                <c:pt idx="1">
                  <c:v>0.27598965</c:v>
                </c:pt>
                <c:pt idx="2">
                  <c:v>0.41082111</c:v>
                </c:pt>
                <c:pt idx="3">
                  <c:v>0.44271698</c:v>
                </c:pt>
                <c:pt idx="4">
                  <c:v>0.46403312</c:v>
                </c:pt>
                <c:pt idx="5">
                  <c:v>0.48965838</c:v>
                </c:pt>
                <c:pt idx="6">
                  <c:v>0.51940423</c:v>
                </c:pt>
                <c:pt idx="7">
                  <c:v>0.55245681</c:v>
                </c:pt>
                <c:pt idx="8">
                  <c:v>0.58794793</c:v>
                </c:pt>
                <c:pt idx="9">
                  <c:v>0.6249974</c:v>
                </c:pt>
                <c:pt idx="10">
                  <c:v>0.66274849</c:v>
                </c:pt>
                <c:pt idx="11">
                  <c:v>0.70039946</c:v>
                </c:pt>
                <c:pt idx="12">
                  <c:v>0.73722965</c:v>
                </c:pt>
                <c:pt idx="13">
                  <c:v>0.77261907</c:v>
                </c:pt>
                <c:pt idx="14">
                  <c:v>0.80606112</c:v>
                </c:pt>
                <c:pt idx="15">
                  <c:v>0.83716834</c:v>
                </c:pt>
                <c:pt idx="16">
                  <c:v>0.86567178</c:v>
                </c:pt>
                <c:pt idx="17">
                  <c:v>0.89141484</c:v>
                </c:pt>
                <c:pt idx="18">
                  <c:v>0.91434269</c:v>
                </c:pt>
                <c:pt idx="19">
                  <c:v>0.9344885</c:v>
                </c:pt>
                <c:pt idx="20">
                  <c:v>0.95195774</c:v>
                </c:pt>
                <c:pt idx="21">
                  <c:v>0.96691175</c:v>
                </c:pt>
                <c:pt idx="22">
                  <c:v>0.97955172</c:v>
                </c:pt>
                <c:pt idx="23">
                  <c:v>0.99010365</c:v>
                </c:pt>
                <c:pt idx="24">
                  <c:v>0.99880524</c:v>
                </c:pt>
                <c:pt idx="25">
                  <c:v>1.00589474</c:v>
                </c:pt>
                <c:pt idx="26">
                  <c:v>1.01160228</c:v>
                </c:pt>
                <c:pt idx="27">
                  <c:v>1.01614329</c:v>
                </c:pt>
                <c:pt idx="28">
                  <c:v>1.01971417</c:v>
                </c:pt>
                <c:pt idx="29">
                  <c:v>1.02248981</c:v>
                </c:pt>
                <c:pt idx="30">
                  <c:v>1.02462264</c:v>
                </c:pt>
                <c:pt idx="31">
                  <c:v>1.02624291</c:v>
                </c:pt>
                <c:pt idx="32">
                  <c:v>1.02745991</c:v>
                </c:pt>
                <c:pt idx="33">
                  <c:v>1.02836377</c:v>
                </c:pt>
                <c:pt idx="34">
                  <c:v>1.02902756</c:v>
                </c:pt>
                <c:pt idx="35">
                  <c:v>1.02950963</c:v>
                </c:pt>
                <c:pt idx="36">
                  <c:v>1.02985588</c:v>
                </c:pt>
                <c:pt idx="37">
                  <c:v>1.03010182</c:v>
                </c:pt>
                <c:pt idx="38">
                  <c:v>1.0302746</c:v>
                </c:pt>
                <c:pt idx="39">
                  <c:v>1.03039467</c:v>
                </c:pt>
                <c:pt idx="40">
                  <c:v>1.03047718</c:v>
                </c:pt>
                <c:pt idx="41">
                  <c:v>1.03053328</c:v>
                </c:pt>
                <c:pt idx="42">
                  <c:v>1.03057101</c:v>
                </c:pt>
                <c:pt idx="43">
                  <c:v>1.03059611</c:v>
                </c:pt>
                <c:pt idx="44">
                  <c:v>1.03061262</c:v>
                </c:pt>
                <c:pt idx="45">
                  <c:v>1.03062338</c:v>
                </c:pt>
                <c:pt idx="46">
                  <c:v>1.0306303</c:v>
                </c:pt>
                <c:pt idx="47">
                  <c:v>1.03063471</c:v>
                </c:pt>
                <c:pt idx="48">
                  <c:v>1.03063749</c:v>
                </c:pt>
                <c:pt idx="49">
                  <c:v>1.03063923</c:v>
                </c:pt>
                <c:pt idx="50">
                  <c:v>1.0306403</c:v>
                </c:pt>
              </c:numCache>
            </c:numRef>
          </c:yVal>
          <c:smooth val="0"/>
        </c:ser>
        <c:ser>
          <c:idx val="12"/>
          <c:order val="6"/>
          <c:tx>
            <c:v>30psi70%hf</c:v>
          </c:tx>
          <c:spPr>
            <a:ln w="12700">
              <a:solidFill>
                <a:srgbClr val="00B050"/>
              </a:solidFill>
              <a:prstDash val="sysDash"/>
            </a:ln>
          </c:spPr>
          <c:marker>
            <c:symbol val="none"/>
          </c:marker>
          <c:xVal>
            <c:numRef>
              <c:f>'TC-Absorption-30psi'!$AH$4:$AH$84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'TC-Absorption-30psi'!$AI$4:$AI$84</c:f>
              <c:numCache>
                <c:formatCode>General</c:formatCode>
                <c:ptCount val="81"/>
                <c:pt idx="0">
                  <c:v>0.03588699</c:v>
                </c:pt>
                <c:pt idx="1">
                  <c:v>0.42655514</c:v>
                </c:pt>
                <c:pt idx="2">
                  <c:v>0.64146188</c:v>
                </c:pt>
                <c:pt idx="3">
                  <c:v>0.68743613</c:v>
                </c:pt>
                <c:pt idx="4">
                  <c:v>0.71195096</c:v>
                </c:pt>
                <c:pt idx="5">
                  <c:v>0.7407114</c:v>
                </c:pt>
                <c:pt idx="6">
                  <c:v>0.77377999</c:v>
                </c:pt>
                <c:pt idx="7">
                  <c:v>0.81011431</c:v>
                </c:pt>
                <c:pt idx="8">
                  <c:v>0.84862143</c:v>
                </c:pt>
                <c:pt idx="9">
                  <c:v>0.88822189</c:v>
                </c:pt>
                <c:pt idx="10">
                  <c:v>0.92789823</c:v>
                </c:pt>
                <c:pt idx="11">
                  <c:v>0.96673554</c:v>
                </c:pt>
                <c:pt idx="12">
                  <c:v>1.00395198</c:v>
                </c:pt>
                <c:pt idx="13">
                  <c:v>1.03891827</c:v>
                </c:pt>
                <c:pt idx="14">
                  <c:v>1.07116614</c:v>
                </c:pt>
                <c:pt idx="15">
                  <c:v>1.1003867</c:v>
                </c:pt>
                <c:pt idx="16">
                  <c:v>1.12642008</c:v>
                </c:pt>
                <c:pt idx="17">
                  <c:v>1.14923857</c:v>
                </c:pt>
                <c:pt idx="18">
                  <c:v>1.16892514</c:v>
                </c:pt>
                <c:pt idx="19">
                  <c:v>1.18564986</c:v>
                </c:pt>
                <c:pt idx="20">
                  <c:v>1.1996458</c:v>
                </c:pt>
                <c:pt idx="21">
                  <c:v>1.21118636</c:v>
                </c:pt>
                <c:pt idx="22">
                  <c:v>1.22056507</c:v>
                </c:pt>
                <c:pt idx="23">
                  <c:v>1.22807861</c:v>
                </c:pt>
                <c:pt idx="24">
                  <c:v>1.2340135</c:v>
                </c:pt>
                <c:pt idx="25">
                  <c:v>1.23863645</c:v>
                </c:pt>
                <c:pt idx="26">
                  <c:v>1.24218807</c:v>
                </c:pt>
                <c:pt idx="27">
                  <c:v>1.24487957</c:v>
                </c:pt>
                <c:pt idx="28">
                  <c:v>1.24689174</c:v>
                </c:pt>
                <c:pt idx="29">
                  <c:v>1.24837593</c:v>
                </c:pt>
                <c:pt idx="30">
                  <c:v>1.24945614</c:v>
                </c:pt>
                <c:pt idx="31">
                  <c:v>1.25023193</c:v>
                </c:pt>
                <c:pt idx="32">
                  <c:v>1.25078179</c:v>
                </c:pt>
                <c:pt idx="33">
                  <c:v>1.25116641</c:v>
                </c:pt>
                <c:pt idx="34">
                  <c:v>1.25143196</c:v>
                </c:pt>
                <c:pt idx="35">
                  <c:v>1.25161292</c:v>
                </c:pt>
                <c:pt idx="36">
                  <c:v>1.25173464</c:v>
                </c:pt>
                <c:pt idx="37">
                  <c:v>1.25181547</c:v>
                </c:pt>
                <c:pt idx="38">
                  <c:v>1.25186846</c:v>
                </c:pt>
                <c:pt idx="39">
                  <c:v>1.25190275</c:v>
                </c:pt>
                <c:pt idx="40">
                  <c:v>1.25192466</c:v>
                </c:pt>
                <c:pt idx="41">
                  <c:v>1.25193848</c:v>
                </c:pt>
                <c:pt idx="42">
                  <c:v>1.25194708</c:v>
                </c:pt>
                <c:pt idx="43">
                  <c:v>1.25195238</c:v>
                </c:pt>
                <c:pt idx="44">
                  <c:v>1.25195559</c:v>
                </c:pt>
                <c:pt idx="45">
                  <c:v>1.25195752</c:v>
                </c:pt>
                <c:pt idx="46">
                  <c:v>1.25195866</c:v>
                </c:pt>
                <c:pt idx="47">
                  <c:v>1.25195932</c:v>
                </c:pt>
                <c:pt idx="48">
                  <c:v>1.25195971</c:v>
                </c:pt>
                <c:pt idx="49">
                  <c:v>1.25195993</c:v>
                </c:pt>
                <c:pt idx="50">
                  <c:v>1.25196005</c:v>
                </c:pt>
              </c:numCache>
            </c:numRef>
          </c:yVal>
          <c:smooth val="0"/>
        </c:ser>
        <c:ser>
          <c:idx val="14"/>
          <c:order val="7"/>
          <c:tx>
            <c:v>30psi99%hf</c:v>
          </c:tx>
          <c:spPr>
            <a:ln w="12700">
              <a:solidFill>
                <a:srgbClr val="7030A0"/>
              </a:solidFill>
              <a:prstDash val="sysDash"/>
            </a:ln>
          </c:spPr>
          <c:marker>
            <c:symbol val="none"/>
          </c:marker>
          <c:xVal>
            <c:numRef>
              <c:f>'TC-Absorption-30psi'!$AL$4:$AL$84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'TC-Absorption-30psi'!$AM$4:$AM$84</c:f>
              <c:numCache>
                <c:formatCode>General</c:formatCode>
                <c:ptCount val="81"/>
                <c:pt idx="0">
                  <c:v>0.05577792</c:v>
                </c:pt>
                <c:pt idx="1">
                  <c:v>0.86098843</c:v>
                </c:pt>
                <c:pt idx="2">
                  <c:v>1.25340155</c:v>
                </c:pt>
                <c:pt idx="3">
                  <c:v>1.3121552</c:v>
                </c:pt>
                <c:pt idx="4">
                  <c:v>1.33886418</c:v>
                </c:pt>
                <c:pt idx="5">
                  <c:v>1.37050756</c:v>
                </c:pt>
                <c:pt idx="6">
                  <c:v>1.40694632</c:v>
                </c:pt>
                <c:pt idx="7">
                  <c:v>1.44704665</c:v>
                </c:pt>
                <c:pt idx="8">
                  <c:v>1.48962301</c:v>
                </c:pt>
                <c:pt idx="9">
                  <c:v>1.53350012</c:v>
                </c:pt>
                <c:pt idx="10">
                  <c:v>1.57756509</c:v>
                </c:pt>
                <c:pt idx="11">
                  <c:v>1.62081138</c:v>
                </c:pt>
                <c:pt idx="12">
                  <c:v>1.66237238</c:v>
                </c:pt>
                <c:pt idx="13">
                  <c:v>1.7015435</c:v>
                </c:pt>
                <c:pt idx="14">
                  <c:v>1.73779253</c:v>
                </c:pt>
                <c:pt idx="15">
                  <c:v>1.77075929</c:v>
                </c:pt>
                <c:pt idx="16">
                  <c:v>1.80024589</c:v>
                </c:pt>
                <c:pt idx="17">
                  <c:v>1.82619967</c:v>
                </c:pt>
                <c:pt idx="18">
                  <c:v>1.84869112</c:v>
                </c:pt>
                <c:pt idx="19">
                  <c:v>1.86788898</c:v>
                </c:pt>
                <c:pt idx="20">
                  <c:v>1.88403467</c:v>
                </c:pt>
                <c:pt idx="21">
                  <c:v>1.89741774</c:v>
                </c:pt>
                <c:pt idx="22">
                  <c:v>1.90835376</c:v>
                </c:pt>
                <c:pt idx="23">
                  <c:v>1.91716548</c:v>
                </c:pt>
                <c:pt idx="24">
                  <c:v>1.92416783</c:v>
                </c:pt>
                <c:pt idx="25">
                  <c:v>1.92965663</c:v>
                </c:pt>
                <c:pt idx="26">
                  <c:v>1.93390114</c:v>
                </c:pt>
                <c:pt idx="27">
                  <c:v>1.937139659999999</c:v>
                </c:pt>
                <c:pt idx="28">
                  <c:v>1.93957796</c:v>
                </c:pt>
                <c:pt idx="29">
                  <c:v>1.94138969</c:v>
                </c:pt>
                <c:pt idx="30">
                  <c:v>1.94271831</c:v>
                </c:pt>
                <c:pt idx="31">
                  <c:v>1.94368003</c:v>
                </c:pt>
                <c:pt idx="32">
                  <c:v>1.94436721</c:v>
                </c:pt>
                <c:pt idx="33">
                  <c:v>1.94485193</c:v>
                </c:pt>
                <c:pt idx="34">
                  <c:v>1.94518948</c:v>
                </c:pt>
                <c:pt idx="35">
                  <c:v>1.94542156</c:v>
                </c:pt>
                <c:pt idx="36">
                  <c:v>1.94557911</c:v>
                </c:pt>
                <c:pt idx="37">
                  <c:v>1.94568472</c:v>
                </c:pt>
                <c:pt idx="38">
                  <c:v>1.94575462</c:v>
                </c:pt>
                <c:pt idx="39">
                  <c:v>1.94580031</c:v>
                </c:pt>
                <c:pt idx="40">
                  <c:v>1.945829789999999</c:v>
                </c:pt>
                <c:pt idx="41">
                  <c:v>1.94584859</c:v>
                </c:pt>
                <c:pt idx="42">
                  <c:v>1.94586042</c:v>
                </c:pt>
                <c:pt idx="43">
                  <c:v>1.94586778</c:v>
                </c:pt>
                <c:pt idx="44">
                  <c:v>1.9458723</c:v>
                </c:pt>
                <c:pt idx="45">
                  <c:v>1.94587503</c:v>
                </c:pt>
                <c:pt idx="46">
                  <c:v>1.94587668</c:v>
                </c:pt>
                <c:pt idx="47">
                  <c:v>1.94587765</c:v>
                </c:pt>
                <c:pt idx="48">
                  <c:v>1.94587821</c:v>
                </c:pt>
                <c:pt idx="49">
                  <c:v>1.94587854</c:v>
                </c:pt>
                <c:pt idx="50">
                  <c:v>1.94587873</c:v>
                </c:pt>
              </c:numCache>
            </c:numRef>
          </c:yVal>
          <c:smooth val="0"/>
        </c:ser>
        <c:dLbls>
          <c:showLegendKey val="0"/>
          <c:showVal val="0"/>
          <c:showCatName val="0"/>
          <c:showSerName val="0"/>
          <c:showPercent val="0"/>
          <c:showBubbleSize val="0"/>
        </c:dLbls>
        <c:axId val="565142104"/>
        <c:axId val="565148072"/>
      </c:scatterChart>
      <c:valAx>
        <c:axId val="565142104"/>
        <c:scaling>
          <c:orientation val="minMax"/>
          <c:max val="21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565148072"/>
        <c:crosses val="autoZero"/>
        <c:crossBetween val="midCat"/>
        <c:majorUnit val="50.0"/>
        <c:minorUnit val="12.5"/>
      </c:valAx>
      <c:valAx>
        <c:axId val="565148072"/>
        <c:scaling>
          <c:orientation val="minMax"/>
          <c:max val="2.5"/>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565142104"/>
        <c:crosses val="autoZero"/>
        <c:crossBetween val="midCat"/>
        <c:majorUnit val="1.0"/>
        <c:minorUnit val="0.25"/>
      </c:valAx>
      <c:spPr>
        <a:ln w="19050">
          <a:solidFill>
            <a:sysClr val="windowText" lastClr="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439910583210997"/>
          <c:y val="0.0374139690871974"/>
          <c:w val="0.475343654077139"/>
          <c:h val="0.101097987751531"/>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5724009075137"/>
          <c:y val="0.0333333333333333"/>
          <c:w val="0.745862805284932"/>
          <c:h val="0.793114975211432"/>
        </c:manualLayout>
      </c:layout>
      <c:scatterChart>
        <c:scatterStyle val="lineMarker"/>
        <c:varyColors val="0"/>
        <c:ser>
          <c:idx val="0"/>
          <c:order val="0"/>
          <c:tx>
            <c:v>2% RH</c:v>
          </c:tx>
          <c:spPr>
            <a:ln w="28575">
              <a:noFill/>
            </a:ln>
          </c:spPr>
          <c:marker>
            <c:symbol val="triangle"/>
            <c:size val="4"/>
            <c:spPr>
              <a:solidFill>
                <a:srgbClr val="0070C0">
                  <a:alpha val="50000"/>
                </a:srgbClr>
              </a:solidFill>
              <a:ln w="12700">
                <a:solidFill>
                  <a:schemeClr val="tx1"/>
                </a:solidFill>
              </a:ln>
            </c:spPr>
          </c:marker>
          <c:xVal>
            <c:numRef>
              <c:f>'TC-Absorption-50psi'!$A$4:$A$34</c:f>
              <c:numCache>
                <c:formatCode>General</c:formatCode>
                <c:ptCount val="31"/>
                <c:pt idx="0">
                  <c:v>2.31</c:v>
                </c:pt>
                <c:pt idx="1">
                  <c:v>5.4</c:v>
                </c:pt>
                <c:pt idx="2">
                  <c:v>8.629999999999998</c:v>
                </c:pt>
                <c:pt idx="3">
                  <c:v>13.9</c:v>
                </c:pt>
                <c:pt idx="4">
                  <c:v>20.37</c:v>
                </c:pt>
                <c:pt idx="5">
                  <c:v>25.98</c:v>
                </c:pt>
                <c:pt idx="6">
                  <c:v>31.03</c:v>
                </c:pt>
                <c:pt idx="7">
                  <c:v>35.71</c:v>
                </c:pt>
                <c:pt idx="8">
                  <c:v>43.02</c:v>
                </c:pt>
                <c:pt idx="9">
                  <c:v>48.49</c:v>
                </c:pt>
                <c:pt idx="10">
                  <c:v>54.32</c:v>
                </c:pt>
                <c:pt idx="11">
                  <c:v>59.81</c:v>
                </c:pt>
                <c:pt idx="12">
                  <c:v>65.37</c:v>
                </c:pt>
                <c:pt idx="13">
                  <c:v>71.48</c:v>
                </c:pt>
                <c:pt idx="14">
                  <c:v>77.91</c:v>
                </c:pt>
                <c:pt idx="15">
                  <c:v>82.57</c:v>
                </c:pt>
                <c:pt idx="16">
                  <c:v>89.14</c:v>
                </c:pt>
                <c:pt idx="17">
                  <c:v>94.63</c:v>
                </c:pt>
                <c:pt idx="18">
                  <c:v>99.81</c:v>
                </c:pt>
                <c:pt idx="19">
                  <c:v>104.61</c:v>
                </c:pt>
                <c:pt idx="20">
                  <c:v>110.3</c:v>
                </c:pt>
                <c:pt idx="30">
                  <c:v>130.07</c:v>
                </c:pt>
              </c:numCache>
            </c:numRef>
          </c:xVal>
          <c:yVal>
            <c:numRef>
              <c:f>'TC-Absorption-50psi'!$B$4:$B$34</c:f>
              <c:numCache>
                <c:formatCode>General</c:formatCode>
                <c:ptCount val="31"/>
                <c:pt idx="0">
                  <c:v>0.1683</c:v>
                </c:pt>
                <c:pt idx="1">
                  <c:v>0.1859</c:v>
                </c:pt>
                <c:pt idx="2">
                  <c:v>0.2105</c:v>
                </c:pt>
                <c:pt idx="3">
                  <c:v>0.2302</c:v>
                </c:pt>
                <c:pt idx="4">
                  <c:v>0.2541</c:v>
                </c:pt>
                <c:pt idx="5">
                  <c:v>0.2921</c:v>
                </c:pt>
                <c:pt idx="6">
                  <c:v>0.2877</c:v>
                </c:pt>
                <c:pt idx="7">
                  <c:v>0.3073</c:v>
                </c:pt>
                <c:pt idx="8">
                  <c:v>0.3308</c:v>
                </c:pt>
                <c:pt idx="9">
                  <c:v>0.3482</c:v>
                </c:pt>
                <c:pt idx="10">
                  <c:v>0.3663</c:v>
                </c:pt>
                <c:pt idx="11">
                  <c:v>0.409</c:v>
                </c:pt>
                <c:pt idx="12">
                  <c:v>0.4344</c:v>
                </c:pt>
                <c:pt idx="13">
                  <c:v>0.519</c:v>
                </c:pt>
                <c:pt idx="14">
                  <c:v>0.5767</c:v>
                </c:pt>
                <c:pt idx="15">
                  <c:v>0.6101</c:v>
                </c:pt>
                <c:pt idx="16">
                  <c:v>0.6634</c:v>
                </c:pt>
                <c:pt idx="17">
                  <c:v>0.646</c:v>
                </c:pt>
                <c:pt idx="18">
                  <c:v>0.6755</c:v>
                </c:pt>
                <c:pt idx="19">
                  <c:v>0.6774</c:v>
                </c:pt>
                <c:pt idx="20">
                  <c:v>0.6837</c:v>
                </c:pt>
              </c:numCache>
            </c:numRef>
          </c:yVal>
          <c:smooth val="0"/>
        </c:ser>
        <c:ser>
          <c:idx val="1"/>
          <c:order val="1"/>
          <c:tx>
            <c:v>40% RH</c:v>
          </c:tx>
          <c:spPr>
            <a:ln w="28575">
              <a:noFill/>
            </a:ln>
          </c:spPr>
          <c:marker>
            <c:symbol val="triangle"/>
            <c:size val="4"/>
            <c:spPr>
              <a:solidFill>
                <a:srgbClr val="C00000">
                  <a:alpha val="50000"/>
                </a:srgbClr>
              </a:solidFill>
              <a:ln w="12700">
                <a:solidFill>
                  <a:sysClr val="windowText" lastClr="000000"/>
                </a:solidFill>
              </a:ln>
            </c:spPr>
          </c:marker>
          <c:xVal>
            <c:numRef>
              <c:f>'TC-Absorption-50psi'!$G$4:$G$34</c:f>
              <c:numCache>
                <c:formatCode>General</c:formatCode>
                <c:ptCount val="31"/>
                <c:pt idx="0">
                  <c:v>2.34</c:v>
                </c:pt>
                <c:pt idx="1">
                  <c:v>5.41</c:v>
                </c:pt>
                <c:pt idx="2">
                  <c:v>8.64</c:v>
                </c:pt>
                <c:pt idx="3">
                  <c:v>13.9</c:v>
                </c:pt>
                <c:pt idx="4">
                  <c:v>20.37</c:v>
                </c:pt>
                <c:pt idx="5">
                  <c:v>25.98</c:v>
                </c:pt>
                <c:pt idx="6">
                  <c:v>31.04</c:v>
                </c:pt>
                <c:pt idx="7">
                  <c:v>35.71</c:v>
                </c:pt>
                <c:pt idx="8">
                  <c:v>43.02</c:v>
                </c:pt>
                <c:pt idx="9">
                  <c:v>48.49</c:v>
                </c:pt>
                <c:pt idx="10">
                  <c:v>54.32</c:v>
                </c:pt>
                <c:pt idx="11">
                  <c:v>59.81</c:v>
                </c:pt>
                <c:pt idx="12">
                  <c:v>65.37</c:v>
                </c:pt>
                <c:pt idx="13">
                  <c:v>71.48</c:v>
                </c:pt>
                <c:pt idx="14">
                  <c:v>77.91</c:v>
                </c:pt>
                <c:pt idx="15">
                  <c:v>82.57</c:v>
                </c:pt>
                <c:pt idx="16">
                  <c:v>89.14</c:v>
                </c:pt>
                <c:pt idx="17">
                  <c:v>94.63</c:v>
                </c:pt>
                <c:pt idx="18">
                  <c:v>99.81</c:v>
                </c:pt>
                <c:pt idx="19">
                  <c:v>104.61</c:v>
                </c:pt>
                <c:pt idx="20">
                  <c:v>110.31</c:v>
                </c:pt>
              </c:numCache>
            </c:numRef>
          </c:xVal>
          <c:yVal>
            <c:numRef>
              <c:f>'TC-Absorption-50psi'!$H$4:$H$34</c:f>
              <c:numCache>
                <c:formatCode>General</c:formatCode>
                <c:ptCount val="31"/>
                <c:pt idx="0">
                  <c:v>0.1877</c:v>
                </c:pt>
                <c:pt idx="1">
                  <c:v>0.2583</c:v>
                </c:pt>
                <c:pt idx="2">
                  <c:v>0.2898</c:v>
                </c:pt>
                <c:pt idx="3">
                  <c:v>0.323</c:v>
                </c:pt>
                <c:pt idx="4">
                  <c:v>0.358</c:v>
                </c:pt>
                <c:pt idx="5">
                  <c:v>0.3841</c:v>
                </c:pt>
                <c:pt idx="6">
                  <c:v>0.4162</c:v>
                </c:pt>
                <c:pt idx="7">
                  <c:v>0.4501</c:v>
                </c:pt>
                <c:pt idx="8">
                  <c:v>0.4835</c:v>
                </c:pt>
                <c:pt idx="9">
                  <c:v>0.5124</c:v>
                </c:pt>
                <c:pt idx="10">
                  <c:v>0.5517</c:v>
                </c:pt>
                <c:pt idx="11">
                  <c:v>0.5825</c:v>
                </c:pt>
                <c:pt idx="12">
                  <c:v>0.6213</c:v>
                </c:pt>
                <c:pt idx="13">
                  <c:v>0.66</c:v>
                </c:pt>
                <c:pt idx="14">
                  <c:v>0.6713</c:v>
                </c:pt>
                <c:pt idx="15">
                  <c:v>0.6961</c:v>
                </c:pt>
                <c:pt idx="16">
                  <c:v>0.7615</c:v>
                </c:pt>
                <c:pt idx="17">
                  <c:v>0.7983</c:v>
                </c:pt>
                <c:pt idx="18">
                  <c:v>0.789</c:v>
                </c:pt>
                <c:pt idx="19">
                  <c:v>0.8257</c:v>
                </c:pt>
                <c:pt idx="20">
                  <c:v>0.8395</c:v>
                </c:pt>
              </c:numCache>
            </c:numRef>
          </c:yVal>
          <c:smooth val="0"/>
        </c:ser>
        <c:ser>
          <c:idx val="2"/>
          <c:order val="2"/>
          <c:tx>
            <c:v>70% RH</c:v>
          </c:tx>
          <c:spPr>
            <a:ln w="28575">
              <a:noFill/>
            </a:ln>
          </c:spPr>
          <c:marker>
            <c:symbol val="triangle"/>
            <c:size val="4"/>
            <c:spPr>
              <a:solidFill>
                <a:srgbClr val="00B050">
                  <a:alpha val="50000"/>
                </a:srgbClr>
              </a:solidFill>
              <a:ln w="12700">
                <a:solidFill>
                  <a:sysClr val="windowText" lastClr="000000"/>
                </a:solidFill>
              </a:ln>
            </c:spPr>
          </c:marker>
          <c:xVal>
            <c:numRef>
              <c:f>'TC-Absorption-50psi'!$M$4:$M$34</c:f>
              <c:numCache>
                <c:formatCode>General</c:formatCode>
                <c:ptCount val="31"/>
                <c:pt idx="0">
                  <c:v>2.36</c:v>
                </c:pt>
                <c:pt idx="1">
                  <c:v>5.42</c:v>
                </c:pt>
                <c:pt idx="2">
                  <c:v>8.65</c:v>
                </c:pt>
                <c:pt idx="3">
                  <c:v>13.91</c:v>
                </c:pt>
                <c:pt idx="4">
                  <c:v>20.38</c:v>
                </c:pt>
                <c:pt idx="5">
                  <c:v>25.98</c:v>
                </c:pt>
                <c:pt idx="6">
                  <c:v>31.04</c:v>
                </c:pt>
                <c:pt idx="7">
                  <c:v>35.72</c:v>
                </c:pt>
                <c:pt idx="8">
                  <c:v>43.03</c:v>
                </c:pt>
                <c:pt idx="9">
                  <c:v>48.49</c:v>
                </c:pt>
                <c:pt idx="10">
                  <c:v>54.32</c:v>
                </c:pt>
                <c:pt idx="11">
                  <c:v>59.81</c:v>
                </c:pt>
                <c:pt idx="12">
                  <c:v>65.38</c:v>
                </c:pt>
                <c:pt idx="13">
                  <c:v>71.48</c:v>
                </c:pt>
                <c:pt idx="14">
                  <c:v>77.91</c:v>
                </c:pt>
                <c:pt idx="15">
                  <c:v>82.57</c:v>
                </c:pt>
                <c:pt idx="16">
                  <c:v>89.14</c:v>
                </c:pt>
                <c:pt idx="17">
                  <c:v>94.63</c:v>
                </c:pt>
                <c:pt idx="18">
                  <c:v>99.81</c:v>
                </c:pt>
                <c:pt idx="19">
                  <c:v>104.61</c:v>
                </c:pt>
                <c:pt idx="20">
                  <c:v>110.31</c:v>
                </c:pt>
              </c:numCache>
            </c:numRef>
          </c:xVal>
          <c:yVal>
            <c:numRef>
              <c:f>'TC-Absorption-50psi'!$N$4:$N$34</c:f>
              <c:numCache>
                <c:formatCode>General</c:formatCode>
                <c:ptCount val="31"/>
                <c:pt idx="0">
                  <c:v>0.3367</c:v>
                </c:pt>
                <c:pt idx="1">
                  <c:v>0.5359</c:v>
                </c:pt>
                <c:pt idx="2">
                  <c:v>0.672</c:v>
                </c:pt>
                <c:pt idx="3">
                  <c:v>0.7744</c:v>
                </c:pt>
                <c:pt idx="4">
                  <c:v>0.8101</c:v>
                </c:pt>
                <c:pt idx="5">
                  <c:v>0.8391</c:v>
                </c:pt>
                <c:pt idx="6">
                  <c:v>0.8774</c:v>
                </c:pt>
                <c:pt idx="7">
                  <c:v>0.887</c:v>
                </c:pt>
                <c:pt idx="8">
                  <c:v>0.973</c:v>
                </c:pt>
                <c:pt idx="9">
                  <c:v>1.0125</c:v>
                </c:pt>
                <c:pt idx="10">
                  <c:v>1.0678</c:v>
                </c:pt>
                <c:pt idx="11">
                  <c:v>1.1121</c:v>
                </c:pt>
                <c:pt idx="12">
                  <c:v>1.1518</c:v>
                </c:pt>
                <c:pt idx="13">
                  <c:v>1.1732</c:v>
                </c:pt>
                <c:pt idx="14">
                  <c:v>1.1827</c:v>
                </c:pt>
                <c:pt idx="15">
                  <c:v>1.1727</c:v>
                </c:pt>
                <c:pt idx="16">
                  <c:v>1.2522</c:v>
                </c:pt>
                <c:pt idx="17">
                  <c:v>1.2593</c:v>
                </c:pt>
                <c:pt idx="18">
                  <c:v>1.2779</c:v>
                </c:pt>
                <c:pt idx="19">
                  <c:v>1.3319</c:v>
                </c:pt>
                <c:pt idx="20">
                  <c:v>1.3447</c:v>
                </c:pt>
              </c:numCache>
            </c:numRef>
          </c:yVal>
          <c:smooth val="0"/>
        </c:ser>
        <c:ser>
          <c:idx val="3"/>
          <c:order val="3"/>
          <c:tx>
            <c:v>99% RH</c:v>
          </c:tx>
          <c:spPr>
            <a:ln w="28575">
              <a:noFill/>
            </a:ln>
          </c:spPr>
          <c:marker>
            <c:symbol val="triangle"/>
            <c:size val="4"/>
            <c:spPr>
              <a:solidFill>
                <a:srgbClr val="7030A0">
                  <a:alpha val="50000"/>
                </a:srgbClr>
              </a:solidFill>
              <a:ln w="12700">
                <a:solidFill>
                  <a:sysClr val="windowText" lastClr="000000"/>
                </a:solidFill>
              </a:ln>
            </c:spPr>
          </c:marker>
          <c:xVal>
            <c:numRef>
              <c:f>'TC-Absorption-50psi'!$S$4:$S$34</c:f>
              <c:numCache>
                <c:formatCode>General</c:formatCode>
                <c:ptCount val="31"/>
                <c:pt idx="0">
                  <c:v>2.38</c:v>
                </c:pt>
                <c:pt idx="1">
                  <c:v>5.43</c:v>
                </c:pt>
                <c:pt idx="2">
                  <c:v>8.65</c:v>
                </c:pt>
                <c:pt idx="3">
                  <c:v>13.91</c:v>
                </c:pt>
                <c:pt idx="4">
                  <c:v>20.38</c:v>
                </c:pt>
                <c:pt idx="5">
                  <c:v>25.99</c:v>
                </c:pt>
                <c:pt idx="6">
                  <c:v>31.04</c:v>
                </c:pt>
                <c:pt idx="7">
                  <c:v>35.72</c:v>
                </c:pt>
                <c:pt idx="8">
                  <c:v>43.03</c:v>
                </c:pt>
                <c:pt idx="9">
                  <c:v>48.49</c:v>
                </c:pt>
                <c:pt idx="10">
                  <c:v>54.32</c:v>
                </c:pt>
                <c:pt idx="11">
                  <c:v>59.82</c:v>
                </c:pt>
                <c:pt idx="12">
                  <c:v>65.38</c:v>
                </c:pt>
                <c:pt idx="13">
                  <c:v>71.49</c:v>
                </c:pt>
                <c:pt idx="14">
                  <c:v>77.91</c:v>
                </c:pt>
                <c:pt idx="15">
                  <c:v>82.57</c:v>
                </c:pt>
                <c:pt idx="16">
                  <c:v>89.14</c:v>
                </c:pt>
                <c:pt idx="17">
                  <c:v>94.64</c:v>
                </c:pt>
                <c:pt idx="18">
                  <c:v>99.81</c:v>
                </c:pt>
                <c:pt idx="19">
                  <c:v>104.61</c:v>
                </c:pt>
                <c:pt idx="20">
                  <c:v>110.31</c:v>
                </c:pt>
              </c:numCache>
            </c:numRef>
          </c:xVal>
          <c:yVal>
            <c:numRef>
              <c:f>'TC-Absorption-50psi'!$T$4:$T$34</c:f>
              <c:numCache>
                <c:formatCode>General</c:formatCode>
                <c:ptCount val="31"/>
                <c:pt idx="0">
                  <c:v>0.6864</c:v>
                </c:pt>
                <c:pt idx="1">
                  <c:v>1.1928</c:v>
                </c:pt>
                <c:pt idx="2">
                  <c:v>1.4123</c:v>
                </c:pt>
                <c:pt idx="3">
                  <c:v>1.5081</c:v>
                </c:pt>
                <c:pt idx="4">
                  <c:v>1.5572</c:v>
                </c:pt>
                <c:pt idx="5">
                  <c:v>1.6523</c:v>
                </c:pt>
                <c:pt idx="6">
                  <c:v>1.6891</c:v>
                </c:pt>
                <c:pt idx="7">
                  <c:v>1.7078</c:v>
                </c:pt>
                <c:pt idx="8">
                  <c:v>1.7919</c:v>
                </c:pt>
                <c:pt idx="9">
                  <c:v>1.8302</c:v>
                </c:pt>
                <c:pt idx="10">
                  <c:v>1.8807</c:v>
                </c:pt>
                <c:pt idx="11">
                  <c:v>1.9271</c:v>
                </c:pt>
                <c:pt idx="12">
                  <c:v>1.9584</c:v>
                </c:pt>
                <c:pt idx="13">
                  <c:v>1.9743</c:v>
                </c:pt>
                <c:pt idx="14">
                  <c:v>1.9826</c:v>
                </c:pt>
                <c:pt idx="15">
                  <c:v>1.9938</c:v>
                </c:pt>
                <c:pt idx="16">
                  <c:v>2.014</c:v>
                </c:pt>
                <c:pt idx="17">
                  <c:v>2.0754</c:v>
                </c:pt>
                <c:pt idx="18">
                  <c:v>2.0805</c:v>
                </c:pt>
                <c:pt idx="19">
                  <c:v>2.093</c:v>
                </c:pt>
                <c:pt idx="20">
                  <c:v>2.1298</c:v>
                </c:pt>
              </c:numCache>
            </c:numRef>
          </c:yVal>
          <c:smooth val="0"/>
        </c:ser>
        <c:ser>
          <c:idx val="8"/>
          <c:order val="4"/>
          <c:tx>
            <c:v>50psi-2%HF</c:v>
          </c:tx>
          <c:spPr>
            <a:ln w="12700">
              <a:solidFill>
                <a:srgbClr val="0070C0"/>
              </a:solidFill>
              <a:prstDash val="sysDash"/>
            </a:ln>
          </c:spPr>
          <c:marker>
            <c:symbol val="none"/>
          </c:marker>
          <c:xVal>
            <c:numRef>
              <c:f>'TC-Absorption-50psi'!$Z$4:$Z$84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'TC-Absorption-50psi'!$AA$4:$AA$84</c:f>
              <c:numCache>
                <c:formatCode>General</c:formatCode>
                <c:ptCount val="81"/>
                <c:pt idx="0">
                  <c:v>0.03160163</c:v>
                </c:pt>
                <c:pt idx="1">
                  <c:v>0.13194558</c:v>
                </c:pt>
                <c:pt idx="2">
                  <c:v>0.20639356</c:v>
                </c:pt>
                <c:pt idx="3">
                  <c:v>0.23786068</c:v>
                </c:pt>
                <c:pt idx="4">
                  <c:v>0.25184071</c:v>
                </c:pt>
                <c:pt idx="5">
                  <c:v>0.2652975</c:v>
                </c:pt>
                <c:pt idx="6">
                  <c:v>0.28117831</c:v>
                </c:pt>
                <c:pt idx="7">
                  <c:v>0.29955001</c:v>
                </c:pt>
                <c:pt idx="8">
                  <c:v>0.3202379</c:v>
                </c:pt>
                <c:pt idx="9">
                  <c:v>0.34304047</c:v>
                </c:pt>
                <c:pt idx="10">
                  <c:v>0.36773994</c:v>
                </c:pt>
                <c:pt idx="11">
                  <c:v>0.39410576</c:v>
                </c:pt>
                <c:pt idx="12">
                  <c:v>0.42189818</c:v>
                </c:pt>
                <c:pt idx="13">
                  <c:v>0.45087189</c:v>
                </c:pt>
                <c:pt idx="14">
                  <c:v>0.48077954</c:v>
                </c:pt>
                <c:pt idx="15">
                  <c:v>0.51137518</c:v>
                </c:pt>
                <c:pt idx="16">
                  <c:v>0.5424176</c:v>
                </c:pt>
                <c:pt idx="17">
                  <c:v>0.57367326</c:v>
                </c:pt>
                <c:pt idx="18">
                  <c:v>0.60491913</c:v>
                </c:pt>
                <c:pt idx="19">
                  <c:v>0.63594508</c:v>
                </c:pt>
                <c:pt idx="20">
                  <c:v>0.66655596</c:v>
                </c:pt>
                <c:pt idx="21">
                  <c:v>0.69657326</c:v>
                </c:pt>
                <c:pt idx="22">
                  <c:v>0.72583647</c:v>
                </c:pt>
                <c:pt idx="23">
                  <c:v>0.75420393</c:v>
                </c:pt>
                <c:pt idx="24">
                  <c:v>0.78155344</c:v>
                </c:pt>
                <c:pt idx="25">
                  <c:v>0.80778237</c:v>
                </c:pt>
                <c:pt idx="26">
                  <c:v>0.83280749</c:v>
                </c:pt>
                <c:pt idx="27">
                  <c:v>0.85656455</c:v>
                </c:pt>
                <c:pt idx="28">
                  <c:v>0.87900748</c:v>
                </c:pt>
                <c:pt idx="29">
                  <c:v>0.90010739</c:v>
                </c:pt>
                <c:pt idx="30">
                  <c:v>0.91985143</c:v>
                </c:pt>
                <c:pt idx="31">
                  <c:v>0.93824141</c:v>
                </c:pt>
                <c:pt idx="32">
                  <c:v>0.95529235</c:v>
                </c:pt>
                <c:pt idx="33">
                  <c:v>0.97103098</c:v>
                </c:pt>
                <c:pt idx="34">
                  <c:v>0.98549416</c:v>
                </c:pt>
                <c:pt idx="35">
                  <c:v>0.99872727</c:v>
                </c:pt>
                <c:pt idx="36">
                  <c:v>1.01078277</c:v>
                </c:pt>
                <c:pt idx="37">
                  <c:v>1.02171863</c:v>
                </c:pt>
                <c:pt idx="38">
                  <c:v>1.03159696</c:v>
                </c:pt>
                <c:pt idx="39">
                  <c:v>1.04048272</c:v>
                </c:pt>
                <c:pt idx="40">
                  <c:v>1.04844253</c:v>
                </c:pt>
                <c:pt idx="41">
                  <c:v>1.05554356</c:v>
                </c:pt>
                <c:pt idx="42">
                  <c:v>1.06185262</c:v>
                </c:pt>
                <c:pt idx="43">
                  <c:v>1.06743534</c:v>
                </c:pt>
                <c:pt idx="44">
                  <c:v>1.07235545</c:v>
                </c:pt>
                <c:pt idx="45">
                  <c:v>1.07667427</c:v>
                </c:pt>
                <c:pt idx="46">
                  <c:v>1.08045022</c:v>
                </c:pt>
                <c:pt idx="47">
                  <c:v>1.08373848</c:v>
                </c:pt>
                <c:pt idx="48">
                  <c:v>1.08659077</c:v>
                </c:pt>
                <c:pt idx="49">
                  <c:v>1.08905523</c:v>
                </c:pt>
                <c:pt idx="50">
                  <c:v>1.09117629</c:v>
                </c:pt>
              </c:numCache>
            </c:numRef>
          </c:yVal>
          <c:smooth val="0"/>
        </c:ser>
        <c:ser>
          <c:idx val="10"/>
          <c:order val="5"/>
          <c:tx>
            <c:v>50psi-40%hf</c:v>
          </c:tx>
          <c:spPr>
            <a:ln w="12700">
              <a:solidFill>
                <a:srgbClr val="C00000"/>
              </a:solidFill>
              <a:prstDash val="sysDash"/>
            </a:ln>
          </c:spPr>
          <c:marker>
            <c:symbol val="none"/>
          </c:marker>
          <c:xVal>
            <c:numRef>
              <c:f>'TC-Absorption-50psi'!$AD$4:$AD$84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'TC-Absorption-50psi'!$AE$4:$AE$84</c:f>
              <c:numCache>
                <c:formatCode>General</c:formatCode>
                <c:ptCount val="81"/>
                <c:pt idx="0">
                  <c:v>0.02727308</c:v>
                </c:pt>
                <c:pt idx="1">
                  <c:v>0.1984446</c:v>
                </c:pt>
                <c:pt idx="2">
                  <c:v>0.31163562</c:v>
                </c:pt>
                <c:pt idx="3">
                  <c:v>0.34702175</c:v>
                </c:pt>
                <c:pt idx="4">
                  <c:v>0.36349485</c:v>
                </c:pt>
                <c:pt idx="5">
                  <c:v>0.38165407</c:v>
                </c:pt>
                <c:pt idx="6">
                  <c:v>0.40302223</c:v>
                </c:pt>
                <c:pt idx="7">
                  <c:v>0.42724402</c:v>
                </c:pt>
                <c:pt idx="8">
                  <c:v>0.45386594</c:v>
                </c:pt>
                <c:pt idx="9">
                  <c:v>0.48240672</c:v>
                </c:pt>
                <c:pt idx="10">
                  <c:v>0.51237234</c:v>
                </c:pt>
                <c:pt idx="11">
                  <c:v>0.54326997</c:v>
                </c:pt>
                <c:pt idx="12">
                  <c:v>0.57462114</c:v>
                </c:pt>
                <c:pt idx="13">
                  <c:v>0.60597345</c:v>
                </c:pt>
                <c:pt idx="14">
                  <c:v>0.63691063</c:v>
                </c:pt>
                <c:pt idx="15">
                  <c:v>0.66706055</c:v>
                </c:pt>
                <c:pt idx="16">
                  <c:v>0.6961011</c:v>
                </c:pt>
                <c:pt idx="17">
                  <c:v>0.72376389</c:v>
                </c:pt>
                <c:pt idx="18">
                  <c:v>0.74983578</c:v>
                </c:pt>
                <c:pt idx="19">
                  <c:v>0.77415854</c:v>
                </c:pt>
                <c:pt idx="20">
                  <c:v>0.79662663</c:v>
                </c:pt>
                <c:pt idx="21">
                  <c:v>0.81718363</c:v>
                </c:pt>
                <c:pt idx="22">
                  <c:v>0.83581748</c:v>
                </c:pt>
                <c:pt idx="23">
                  <c:v>0.85255493</c:v>
                </c:pt>
                <c:pt idx="24">
                  <c:v>0.86745543</c:v>
                </c:pt>
                <c:pt idx="25">
                  <c:v>0.88060494</c:v>
                </c:pt>
                <c:pt idx="26">
                  <c:v>0.89210972</c:v>
                </c:pt>
                <c:pt idx="27">
                  <c:v>0.90209046</c:v>
                </c:pt>
                <c:pt idx="28">
                  <c:v>0.91067689</c:v>
                </c:pt>
                <c:pt idx="29">
                  <c:v>0.91800298</c:v>
                </c:pt>
                <c:pt idx="30">
                  <c:v>0.92420283</c:v>
                </c:pt>
                <c:pt idx="31">
                  <c:v>0.92940728</c:v>
                </c:pt>
                <c:pt idx="32">
                  <c:v>0.93374125</c:v>
                </c:pt>
                <c:pt idx="33">
                  <c:v>0.93732175</c:v>
                </c:pt>
                <c:pt idx="34">
                  <c:v>0.94025653</c:v>
                </c:pt>
                <c:pt idx="35">
                  <c:v>0.94264325</c:v>
                </c:pt>
                <c:pt idx="36">
                  <c:v>0.94456923</c:v>
                </c:pt>
                <c:pt idx="37">
                  <c:v>0.94611143</c:v>
                </c:pt>
                <c:pt idx="38">
                  <c:v>0.94733685</c:v>
                </c:pt>
                <c:pt idx="39">
                  <c:v>0.94830314</c:v>
                </c:pt>
                <c:pt idx="40">
                  <c:v>0.94905932</c:v>
                </c:pt>
                <c:pt idx="41">
                  <c:v>0.9496466</c:v>
                </c:pt>
                <c:pt idx="42">
                  <c:v>0.95009927</c:v>
                </c:pt>
                <c:pt idx="43">
                  <c:v>0.95044558</c:v>
                </c:pt>
                <c:pt idx="44">
                  <c:v>0.95070853</c:v>
                </c:pt>
                <c:pt idx="45">
                  <c:v>0.95090671</c:v>
                </c:pt>
                <c:pt idx="46">
                  <c:v>0.95105495</c:v>
                </c:pt>
                <c:pt idx="47">
                  <c:v>0.95116504</c:v>
                </c:pt>
                <c:pt idx="48">
                  <c:v>0.95124617</c:v>
                </c:pt>
                <c:pt idx="49">
                  <c:v>0.95130553</c:v>
                </c:pt>
                <c:pt idx="50">
                  <c:v>0.95134864</c:v>
                </c:pt>
              </c:numCache>
            </c:numRef>
          </c:yVal>
          <c:smooth val="0"/>
        </c:ser>
        <c:ser>
          <c:idx val="12"/>
          <c:order val="6"/>
          <c:tx>
            <c:v>50psi70%hf</c:v>
          </c:tx>
          <c:spPr>
            <a:ln w="12700">
              <a:solidFill>
                <a:srgbClr val="00B050"/>
              </a:solidFill>
              <a:prstDash val="sysDash"/>
            </a:ln>
          </c:spPr>
          <c:marker>
            <c:symbol val="none"/>
          </c:marker>
          <c:xVal>
            <c:numRef>
              <c:f>'TC-Absorption-50psi'!$AH$4:$AH$84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'TC-Absorption-50psi'!$AI$4:$AI$84</c:f>
              <c:numCache>
                <c:formatCode>General</c:formatCode>
                <c:ptCount val="81"/>
                <c:pt idx="0">
                  <c:v>0.03977755</c:v>
                </c:pt>
                <c:pt idx="1">
                  <c:v>0.48004176</c:v>
                </c:pt>
                <c:pt idx="2">
                  <c:v>0.73521957</c:v>
                </c:pt>
                <c:pt idx="3">
                  <c:v>0.79051274</c:v>
                </c:pt>
                <c:pt idx="4">
                  <c:v>0.8126854</c:v>
                </c:pt>
                <c:pt idx="5">
                  <c:v>0.83779112</c:v>
                </c:pt>
                <c:pt idx="6">
                  <c:v>0.86696328</c:v>
                </c:pt>
                <c:pt idx="7">
                  <c:v>0.89945059</c:v>
                </c:pt>
                <c:pt idx="8">
                  <c:v>0.93442554</c:v>
                </c:pt>
                <c:pt idx="9">
                  <c:v>0.97104479</c:v>
                </c:pt>
                <c:pt idx="10">
                  <c:v>1.00848241</c:v>
                </c:pt>
                <c:pt idx="11">
                  <c:v>1.04595963</c:v>
                </c:pt>
                <c:pt idx="12">
                  <c:v>1.08276989</c:v>
                </c:pt>
                <c:pt idx="13">
                  <c:v>1.11829809</c:v>
                </c:pt>
                <c:pt idx="14">
                  <c:v>1.15203371</c:v>
                </c:pt>
                <c:pt idx="15">
                  <c:v>1.18357751</c:v>
                </c:pt>
                <c:pt idx="16">
                  <c:v>1.21264237</c:v>
                </c:pt>
                <c:pt idx="17">
                  <c:v>1.23904884</c:v>
                </c:pt>
                <c:pt idx="18">
                  <c:v>1.26271642</c:v>
                </c:pt>
                <c:pt idx="19">
                  <c:v>1.28365158</c:v>
                </c:pt>
                <c:pt idx="20">
                  <c:v>1.30193374</c:v>
                </c:pt>
                <c:pt idx="21">
                  <c:v>1.31770022</c:v>
                </c:pt>
                <c:pt idx="22">
                  <c:v>1.33113116</c:v>
                </c:pt>
                <c:pt idx="23">
                  <c:v>1.3424353</c:v>
                </c:pt>
                <c:pt idx="24">
                  <c:v>1.35183706</c:v>
                </c:pt>
                <c:pt idx="25">
                  <c:v>1.35956553</c:v>
                </c:pt>
                <c:pt idx="26">
                  <c:v>1.36584544</c:v>
                </c:pt>
                <c:pt idx="27">
                  <c:v>1.37089024</c:v>
                </c:pt>
                <c:pt idx="28">
                  <c:v>1.37489721</c:v>
                </c:pt>
                <c:pt idx="29">
                  <c:v>1.37804432</c:v>
                </c:pt>
                <c:pt idx="30">
                  <c:v>1.38048872</c:v>
                </c:pt>
                <c:pt idx="31">
                  <c:v>1.38236646</c:v>
                </c:pt>
                <c:pt idx="32">
                  <c:v>1.38379315</c:v>
                </c:pt>
                <c:pt idx="33">
                  <c:v>1.38486538</c:v>
                </c:pt>
                <c:pt idx="34">
                  <c:v>1.38566251</c:v>
                </c:pt>
                <c:pt idx="35">
                  <c:v>1.38624876</c:v>
                </c:pt>
                <c:pt idx="36">
                  <c:v>1.38667532</c:v>
                </c:pt>
                <c:pt idx="37">
                  <c:v>1.38698239</c:v>
                </c:pt>
                <c:pt idx="38">
                  <c:v>1.38720109</c:v>
                </c:pt>
                <c:pt idx="39">
                  <c:v>1.38735521</c:v>
                </c:pt>
                <c:pt idx="40">
                  <c:v>1.38746267</c:v>
                </c:pt>
                <c:pt idx="41">
                  <c:v>1.38753682</c:v>
                </c:pt>
                <c:pt idx="42">
                  <c:v>1.38758745</c:v>
                </c:pt>
                <c:pt idx="43">
                  <c:v>1.38762166</c:v>
                </c:pt>
                <c:pt idx="44">
                  <c:v>1.38764453</c:v>
                </c:pt>
                <c:pt idx="45">
                  <c:v>1.38765967</c:v>
                </c:pt>
                <c:pt idx="46">
                  <c:v>1.38766958</c:v>
                </c:pt>
                <c:pt idx="47">
                  <c:v>1.387676</c:v>
                </c:pt>
                <c:pt idx="48">
                  <c:v>1.38768012</c:v>
                </c:pt>
                <c:pt idx="49">
                  <c:v>1.38768273</c:v>
                </c:pt>
                <c:pt idx="50">
                  <c:v>1.38768438</c:v>
                </c:pt>
              </c:numCache>
            </c:numRef>
          </c:yVal>
          <c:smooth val="0"/>
        </c:ser>
        <c:ser>
          <c:idx val="14"/>
          <c:order val="7"/>
          <c:tx>
            <c:v>50psi99%hf</c:v>
          </c:tx>
          <c:spPr>
            <a:ln w="12700">
              <a:solidFill>
                <a:srgbClr val="7030A0"/>
              </a:solidFill>
              <a:prstDash val="sysDash"/>
            </a:ln>
          </c:spPr>
          <c:marker>
            <c:symbol val="none"/>
          </c:marker>
          <c:xVal>
            <c:numRef>
              <c:f>'TC-Absorption-50psi'!$AL$4:$AL$84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'TC-Absorption-50psi'!$AM$4:$AM$84</c:f>
              <c:numCache>
                <c:formatCode>General</c:formatCode>
                <c:ptCount val="81"/>
                <c:pt idx="0">
                  <c:v>0.06011074</c:v>
                </c:pt>
                <c:pt idx="1">
                  <c:v>1.09825541</c:v>
                </c:pt>
                <c:pt idx="2">
                  <c:v>1.48825693</c:v>
                </c:pt>
                <c:pt idx="3">
                  <c:v>1.53212193</c:v>
                </c:pt>
                <c:pt idx="4">
                  <c:v>1.56435446</c:v>
                </c:pt>
                <c:pt idx="5">
                  <c:v>1.6029378</c:v>
                </c:pt>
                <c:pt idx="6">
                  <c:v>1.64632043</c:v>
                </c:pt>
                <c:pt idx="7">
                  <c:v>1.69270654</c:v>
                </c:pt>
                <c:pt idx="8">
                  <c:v>1.7403289</c:v>
                </c:pt>
                <c:pt idx="9">
                  <c:v>1.78755664</c:v>
                </c:pt>
                <c:pt idx="10">
                  <c:v>1.83298051</c:v>
                </c:pt>
                <c:pt idx="11">
                  <c:v>1.87547039</c:v>
                </c:pt>
                <c:pt idx="12">
                  <c:v>1.91420361</c:v>
                </c:pt>
                <c:pt idx="13">
                  <c:v>1.94866547</c:v>
                </c:pt>
                <c:pt idx="14">
                  <c:v>1.97862666</c:v>
                </c:pt>
                <c:pt idx="15">
                  <c:v>2.00410338</c:v>
                </c:pt>
                <c:pt idx="16">
                  <c:v>2.02530705</c:v>
                </c:pt>
                <c:pt idx="17">
                  <c:v>2.04259012</c:v>
                </c:pt>
                <c:pt idx="18">
                  <c:v>2.05639351</c:v>
                </c:pt>
                <c:pt idx="19">
                  <c:v>2.06719999</c:v>
                </c:pt>
                <c:pt idx="20">
                  <c:v>2.075495929999998</c:v>
                </c:pt>
                <c:pt idx="21">
                  <c:v>2.08174272</c:v>
                </c:pt>
                <c:pt idx="22">
                  <c:v>2.08635767</c:v>
                </c:pt>
                <c:pt idx="23">
                  <c:v>2.0897034</c:v>
                </c:pt>
                <c:pt idx="24">
                  <c:v>2.092084129999999</c:v>
                </c:pt>
                <c:pt idx="25">
                  <c:v>2.09374713</c:v>
                </c:pt>
                <c:pt idx="26">
                  <c:v>2.09488767</c:v>
                </c:pt>
                <c:pt idx="27">
                  <c:v>2.09565575</c:v>
                </c:pt>
                <c:pt idx="28">
                  <c:v>2.09616372</c:v>
                </c:pt>
                <c:pt idx="29">
                  <c:v>2.09649368</c:v>
                </c:pt>
                <c:pt idx="30">
                  <c:v>2.0967042</c:v>
                </c:pt>
                <c:pt idx="31">
                  <c:v>2.09683614</c:v>
                </c:pt>
                <c:pt idx="32">
                  <c:v>2.09691737</c:v>
                </c:pt>
                <c:pt idx="33">
                  <c:v>2.09696651</c:v>
                </c:pt>
                <c:pt idx="34">
                  <c:v>2.09699572</c:v>
                </c:pt>
                <c:pt idx="35">
                  <c:v>2.09701278</c:v>
                </c:pt>
                <c:pt idx="36">
                  <c:v>2.09702256</c:v>
                </c:pt>
                <c:pt idx="37">
                  <c:v>2.09702808</c:v>
                </c:pt>
                <c:pt idx="38">
                  <c:v>2.09703114</c:v>
                </c:pt>
                <c:pt idx="39">
                  <c:v>2.0970328</c:v>
                </c:pt>
                <c:pt idx="40">
                  <c:v>2.0970337</c:v>
                </c:pt>
                <c:pt idx="41">
                  <c:v>2.09703417</c:v>
                </c:pt>
                <c:pt idx="42">
                  <c:v>2.09703441</c:v>
                </c:pt>
                <c:pt idx="43">
                  <c:v>2.09703453</c:v>
                </c:pt>
                <c:pt idx="44">
                  <c:v>2.09703459</c:v>
                </c:pt>
                <c:pt idx="45">
                  <c:v>2.09703462</c:v>
                </c:pt>
                <c:pt idx="46">
                  <c:v>2.09703464</c:v>
                </c:pt>
                <c:pt idx="47">
                  <c:v>2.09703464</c:v>
                </c:pt>
                <c:pt idx="48">
                  <c:v>2.09703465</c:v>
                </c:pt>
                <c:pt idx="49">
                  <c:v>2.09703465</c:v>
                </c:pt>
                <c:pt idx="50">
                  <c:v>2.09703465</c:v>
                </c:pt>
              </c:numCache>
            </c:numRef>
          </c:yVal>
          <c:smooth val="0"/>
        </c:ser>
        <c:dLbls>
          <c:showLegendKey val="0"/>
          <c:showVal val="0"/>
          <c:showCatName val="0"/>
          <c:showSerName val="0"/>
          <c:showPercent val="0"/>
          <c:showBubbleSize val="0"/>
        </c:dLbls>
        <c:axId val="564906712"/>
        <c:axId val="564912680"/>
      </c:scatterChart>
      <c:valAx>
        <c:axId val="564906712"/>
        <c:scaling>
          <c:orientation val="minMax"/>
          <c:max val="21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564912680"/>
        <c:crosses val="autoZero"/>
        <c:crossBetween val="midCat"/>
        <c:majorUnit val="50.0"/>
        <c:minorUnit val="12.5"/>
      </c:valAx>
      <c:valAx>
        <c:axId val="564912680"/>
        <c:scaling>
          <c:orientation val="minMax"/>
          <c:max val="2.5"/>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564906712"/>
        <c:crosses val="autoZero"/>
        <c:crossBetween val="midCat"/>
        <c:majorUnit val="1.0"/>
        <c:minorUnit val="0.25"/>
      </c:valAx>
      <c:spPr>
        <a:ln w="19050">
          <a:solidFill>
            <a:sysClr val="windowText" lastClr="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439910583210997"/>
          <c:y val="0.0374139690871974"/>
          <c:w val="0.475343654077139"/>
          <c:h val="0.101097987751531"/>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5724009075137"/>
          <c:y val="0.0333333333333333"/>
          <c:w val="0.745862805284932"/>
          <c:h val="0.793114975211432"/>
        </c:manualLayout>
      </c:layout>
      <c:scatterChart>
        <c:scatterStyle val="lineMarker"/>
        <c:varyColors val="0"/>
        <c:ser>
          <c:idx val="0"/>
          <c:order val="0"/>
          <c:tx>
            <c:v>2% RH</c:v>
          </c:tx>
          <c:spPr>
            <a:ln w="28575">
              <a:noFill/>
            </a:ln>
          </c:spPr>
          <c:marker>
            <c:symbol val="triangle"/>
            <c:size val="4"/>
            <c:spPr>
              <a:solidFill>
                <a:srgbClr val="0070C0">
                  <a:alpha val="50000"/>
                </a:srgbClr>
              </a:solidFill>
              <a:ln w="12700">
                <a:solidFill>
                  <a:schemeClr val="tx1"/>
                </a:solidFill>
              </a:ln>
            </c:spPr>
          </c:marker>
          <c:xVal>
            <c:numRef>
              <c:f>'TC-Absorption-70psi'!$A$4:$A$34</c:f>
              <c:numCache>
                <c:formatCode>General</c:formatCode>
                <c:ptCount val="31"/>
                <c:pt idx="0">
                  <c:v>2.31</c:v>
                </c:pt>
                <c:pt idx="1">
                  <c:v>5.4</c:v>
                </c:pt>
                <c:pt idx="2">
                  <c:v>8.629999999999998</c:v>
                </c:pt>
                <c:pt idx="3">
                  <c:v>13.9</c:v>
                </c:pt>
                <c:pt idx="4">
                  <c:v>20.37</c:v>
                </c:pt>
                <c:pt idx="5">
                  <c:v>25.98</c:v>
                </c:pt>
                <c:pt idx="6">
                  <c:v>31.03</c:v>
                </c:pt>
                <c:pt idx="7">
                  <c:v>35.71</c:v>
                </c:pt>
                <c:pt idx="8">
                  <c:v>43.04</c:v>
                </c:pt>
                <c:pt idx="9">
                  <c:v>48.49</c:v>
                </c:pt>
                <c:pt idx="10">
                  <c:v>54.32</c:v>
                </c:pt>
                <c:pt idx="11">
                  <c:v>59.81</c:v>
                </c:pt>
                <c:pt idx="12">
                  <c:v>65.37</c:v>
                </c:pt>
                <c:pt idx="13">
                  <c:v>71.48</c:v>
                </c:pt>
                <c:pt idx="14">
                  <c:v>77.91</c:v>
                </c:pt>
                <c:pt idx="15">
                  <c:v>82.57</c:v>
                </c:pt>
                <c:pt idx="16">
                  <c:v>89.13</c:v>
                </c:pt>
                <c:pt idx="17">
                  <c:v>94.63</c:v>
                </c:pt>
                <c:pt idx="18">
                  <c:v>99.81</c:v>
                </c:pt>
                <c:pt idx="19">
                  <c:v>104.61</c:v>
                </c:pt>
                <c:pt idx="20">
                  <c:v>110.3</c:v>
                </c:pt>
                <c:pt idx="30">
                  <c:v>130.07</c:v>
                </c:pt>
              </c:numCache>
            </c:numRef>
          </c:xVal>
          <c:yVal>
            <c:numRef>
              <c:f>'TC-Absorption-70psi'!$B$4:$B$34</c:f>
              <c:numCache>
                <c:formatCode>General</c:formatCode>
                <c:ptCount val="31"/>
                <c:pt idx="0">
                  <c:v>0.1537</c:v>
                </c:pt>
                <c:pt idx="1">
                  <c:v>0.1765</c:v>
                </c:pt>
                <c:pt idx="2">
                  <c:v>0.1852</c:v>
                </c:pt>
                <c:pt idx="3">
                  <c:v>0.2176</c:v>
                </c:pt>
                <c:pt idx="4">
                  <c:v>0.2303</c:v>
                </c:pt>
                <c:pt idx="5">
                  <c:v>0.2695</c:v>
                </c:pt>
                <c:pt idx="6">
                  <c:v>0.2902</c:v>
                </c:pt>
                <c:pt idx="7">
                  <c:v>0.3024</c:v>
                </c:pt>
                <c:pt idx="8">
                  <c:v>0.3244</c:v>
                </c:pt>
                <c:pt idx="9">
                  <c:v>0.3393</c:v>
                </c:pt>
                <c:pt idx="10">
                  <c:v>0.3542</c:v>
                </c:pt>
                <c:pt idx="11">
                  <c:v>0.4252</c:v>
                </c:pt>
                <c:pt idx="12">
                  <c:v>0.4485</c:v>
                </c:pt>
                <c:pt idx="13">
                  <c:v>0.4462</c:v>
                </c:pt>
                <c:pt idx="14">
                  <c:v>0.5091</c:v>
                </c:pt>
                <c:pt idx="15">
                  <c:v>0.5305</c:v>
                </c:pt>
                <c:pt idx="16">
                  <c:v>0.5505</c:v>
                </c:pt>
                <c:pt idx="17">
                  <c:v>0.5963</c:v>
                </c:pt>
                <c:pt idx="18">
                  <c:v>0.618</c:v>
                </c:pt>
                <c:pt idx="19">
                  <c:v>0.62</c:v>
                </c:pt>
                <c:pt idx="20">
                  <c:v>0.6729</c:v>
                </c:pt>
              </c:numCache>
            </c:numRef>
          </c:yVal>
          <c:smooth val="0"/>
        </c:ser>
        <c:ser>
          <c:idx val="1"/>
          <c:order val="1"/>
          <c:tx>
            <c:v>40% RH</c:v>
          </c:tx>
          <c:spPr>
            <a:ln w="28575">
              <a:noFill/>
            </a:ln>
          </c:spPr>
          <c:marker>
            <c:symbol val="triangle"/>
            <c:size val="4"/>
            <c:spPr>
              <a:solidFill>
                <a:srgbClr val="C00000">
                  <a:alpha val="50000"/>
                </a:srgbClr>
              </a:solidFill>
              <a:ln w="12700">
                <a:solidFill>
                  <a:sysClr val="windowText" lastClr="000000"/>
                </a:solidFill>
              </a:ln>
            </c:spPr>
          </c:marker>
          <c:xVal>
            <c:numRef>
              <c:f>'TC-Absorption-70psi'!$G$4:$G$34</c:f>
              <c:numCache>
                <c:formatCode>General</c:formatCode>
                <c:ptCount val="31"/>
                <c:pt idx="0">
                  <c:v>2.33</c:v>
                </c:pt>
                <c:pt idx="1">
                  <c:v>5.42</c:v>
                </c:pt>
                <c:pt idx="2">
                  <c:v>8.64</c:v>
                </c:pt>
                <c:pt idx="3">
                  <c:v>13.91</c:v>
                </c:pt>
                <c:pt idx="4">
                  <c:v>20.37</c:v>
                </c:pt>
                <c:pt idx="5">
                  <c:v>25.98</c:v>
                </c:pt>
                <c:pt idx="6">
                  <c:v>31.04</c:v>
                </c:pt>
                <c:pt idx="7">
                  <c:v>35.71</c:v>
                </c:pt>
                <c:pt idx="8">
                  <c:v>43.04</c:v>
                </c:pt>
                <c:pt idx="9">
                  <c:v>48.49</c:v>
                </c:pt>
                <c:pt idx="10">
                  <c:v>54.32</c:v>
                </c:pt>
                <c:pt idx="11">
                  <c:v>59.81</c:v>
                </c:pt>
                <c:pt idx="12">
                  <c:v>65.37</c:v>
                </c:pt>
                <c:pt idx="13">
                  <c:v>71.48</c:v>
                </c:pt>
                <c:pt idx="14">
                  <c:v>77.91</c:v>
                </c:pt>
                <c:pt idx="15">
                  <c:v>82.57</c:v>
                </c:pt>
                <c:pt idx="16">
                  <c:v>89.14</c:v>
                </c:pt>
                <c:pt idx="17">
                  <c:v>94.63</c:v>
                </c:pt>
                <c:pt idx="18">
                  <c:v>99.81</c:v>
                </c:pt>
                <c:pt idx="19">
                  <c:v>104.61</c:v>
                </c:pt>
                <c:pt idx="20">
                  <c:v>110.31</c:v>
                </c:pt>
              </c:numCache>
            </c:numRef>
          </c:xVal>
          <c:yVal>
            <c:numRef>
              <c:f>'TC-Absorption-70psi'!$H$4:$H$34</c:f>
              <c:numCache>
                <c:formatCode>General</c:formatCode>
                <c:ptCount val="31"/>
                <c:pt idx="0">
                  <c:v>0.2401</c:v>
                </c:pt>
                <c:pt idx="1">
                  <c:v>0.3458</c:v>
                </c:pt>
                <c:pt idx="2">
                  <c:v>0.4126</c:v>
                </c:pt>
                <c:pt idx="3">
                  <c:v>0.4586</c:v>
                </c:pt>
                <c:pt idx="4">
                  <c:v>0.4995</c:v>
                </c:pt>
                <c:pt idx="5">
                  <c:v>0.5141</c:v>
                </c:pt>
                <c:pt idx="6">
                  <c:v>0.5427</c:v>
                </c:pt>
                <c:pt idx="7">
                  <c:v>0.5599</c:v>
                </c:pt>
                <c:pt idx="8">
                  <c:v>0.6115</c:v>
                </c:pt>
                <c:pt idx="9">
                  <c:v>0.6643</c:v>
                </c:pt>
                <c:pt idx="10">
                  <c:v>0.6788</c:v>
                </c:pt>
                <c:pt idx="11">
                  <c:v>0.7465</c:v>
                </c:pt>
                <c:pt idx="12">
                  <c:v>0.8165</c:v>
                </c:pt>
                <c:pt idx="13">
                  <c:v>0.8125</c:v>
                </c:pt>
                <c:pt idx="14">
                  <c:v>0.8902</c:v>
                </c:pt>
                <c:pt idx="15">
                  <c:v>0.8826</c:v>
                </c:pt>
                <c:pt idx="16">
                  <c:v>0.9179</c:v>
                </c:pt>
                <c:pt idx="17">
                  <c:v>0.9381</c:v>
                </c:pt>
                <c:pt idx="18">
                  <c:v>0.9535</c:v>
                </c:pt>
                <c:pt idx="19">
                  <c:v>0.9581</c:v>
                </c:pt>
                <c:pt idx="20">
                  <c:v>0.9785</c:v>
                </c:pt>
              </c:numCache>
            </c:numRef>
          </c:yVal>
          <c:smooth val="0"/>
        </c:ser>
        <c:ser>
          <c:idx val="2"/>
          <c:order val="2"/>
          <c:tx>
            <c:v>70% RH</c:v>
          </c:tx>
          <c:spPr>
            <a:ln w="28575">
              <a:noFill/>
            </a:ln>
          </c:spPr>
          <c:marker>
            <c:symbol val="triangle"/>
            <c:size val="4"/>
            <c:spPr>
              <a:solidFill>
                <a:srgbClr val="00B050">
                  <a:alpha val="50000"/>
                </a:srgbClr>
              </a:solidFill>
              <a:ln w="12700">
                <a:solidFill>
                  <a:sysClr val="windowText" lastClr="000000"/>
                </a:solidFill>
              </a:ln>
            </c:spPr>
          </c:marker>
          <c:xVal>
            <c:numRef>
              <c:f>'TC-Absorption-70psi'!$M$4:$M$34</c:f>
              <c:numCache>
                <c:formatCode>General</c:formatCode>
                <c:ptCount val="31"/>
                <c:pt idx="0">
                  <c:v>2.36</c:v>
                </c:pt>
                <c:pt idx="1">
                  <c:v>5.43</c:v>
                </c:pt>
                <c:pt idx="2">
                  <c:v>8.65</c:v>
                </c:pt>
                <c:pt idx="3">
                  <c:v>13.91</c:v>
                </c:pt>
                <c:pt idx="4">
                  <c:v>20.38</c:v>
                </c:pt>
                <c:pt idx="5">
                  <c:v>25.98</c:v>
                </c:pt>
                <c:pt idx="6">
                  <c:v>31.04</c:v>
                </c:pt>
                <c:pt idx="7">
                  <c:v>35.72</c:v>
                </c:pt>
                <c:pt idx="8">
                  <c:v>43.04</c:v>
                </c:pt>
                <c:pt idx="9">
                  <c:v>48.49</c:v>
                </c:pt>
                <c:pt idx="10">
                  <c:v>54.32</c:v>
                </c:pt>
                <c:pt idx="11">
                  <c:v>59.81</c:v>
                </c:pt>
                <c:pt idx="12">
                  <c:v>65.38</c:v>
                </c:pt>
                <c:pt idx="13">
                  <c:v>71.49</c:v>
                </c:pt>
                <c:pt idx="14">
                  <c:v>77.91</c:v>
                </c:pt>
                <c:pt idx="15">
                  <c:v>82.57</c:v>
                </c:pt>
                <c:pt idx="16">
                  <c:v>89.14</c:v>
                </c:pt>
                <c:pt idx="17">
                  <c:v>94.63</c:v>
                </c:pt>
                <c:pt idx="18">
                  <c:v>99.81</c:v>
                </c:pt>
                <c:pt idx="19">
                  <c:v>104.61</c:v>
                </c:pt>
                <c:pt idx="20">
                  <c:v>110.31</c:v>
                </c:pt>
              </c:numCache>
            </c:numRef>
          </c:xVal>
          <c:yVal>
            <c:numRef>
              <c:f>'TC-Absorption-70psi'!$N$4:$N$34</c:f>
              <c:numCache>
                <c:formatCode>General</c:formatCode>
                <c:ptCount val="31"/>
                <c:pt idx="0">
                  <c:v>0.264</c:v>
                </c:pt>
                <c:pt idx="1">
                  <c:v>0.3994</c:v>
                </c:pt>
                <c:pt idx="2">
                  <c:v>0.4881</c:v>
                </c:pt>
                <c:pt idx="3">
                  <c:v>0.5633</c:v>
                </c:pt>
                <c:pt idx="4">
                  <c:v>0.5943</c:v>
                </c:pt>
                <c:pt idx="5">
                  <c:v>0.6124</c:v>
                </c:pt>
                <c:pt idx="6">
                  <c:v>0.6385</c:v>
                </c:pt>
                <c:pt idx="7">
                  <c:v>0.6213</c:v>
                </c:pt>
                <c:pt idx="8">
                  <c:v>0.6667</c:v>
                </c:pt>
                <c:pt idx="9">
                  <c:v>0.6945</c:v>
                </c:pt>
                <c:pt idx="10">
                  <c:v>0.7578</c:v>
                </c:pt>
                <c:pt idx="11">
                  <c:v>0.772</c:v>
                </c:pt>
                <c:pt idx="12">
                  <c:v>0.8445</c:v>
                </c:pt>
                <c:pt idx="13">
                  <c:v>0.8582</c:v>
                </c:pt>
                <c:pt idx="14">
                  <c:v>0.8977</c:v>
                </c:pt>
                <c:pt idx="15">
                  <c:v>0.8916</c:v>
                </c:pt>
                <c:pt idx="16">
                  <c:v>0.9553</c:v>
                </c:pt>
                <c:pt idx="17">
                  <c:v>0.977</c:v>
                </c:pt>
                <c:pt idx="18">
                  <c:v>1.018</c:v>
                </c:pt>
                <c:pt idx="19">
                  <c:v>1.0494</c:v>
                </c:pt>
                <c:pt idx="20">
                  <c:v>1.0835</c:v>
                </c:pt>
              </c:numCache>
            </c:numRef>
          </c:yVal>
          <c:smooth val="0"/>
        </c:ser>
        <c:ser>
          <c:idx val="3"/>
          <c:order val="3"/>
          <c:tx>
            <c:v>99% RH</c:v>
          </c:tx>
          <c:spPr>
            <a:ln w="28575">
              <a:noFill/>
            </a:ln>
          </c:spPr>
          <c:marker>
            <c:symbol val="triangle"/>
            <c:size val="4"/>
            <c:spPr>
              <a:solidFill>
                <a:srgbClr val="7030A0">
                  <a:alpha val="50000"/>
                </a:srgbClr>
              </a:solidFill>
              <a:ln w="12700">
                <a:solidFill>
                  <a:sysClr val="windowText" lastClr="000000"/>
                </a:solidFill>
              </a:ln>
            </c:spPr>
          </c:marker>
          <c:xVal>
            <c:numRef>
              <c:f>'TC-Absorption-70psi'!$S$4:$S$34</c:f>
              <c:numCache>
                <c:formatCode>General</c:formatCode>
                <c:ptCount val="31"/>
                <c:pt idx="0">
                  <c:v>2.38</c:v>
                </c:pt>
                <c:pt idx="1">
                  <c:v>5.45</c:v>
                </c:pt>
                <c:pt idx="2">
                  <c:v>8.66</c:v>
                </c:pt>
                <c:pt idx="3">
                  <c:v>12.92</c:v>
                </c:pt>
                <c:pt idx="4">
                  <c:v>20.38</c:v>
                </c:pt>
                <c:pt idx="5">
                  <c:v>25.98</c:v>
                </c:pt>
                <c:pt idx="6">
                  <c:v>31.04</c:v>
                </c:pt>
                <c:pt idx="7">
                  <c:v>35.72</c:v>
                </c:pt>
                <c:pt idx="8">
                  <c:v>43.04</c:v>
                </c:pt>
                <c:pt idx="9">
                  <c:v>48.49</c:v>
                </c:pt>
                <c:pt idx="10">
                  <c:v>54.32</c:v>
                </c:pt>
                <c:pt idx="11">
                  <c:v>59.81</c:v>
                </c:pt>
                <c:pt idx="12">
                  <c:v>65.38</c:v>
                </c:pt>
                <c:pt idx="13">
                  <c:v>71.49</c:v>
                </c:pt>
                <c:pt idx="14">
                  <c:v>77.91</c:v>
                </c:pt>
                <c:pt idx="15">
                  <c:v>82.57</c:v>
                </c:pt>
                <c:pt idx="16">
                  <c:v>89.14</c:v>
                </c:pt>
                <c:pt idx="17">
                  <c:v>94.63</c:v>
                </c:pt>
                <c:pt idx="18">
                  <c:v>99.81</c:v>
                </c:pt>
                <c:pt idx="19">
                  <c:v>104.61</c:v>
                </c:pt>
                <c:pt idx="20">
                  <c:v>110.31</c:v>
                </c:pt>
              </c:numCache>
            </c:numRef>
          </c:xVal>
          <c:yVal>
            <c:numRef>
              <c:f>'TC-Absorption-70psi'!$T$4:$T$34</c:f>
              <c:numCache>
                <c:formatCode>General</c:formatCode>
                <c:ptCount val="31"/>
                <c:pt idx="0">
                  <c:v>0.461</c:v>
                </c:pt>
                <c:pt idx="1">
                  <c:v>0.8512</c:v>
                </c:pt>
                <c:pt idx="2">
                  <c:v>1.0508</c:v>
                </c:pt>
                <c:pt idx="3">
                  <c:v>1.1725</c:v>
                </c:pt>
                <c:pt idx="4">
                  <c:v>1.2274</c:v>
                </c:pt>
                <c:pt idx="5">
                  <c:v>1.2941</c:v>
                </c:pt>
                <c:pt idx="6">
                  <c:v>1.3763</c:v>
                </c:pt>
                <c:pt idx="7">
                  <c:v>1.407999999999999</c:v>
                </c:pt>
                <c:pt idx="8">
                  <c:v>1.4703</c:v>
                </c:pt>
                <c:pt idx="9">
                  <c:v>1.5423</c:v>
                </c:pt>
                <c:pt idx="10">
                  <c:v>1.5708</c:v>
                </c:pt>
                <c:pt idx="11">
                  <c:v>1.6187</c:v>
                </c:pt>
                <c:pt idx="12">
                  <c:v>1.6303</c:v>
                </c:pt>
                <c:pt idx="13">
                  <c:v>1.6551</c:v>
                </c:pt>
                <c:pt idx="14">
                  <c:v>1.6779</c:v>
                </c:pt>
                <c:pt idx="15">
                  <c:v>1.6759</c:v>
                </c:pt>
                <c:pt idx="16">
                  <c:v>1.698</c:v>
                </c:pt>
                <c:pt idx="17">
                  <c:v>1.7077</c:v>
                </c:pt>
                <c:pt idx="18">
                  <c:v>1.7141</c:v>
                </c:pt>
                <c:pt idx="19">
                  <c:v>1.7089</c:v>
                </c:pt>
                <c:pt idx="20">
                  <c:v>1.7491</c:v>
                </c:pt>
              </c:numCache>
            </c:numRef>
          </c:yVal>
          <c:smooth val="0"/>
        </c:ser>
        <c:ser>
          <c:idx val="8"/>
          <c:order val="4"/>
          <c:tx>
            <c:v>70psi-2%HF</c:v>
          </c:tx>
          <c:spPr>
            <a:ln w="12700">
              <a:solidFill>
                <a:srgbClr val="0070C0"/>
              </a:solidFill>
              <a:prstDash val="sysDash"/>
            </a:ln>
          </c:spPr>
          <c:marker>
            <c:symbol val="none"/>
          </c:marker>
          <c:xVal>
            <c:numRef>
              <c:f>'TC-Absorption-70psi'!$Z$4:$Z$84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'TC-Absorption-70psi'!$AA$4:$AA$84</c:f>
              <c:numCache>
                <c:formatCode>General</c:formatCode>
                <c:ptCount val="81"/>
                <c:pt idx="0">
                  <c:v>0.03698857</c:v>
                </c:pt>
                <c:pt idx="1">
                  <c:v>0.13152234</c:v>
                </c:pt>
                <c:pt idx="2">
                  <c:v>0.20234638</c:v>
                </c:pt>
                <c:pt idx="3">
                  <c:v>0.23210642</c:v>
                </c:pt>
                <c:pt idx="4">
                  <c:v>0.24413365</c:v>
                </c:pt>
                <c:pt idx="5">
                  <c:v>0.25501456</c:v>
                </c:pt>
                <c:pt idx="6">
                  <c:v>0.26785041</c:v>
                </c:pt>
                <c:pt idx="7">
                  <c:v>0.28280469</c:v>
                </c:pt>
                <c:pt idx="8">
                  <c:v>0.2997879</c:v>
                </c:pt>
                <c:pt idx="9">
                  <c:v>0.31868973</c:v>
                </c:pt>
                <c:pt idx="10">
                  <c:v>0.33938879</c:v>
                </c:pt>
                <c:pt idx="11">
                  <c:v>0.36175408</c:v>
                </c:pt>
                <c:pt idx="12">
                  <c:v>0.38564631</c:v>
                </c:pt>
                <c:pt idx="13">
                  <c:v>0.41091942</c:v>
                </c:pt>
                <c:pt idx="14">
                  <c:v>0.43742198</c:v>
                </c:pt>
                <c:pt idx="15">
                  <c:v>0.46499875</c:v>
                </c:pt>
                <c:pt idx="16">
                  <c:v>0.49349215</c:v>
                </c:pt>
                <c:pt idx="17">
                  <c:v>0.52274373</c:v>
                </c:pt>
                <c:pt idx="18">
                  <c:v>0.55259565</c:v>
                </c:pt>
                <c:pt idx="19">
                  <c:v>0.58289202</c:v>
                </c:pt>
                <c:pt idx="20">
                  <c:v>0.61348023</c:v>
                </c:pt>
                <c:pt idx="21">
                  <c:v>0.64421213</c:v>
                </c:pt>
                <c:pt idx="22">
                  <c:v>0.67494523</c:v>
                </c:pt>
                <c:pt idx="23">
                  <c:v>0.70554361</c:v>
                </c:pt>
                <c:pt idx="24">
                  <c:v>0.73587887</c:v>
                </c:pt>
                <c:pt idx="25">
                  <c:v>0.76583086</c:v>
                </c:pt>
                <c:pt idx="26">
                  <c:v>0.79528833</c:v>
                </c:pt>
                <c:pt idx="27">
                  <c:v>0.82414942</c:v>
                </c:pt>
                <c:pt idx="28">
                  <c:v>0.85232203</c:v>
                </c:pt>
                <c:pt idx="29">
                  <c:v>0.87972405</c:v>
                </c:pt>
                <c:pt idx="30">
                  <c:v>0.9062835</c:v>
                </c:pt>
                <c:pt idx="31">
                  <c:v>0.9319385</c:v>
                </c:pt>
                <c:pt idx="32">
                  <c:v>0.95663719</c:v>
                </c:pt>
                <c:pt idx="33">
                  <c:v>0.98033748</c:v>
                </c:pt>
                <c:pt idx="34">
                  <c:v>1.00300679</c:v>
                </c:pt>
                <c:pt idx="35">
                  <c:v>1.02462161</c:v>
                </c:pt>
                <c:pt idx="36">
                  <c:v>1.04516706</c:v>
                </c:pt>
                <c:pt idx="37">
                  <c:v>1.0646364</c:v>
                </c:pt>
                <c:pt idx="38">
                  <c:v>1.08303041</c:v>
                </c:pt>
                <c:pt idx="39">
                  <c:v>1.10035683</c:v>
                </c:pt>
                <c:pt idx="40">
                  <c:v>1.1166297</c:v>
                </c:pt>
                <c:pt idx="41">
                  <c:v>1.13186872</c:v>
                </c:pt>
                <c:pt idx="42">
                  <c:v>1.14609859</c:v>
                </c:pt>
                <c:pt idx="43">
                  <c:v>1.15934838</c:v>
                </c:pt>
                <c:pt idx="44">
                  <c:v>1.17165085</c:v>
                </c:pt>
                <c:pt idx="45">
                  <c:v>1.18304186</c:v>
                </c:pt>
                <c:pt idx="46">
                  <c:v>1.19355975</c:v>
                </c:pt>
                <c:pt idx="47">
                  <c:v>1.2032448</c:v>
                </c:pt>
                <c:pt idx="48">
                  <c:v>1.21213865</c:v>
                </c:pt>
                <c:pt idx="49">
                  <c:v>1.22028384</c:v>
                </c:pt>
                <c:pt idx="50">
                  <c:v>1.22772335</c:v>
                </c:pt>
              </c:numCache>
            </c:numRef>
          </c:yVal>
          <c:smooth val="0"/>
        </c:ser>
        <c:ser>
          <c:idx val="10"/>
          <c:order val="5"/>
          <c:tx>
            <c:v>70psi-40%hf</c:v>
          </c:tx>
          <c:spPr>
            <a:ln w="12700">
              <a:solidFill>
                <a:srgbClr val="C00000"/>
              </a:solidFill>
              <a:prstDash val="sysDash"/>
            </a:ln>
          </c:spPr>
          <c:marker>
            <c:symbol val="none"/>
          </c:marker>
          <c:xVal>
            <c:numRef>
              <c:f>'TC-Absorption-70psi'!$AD$4:$AD$84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'TC-Absorption-70psi'!$AE$4:$AE$84</c:f>
              <c:numCache>
                <c:formatCode>General</c:formatCode>
                <c:ptCount val="81"/>
                <c:pt idx="0">
                  <c:v>0.02978695</c:v>
                </c:pt>
                <c:pt idx="1">
                  <c:v>0.28869426</c:v>
                </c:pt>
                <c:pt idx="2">
                  <c:v>0.4356255</c:v>
                </c:pt>
                <c:pt idx="3">
                  <c:v>0.47004222</c:v>
                </c:pt>
                <c:pt idx="4">
                  <c:v>0.48978349</c:v>
                </c:pt>
                <c:pt idx="5">
                  <c:v>0.51320551</c:v>
                </c:pt>
                <c:pt idx="6">
                  <c:v>0.54047057</c:v>
                </c:pt>
                <c:pt idx="7">
                  <c:v>0.57087639</c:v>
                </c:pt>
                <c:pt idx="8">
                  <c:v>0.6036636</c:v>
                </c:pt>
                <c:pt idx="9">
                  <c:v>0.63805598</c:v>
                </c:pt>
                <c:pt idx="10">
                  <c:v>0.6732904</c:v>
                </c:pt>
                <c:pt idx="11">
                  <c:v>0.70864394</c:v>
                </c:pt>
                <c:pt idx="12">
                  <c:v>0.74345697</c:v>
                </c:pt>
                <c:pt idx="13">
                  <c:v>0.77715111</c:v>
                </c:pt>
                <c:pt idx="14">
                  <c:v>0.80924177</c:v>
                </c:pt>
                <c:pt idx="15">
                  <c:v>0.83934503</c:v>
                </c:pt>
                <c:pt idx="16">
                  <c:v>0.8671792</c:v>
                </c:pt>
                <c:pt idx="17">
                  <c:v>0.89256153</c:v>
                </c:pt>
                <c:pt idx="18">
                  <c:v>0.91540106</c:v>
                </c:pt>
                <c:pt idx="19">
                  <c:v>0.93568827</c:v>
                </c:pt>
                <c:pt idx="20">
                  <c:v>0.95348284</c:v>
                </c:pt>
                <c:pt idx="21">
                  <c:v>0.96890016</c:v>
                </c:pt>
                <c:pt idx="22">
                  <c:v>0.9820978</c:v>
                </c:pt>
                <c:pt idx="23">
                  <c:v>0.9932624</c:v>
                </c:pt>
                <c:pt idx="24">
                  <c:v>1.0025978</c:v>
                </c:pt>
                <c:pt idx="25">
                  <c:v>1.01031456</c:v>
                </c:pt>
                <c:pt idx="26">
                  <c:v>1.01662142</c:v>
                </c:pt>
                <c:pt idx="27">
                  <c:v>1.02171855</c:v>
                </c:pt>
                <c:pt idx="28">
                  <c:v>1.02579252</c:v>
                </c:pt>
                <c:pt idx="29">
                  <c:v>1.02901312</c:v>
                </c:pt>
                <c:pt idx="30">
                  <c:v>1.0315315</c:v>
                </c:pt>
                <c:pt idx="31">
                  <c:v>1.03347958</c:v>
                </c:pt>
                <c:pt idx="32">
                  <c:v>1.03497041</c:v>
                </c:pt>
                <c:pt idx="33">
                  <c:v>1.0360992</c:v>
                </c:pt>
                <c:pt idx="34">
                  <c:v>1.03694483</c:v>
                </c:pt>
                <c:pt idx="35">
                  <c:v>1.03757169</c:v>
                </c:pt>
                <c:pt idx="36">
                  <c:v>1.03803152</c:v>
                </c:pt>
                <c:pt idx="37">
                  <c:v>1.03836531</c:v>
                </c:pt>
                <c:pt idx="38">
                  <c:v>1.03860509</c:v>
                </c:pt>
                <c:pt idx="39">
                  <c:v>1.03877557</c:v>
                </c:pt>
                <c:pt idx="40">
                  <c:v>1.03889553</c:v>
                </c:pt>
                <c:pt idx="41">
                  <c:v>1.03897907</c:v>
                </c:pt>
                <c:pt idx="42">
                  <c:v>1.03903666</c:v>
                </c:pt>
                <c:pt idx="43">
                  <c:v>1.03907595</c:v>
                </c:pt>
                <c:pt idx="44">
                  <c:v>1.03910248</c:v>
                </c:pt>
                <c:pt idx="45">
                  <c:v>1.03912022</c:v>
                </c:pt>
                <c:pt idx="46">
                  <c:v>1.03913196</c:v>
                </c:pt>
                <c:pt idx="47">
                  <c:v>1.03913965</c:v>
                </c:pt>
                <c:pt idx="48">
                  <c:v>1.03914464</c:v>
                </c:pt>
                <c:pt idx="49">
                  <c:v>1.03914784</c:v>
                </c:pt>
                <c:pt idx="50">
                  <c:v>1.03914987</c:v>
                </c:pt>
              </c:numCache>
            </c:numRef>
          </c:yVal>
          <c:smooth val="0"/>
        </c:ser>
        <c:ser>
          <c:idx val="12"/>
          <c:order val="6"/>
          <c:tx>
            <c:v>70psi70%hf</c:v>
          </c:tx>
          <c:spPr>
            <a:ln w="12700">
              <a:solidFill>
                <a:srgbClr val="00B050"/>
              </a:solidFill>
              <a:prstDash val="sysDash"/>
            </a:ln>
          </c:spPr>
          <c:marker>
            <c:symbol val="none"/>
          </c:marker>
          <c:xVal>
            <c:numRef>
              <c:f>'TC-Absorption-70psi'!$AH$4:$AH$84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'TC-Absorption-70psi'!$AI$4:$AI$84</c:f>
              <c:numCache>
                <c:formatCode>General</c:formatCode>
                <c:ptCount val="81"/>
                <c:pt idx="0">
                  <c:v>0.04059929</c:v>
                </c:pt>
                <c:pt idx="1">
                  <c:v>0.35001446</c:v>
                </c:pt>
                <c:pt idx="2">
                  <c:v>0.5305881</c:v>
                </c:pt>
                <c:pt idx="3">
                  <c:v>0.56861594</c:v>
                </c:pt>
                <c:pt idx="4">
                  <c:v>0.58154172</c:v>
                </c:pt>
                <c:pt idx="5">
                  <c:v>0.59608456</c:v>
                </c:pt>
                <c:pt idx="6">
                  <c:v>0.61349019</c:v>
                </c:pt>
                <c:pt idx="7">
                  <c:v>0.63358481</c:v>
                </c:pt>
                <c:pt idx="8">
                  <c:v>0.65614676</c:v>
                </c:pt>
                <c:pt idx="9">
                  <c:v>0.68093182</c:v>
                </c:pt>
                <c:pt idx="10">
                  <c:v>0.70767775</c:v>
                </c:pt>
                <c:pt idx="11">
                  <c:v>0.73610881</c:v>
                </c:pt>
                <c:pt idx="12">
                  <c:v>0.76594054</c:v>
                </c:pt>
                <c:pt idx="13">
                  <c:v>0.7968844</c:v>
                </c:pt>
                <c:pt idx="14">
                  <c:v>0.82865233</c:v>
                </c:pt>
                <c:pt idx="15">
                  <c:v>0.86096115</c:v>
                </c:pt>
                <c:pt idx="16">
                  <c:v>0.89353652</c:v>
                </c:pt>
                <c:pt idx="17">
                  <c:v>0.9261167</c:v>
                </c:pt>
                <c:pt idx="18">
                  <c:v>0.95845568</c:v>
                </c:pt>
                <c:pt idx="19">
                  <c:v>0.99032595</c:v>
                </c:pt>
                <c:pt idx="20">
                  <c:v>1.02152068</c:v>
                </c:pt>
                <c:pt idx="21">
                  <c:v>1.05185543</c:v>
                </c:pt>
                <c:pt idx="22">
                  <c:v>1.0811692</c:v>
                </c:pt>
                <c:pt idx="23">
                  <c:v>1.1093251</c:v>
                </c:pt>
                <c:pt idx="24">
                  <c:v>1.13621044</c:v>
                </c:pt>
                <c:pt idx="25">
                  <c:v>1.16173636</c:v>
                </c:pt>
                <c:pt idx="26">
                  <c:v>1.1858371</c:v>
                </c:pt>
                <c:pt idx="27">
                  <c:v>1.20846883</c:v>
                </c:pt>
                <c:pt idx="28">
                  <c:v>1.22960826</c:v>
                </c:pt>
                <c:pt idx="29">
                  <c:v>1.24925096</c:v>
                </c:pt>
                <c:pt idx="30">
                  <c:v>1.26740952</c:v>
                </c:pt>
                <c:pt idx="31">
                  <c:v>1.28411153</c:v>
                </c:pt>
                <c:pt idx="32">
                  <c:v>1.29939762</c:v>
                </c:pt>
                <c:pt idx="33">
                  <c:v>1.31331934</c:v>
                </c:pt>
                <c:pt idx="34">
                  <c:v>1.32593719</c:v>
                </c:pt>
                <c:pt idx="35">
                  <c:v>1.33731864</c:v>
                </c:pt>
                <c:pt idx="36">
                  <c:v>1.34753631</c:v>
                </c:pt>
                <c:pt idx="37">
                  <c:v>1.35666626</c:v>
                </c:pt>
                <c:pt idx="38">
                  <c:v>1.36478644</c:v>
                </c:pt>
                <c:pt idx="39">
                  <c:v>1.37197531</c:v>
                </c:pt>
                <c:pt idx="40">
                  <c:v>1.37831066</c:v>
                </c:pt>
                <c:pt idx="41">
                  <c:v>1.38386854</c:v>
                </c:pt>
                <c:pt idx="42">
                  <c:v>1.38872241</c:v>
                </c:pt>
                <c:pt idx="43">
                  <c:v>1.39294253</c:v>
                </c:pt>
                <c:pt idx="44">
                  <c:v>1.39659532</c:v>
                </c:pt>
                <c:pt idx="45">
                  <c:v>1.3997431</c:v>
                </c:pt>
                <c:pt idx="46">
                  <c:v>1.40244377</c:v>
                </c:pt>
                <c:pt idx="47">
                  <c:v>1.40475071</c:v>
                </c:pt>
                <c:pt idx="48">
                  <c:v>1.40671274</c:v>
                </c:pt>
                <c:pt idx="49">
                  <c:v>1.4083742</c:v>
                </c:pt>
                <c:pt idx="50">
                  <c:v>1.40977507</c:v>
                </c:pt>
              </c:numCache>
            </c:numRef>
          </c:yVal>
          <c:smooth val="0"/>
        </c:ser>
        <c:ser>
          <c:idx val="14"/>
          <c:order val="7"/>
          <c:tx>
            <c:v>70psi99%hf</c:v>
          </c:tx>
          <c:spPr>
            <a:ln w="12700">
              <a:solidFill>
                <a:srgbClr val="7030A0"/>
              </a:solidFill>
              <a:prstDash val="sysDash"/>
            </a:ln>
          </c:spPr>
          <c:marker>
            <c:symbol val="none"/>
          </c:marker>
          <c:xVal>
            <c:numRef>
              <c:f>'TC-Absorption-70psi'!$AL$4:$AL$84</c:f>
              <c:numCache>
                <c:formatCode>General</c:formatCode>
                <c:ptCount val="81"/>
                <c:pt idx="0">
                  <c:v>0.0</c:v>
                </c:pt>
                <c:pt idx="1">
                  <c:v>5.0</c:v>
                </c:pt>
                <c:pt idx="2">
                  <c:v>10.0</c:v>
                </c:pt>
                <c:pt idx="3">
                  <c:v>15.0</c:v>
                </c:pt>
                <c:pt idx="4">
                  <c:v>20.0</c:v>
                </c:pt>
                <c:pt idx="5">
                  <c:v>25.0</c:v>
                </c:pt>
                <c:pt idx="6">
                  <c:v>30.0</c:v>
                </c:pt>
                <c:pt idx="7">
                  <c:v>35.0</c:v>
                </c:pt>
                <c:pt idx="8">
                  <c:v>40.0</c:v>
                </c:pt>
                <c:pt idx="9">
                  <c:v>45.0</c:v>
                </c:pt>
                <c:pt idx="10">
                  <c:v>50.0</c:v>
                </c:pt>
                <c:pt idx="11">
                  <c:v>55.0</c:v>
                </c:pt>
                <c:pt idx="12">
                  <c:v>60.0</c:v>
                </c:pt>
                <c:pt idx="13">
                  <c:v>65.0</c:v>
                </c:pt>
                <c:pt idx="14">
                  <c:v>70.0</c:v>
                </c:pt>
                <c:pt idx="15">
                  <c:v>75.0</c:v>
                </c:pt>
                <c:pt idx="16">
                  <c:v>80.0</c:v>
                </c:pt>
                <c:pt idx="17">
                  <c:v>85.0</c:v>
                </c:pt>
                <c:pt idx="18">
                  <c:v>90.0</c:v>
                </c:pt>
                <c:pt idx="19">
                  <c:v>95.0</c:v>
                </c:pt>
                <c:pt idx="20">
                  <c:v>100.0</c:v>
                </c:pt>
                <c:pt idx="21">
                  <c:v>105.0</c:v>
                </c:pt>
                <c:pt idx="22">
                  <c:v>110.0</c:v>
                </c:pt>
                <c:pt idx="23">
                  <c:v>115.0</c:v>
                </c:pt>
                <c:pt idx="24">
                  <c:v>120.0</c:v>
                </c:pt>
                <c:pt idx="25">
                  <c:v>125.0</c:v>
                </c:pt>
                <c:pt idx="26">
                  <c:v>130.0</c:v>
                </c:pt>
                <c:pt idx="27">
                  <c:v>135.0</c:v>
                </c:pt>
                <c:pt idx="28">
                  <c:v>140.0</c:v>
                </c:pt>
                <c:pt idx="29">
                  <c:v>145.0</c:v>
                </c:pt>
                <c:pt idx="30">
                  <c:v>150.0</c:v>
                </c:pt>
                <c:pt idx="31">
                  <c:v>155.0</c:v>
                </c:pt>
                <c:pt idx="32">
                  <c:v>160.0</c:v>
                </c:pt>
                <c:pt idx="33">
                  <c:v>165.0</c:v>
                </c:pt>
                <c:pt idx="34">
                  <c:v>170.0</c:v>
                </c:pt>
                <c:pt idx="35">
                  <c:v>175.0</c:v>
                </c:pt>
                <c:pt idx="36">
                  <c:v>180.0</c:v>
                </c:pt>
                <c:pt idx="37">
                  <c:v>185.0</c:v>
                </c:pt>
                <c:pt idx="38">
                  <c:v>190.0</c:v>
                </c:pt>
                <c:pt idx="39">
                  <c:v>195.0</c:v>
                </c:pt>
                <c:pt idx="40">
                  <c:v>200.0</c:v>
                </c:pt>
                <c:pt idx="41">
                  <c:v>205.0</c:v>
                </c:pt>
                <c:pt idx="42">
                  <c:v>210.0</c:v>
                </c:pt>
                <c:pt idx="43">
                  <c:v>215.0</c:v>
                </c:pt>
                <c:pt idx="44">
                  <c:v>220.0</c:v>
                </c:pt>
                <c:pt idx="45">
                  <c:v>225.0</c:v>
                </c:pt>
                <c:pt idx="46">
                  <c:v>230.0</c:v>
                </c:pt>
                <c:pt idx="47">
                  <c:v>235.0</c:v>
                </c:pt>
                <c:pt idx="48">
                  <c:v>240.0</c:v>
                </c:pt>
                <c:pt idx="49">
                  <c:v>245.0</c:v>
                </c:pt>
                <c:pt idx="50">
                  <c:v>250.0</c:v>
                </c:pt>
              </c:numCache>
            </c:numRef>
          </c:xVal>
          <c:yVal>
            <c:numRef>
              <c:f>'TC-Absorption-70psi'!$AM$4:$AM$84</c:f>
              <c:numCache>
                <c:formatCode>General</c:formatCode>
                <c:ptCount val="81"/>
                <c:pt idx="0">
                  <c:v>0.04913968</c:v>
                </c:pt>
                <c:pt idx="1">
                  <c:v>0.78728233</c:v>
                </c:pt>
                <c:pt idx="2">
                  <c:v>1.12684402</c:v>
                </c:pt>
                <c:pt idx="3">
                  <c:v>1.1870483</c:v>
                </c:pt>
                <c:pt idx="4">
                  <c:v>1.23098296</c:v>
                </c:pt>
                <c:pt idx="5">
                  <c:v>1.28167825</c:v>
                </c:pt>
                <c:pt idx="6">
                  <c:v>1.33647377</c:v>
                </c:pt>
                <c:pt idx="7">
                  <c:v>1.39235462</c:v>
                </c:pt>
                <c:pt idx="8">
                  <c:v>1.44664291</c:v>
                </c:pt>
                <c:pt idx="9">
                  <c:v>1.49718895</c:v>
                </c:pt>
                <c:pt idx="10">
                  <c:v>1.54247278</c:v>
                </c:pt>
                <c:pt idx="11">
                  <c:v>1.58161885</c:v>
                </c:pt>
                <c:pt idx="12">
                  <c:v>1.61433819</c:v>
                </c:pt>
                <c:pt idx="13">
                  <c:v>1.64082029</c:v>
                </c:pt>
                <c:pt idx="14">
                  <c:v>1.66160005</c:v>
                </c:pt>
                <c:pt idx="15">
                  <c:v>1.67742226</c:v>
                </c:pt>
                <c:pt idx="16">
                  <c:v>1.68912135</c:v>
                </c:pt>
                <c:pt idx="17">
                  <c:v>1.69752666</c:v>
                </c:pt>
                <c:pt idx="18">
                  <c:v>1.70339732</c:v>
                </c:pt>
                <c:pt idx="19">
                  <c:v>1.70738506</c:v>
                </c:pt>
                <c:pt idx="20">
                  <c:v>1.71002033</c:v>
                </c:pt>
                <c:pt idx="21">
                  <c:v>1.7117151</c:v>
                </c:pt>
                <c:pt idx="22">
                  <c:v>1.71277603</c:v>
                </c:pt>
                <c:pt idx="23">
                  <c:v>1.71342266</c:v>
                </c:pt>
                <c:pt idx="24">
                  <c:v>1.71380645</c:v>
                </c:pt>
                <c:pt idx="25">
                  <c:v>1.71402831</c:v>
                </c:pt>
                <c:pt idx="26">
                  <c:v>1.71415324</c:v>
                </c:pt>
                <c:pt idx="27">
                  <c:v>1.71422177</c:v>
                </c:pt>
                <c:pt idx="28">
                  <c:v>1.7142584</c:v>
                </c:pt>
                <c:pt idx="29">
                  <c:v>1.71427748</c:v>
                </c:pt>
                <c:pt idx="30">
                  <c:v>1.71428717</c:v>
                </c:pt>
                <c:pt idx="31">
                  <c:v>1.71429196</c:v>
                </c:pt>
                <c:pt idx="32">
                  <c:v>1.71429427</c:v>
                </c:pt>
                <c:pt idx="33">
                  <c:v>1.71429535</c:v>
                </c:pt>
                <c:pt idx="34">
                  <c:v>1.71429585</c:v>
                </c:pt>
                <c:pt idx="35">
                  <c:v>1.71429607</c:v>
                </c:pt>
                <c:pt idx="36">
                  <c:v>1.71429617</c:v>
                </c:pt>
                <c:pt idx="37">
                  <c:v>1.71429621</c:v>
                </c:pt>
                <c:pt idx="38">
                  <c:v>1.71429623</c:v>
                </c:pt>
                <c:pt idx="39">
                  <c:v>1.71429624</c:v>
                </c:pt>
                <c:pt idx="40">
                  <c:v>1.71429624</c:v>
                </c:pt>
                <c:pt idx="41">
                  <c:v>1.71429624</c:v>
                </c:pt>
                <c:pt idx="42">
                  <c:v>1.71429624</c:v>
                </c:pt>
                <c:pt idx="43">
                  <c:v>1.71429624</c:v>
                </c:pt>
                <c:pt idx="44">
                  <c:v>1.71429624</c:v>
                </c:pt>
                <c:pt idx="45">
                  <c:v>1.71429624</c:v>
                </c:pt>
                <c:pt idx="46">
                  <c:v>1.71429624</c:v>
                </c:pt>
                <c:pt idx="47">
                  <c:v>1.71429624</c:v>
                </c:pt>
                <c:pt idx="48">
                  <c:v>1.71429624</c:v>
                </c:pt>
                <c:pt idx="49">
                  <c:v>1.71429624</c:v>
                </c:pt>
                <c:pt idx="50">
                  <c:v>1.71429624</c:v>
                </c:pt>
              </c:numCache>
            </c:numRef>
          </c:yVal>
          <c:smooth val="0"/>
        </c:ser>
        <c:dLbls>
          <c:showLegendKey val="0"/>
          <c:showVal val="0"/>
          <c:showCatName val="0"/>
          <c:showSerName val="0"/>
          <c:showPercent val="0"/>
          <c:showBubbleSize val="0"/>
        </c:dLbls>
        <c:axId val="564695592"/>
        <c:axId val="564701560"/>
      </c:scatterChart>
      <c:valAx>
        <c:axId val="564695592"/>
        <c:scaling>
          <c:orientation val="minMax"/>
          <c:max val="21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564701560"/>
        <c:crosses val="autoZero"/>
        <c:crossBetween val="midCat"/>
        <c:majorUnit val="50.0"/>
        <c:minorUnit val="12.5"/>
      </c:valAx>
      <c:valAx>
        <c:axId val="564701560"/>
        <c:scaling>
          <c:orientation val="minMax"/>
          <c:max val="2.5"/>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564695592"/>
        <c:crosses val="autoZero"/>
        <c:crossBetween val="midCat"/>
        <c:majorUnit val="1.0"/>
        <c:minorUnit val="0.5"/>
      </c:valAx>
      <c:spPr>
        <a:ln w="19050">
          <a:solidFill>
            <a:sysClr val="windowText" lastClr="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439910583210997"/>
          <c:y val="0.0374139690871974"/>
          <c:w val="0.475343654077139"/>
          <c:h val="0.101097987751531"/>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3652715472447"/>
          <c:y val="0.032258064516129"/>
          <c:w val="0.724365674164106"/>
          <c:h val="0.756717960658143"/>
        </c:manualLayout>
      </c:layout>
      <c:scatterChart>
        <c:scatterStyle val="lineMarker"/>
        <c:varyColors val="0"/>
        <c:ser>
          <c:idx val="4"/>
          <c:order val="0"/>
          <c:tx>
            <c:v>69 kPa</c:v>
          </c:tx>
          <c:spPr>
            <a:ln w="19050">
              <a:noFill/>
              <a:prstDash val="dashDot"/>
            </a:ln>
          </c:spPr>
          <c:marker>
            <c:symbol val="square"/>
            <c:size val="7"/>
            <c:spPr>
              <a:solidFill>
                <a:srgbClr val="0070C0">
                  <a:alpha val="50000"/>
                </a:srgbClr>
              </a:solidFill>
              <a:ln w="12700">
                <a:solidFill>
                  <a:schemeClr val="tx1"/>
                </a:solidFill>
              </a:ln>
            </c:spPr>
          </c:marker>
          <c:trendline>
            <c:spPr>
              <a:ln w="12700">
                <a:solidFill>
                  <a:srgbClr val="0070C0"/>
                </a:solidFill>
                <a:prstDash val="dash"/>
              </a:ln>
            </c:spPr>
            <c:trendlineType val="linear"/>
            <c:dispRSqr val="0"/>
            <c:dispEq val="0"/>
          </c:trendline>
          <c:xVal>
            <c:numRef>
              <c:f>'Absorption Parameters'!$C$6:$C$9</c:f>
              <c:numCache>
                <c:formatCode>General</c:formatCode>
                <c:ptCount val="4"/>
                <c:pt idx="0">
                  <c:v>2.0</c:v>
                </c:pt>
                <c:pt idx="1">
                  <c:v>40.0</c:v>
                </c:pt>
                <c:pt idx="2">
                  <c:v>70.0</c:v>
                </c:pt>
                <c:pt idx="3">
                  <c:v>99.0</c:v>
                </c:pt>
              </c:numCache>
            </c:numRef>
          </c:xVal>
          <c:yVal>
            <c:numRef>
              <c:f>'Absorption Parameters'!$J$6:$J$9</c:f>
              <c:numCache>
                <c:formatCode>0.00</c:formatCode>
                <c:ptCount val="4"/>
                <c:pt idx="0">
                  <c:v>3.1</c:v>
                </c:pt>
                <c:pt idx="1">
                  <c:v>6.193999999999996</c:v>
                </c:pt>
                <c:pt idx="2">
                  <c:v>8.34</c:v>
                </c:pt>
                <c:pt idx="3">
                  <c:v>7.91</c:v>
                </c:pt>
              </c:numCache>
            </c:numRef>
          </c:yVal>
          <c:smooth val="0"/>
        </c:ser>
        <c:ser>
          <c:idx val="5"/>
          <c:order val="1"/>
          <c:tx>
            <c:v>207 kPa</c:v>
          </c:tx>
          <c:spPr>
            <a:ln w="19050">
              <a:noFill/>
              <a:prstDash val="dashDot"/>
            </a:ln>
          </c:spPr>
          <c:marker>
            <c:symbol val="circle"/>
            <c:size val="7"/>
            <c:spPr>
              <a:solidFill>
                <a:srgbClr val="C00000">
                  <a:alpha val="50000"/>
                </a:srgbClr>
              </a:solidFill>
              <a:ln w="12700">
                <a:solidFill>
                  <a:schemeClr val="tx1"/>
                </a:solidFill>
              </a:ln>
            </c:spPr>
          </c:marker>
          <c:trendline>
            <c:spPr>
              <a:ln w="12700">
                <a:solidFill>
                  <a:srgbClr val="C00000"/>
                </a:solidFill>
                <a:prstDash val="dash"/>
              </a:ln>
            </c:spPr>
            <c:trendlineType val="linear"/>
            <c:dispRSqr val="0"/>
            <c:dispEq val="0"/>
          </c:trendline>
          <c:xVal>
            <c:numRef>
              <c:f>'Absorption Parameters'!$C$15:$C$18</c:f>
              <c:numCache>
                <c:formatCode>General</c:formatCode>
                <c:ptCount val="4"/>
                <c:pt idx="0">
                  <c:v>2.0</c:v>
                </c:pt>
                <c:pt idx="1">
                  <c:v>40.0</c:v>
                </c:pt>
                <c:pt idx="2">
                  <c:v>70.0</c:v>
                </c:pt>
                <c:pt idx="3">
                  <c:v>99.0</c:v>
                </c:pt>
              </c:numCache>
            </c:numRef>
          </c:xVal>
          <c:yVal>
            <c:numRef>
              <c:f>'Absorption Parameters'!$J$15:$J$18</c:f>
              <c:numCache>
                <c:formatCode>0.00</c:formatCode>
                <c:ptCount val="4"/>
                <c:pt idx="0">
                  <c:v>1.76</c:v>
                </c:pt>
                <c:pt idx="1">
                  <c:v>3.32</c:v>
                </c:pt>
                <c:pt idx="2">
                  <c:v>5.659999999999996</c:v>
                </c:pt>
                <c:pt idx="3">
                  <c:v>5.14</c:v>
                </c:pt>
              </c:numCache>
            </c:numRef>
          </c:yVal>
          <c:smooth val="0"/>
        </c:ser>
        <c:ser>
          <c:idx val="6"/>
          <c:order val="2"/>
          <c:tx>
            <c:v>345 kPa</c:v>
          </c:tx>
          <c:spPr>
            <a:ln w="19050">
              <a:noFill/>
              <a:prstDash val="dashDot"/>
            </a:ln>
          </c:spPr>
          <c:marker>
            <c:symbol val="triangle"/>
            <c:size val="7"/>
            <c:spPr>
              <a:solidFill>
                <a:srgbClr val="00B050">
                  <a:alpha val="50000"/>
                </a:srgbClr>
              </a:solidFill>
              <a:ln w="12700">
                <a:solidFill>
                  <a:schemeClr val="tx1"/>
                </a:solidFill>
              </a:ln>
            </c:spPr>
          </c:marker>
          <c:trendline>
            <c:spPr>
              <a:ln w="12700">
                <a:solidFill>
                  <a:srgbClr val="00B050"/>
                </a:solidFill>
                <a:prstDash val="dash"/>
              </a:ln>
            </c:spPr>
            <c:trendlineType val="linear"/>
            <c:dispRSqr val="0"/>
            <c:dispEq val="0"/>
          </c:trendline>
          <c:xVal>
            <c:numRef>
              <c:f>'Absorption Parameters'!$C$24:$C$27</c:f>
              <c:numCache>
                <c:formatCode>General</c:formatCode>
                <c:ptCount val="4"/>
                <c:pt idx="0">
                  <c:v>2.0</c:v>
                </c:pt>
                <c:pt idx="1">
                  <c:v>40.0</c:v>
                </c:pt>
                <c:pt idx="2">
                  <c:v>70.0</c:v>
                </c:pt>
                <c:pt idx="3">
                  <c:v>99.0</c:v>
                </c:pt>
              </c:numCache>
            </c:numRef>
          </c:xVal>
          <c:yVal>
            <c:numRef>
              <c:f>'Absorption Parameters'!$J$24:$J$27</c:f>
              <c:numCache>
                <c:formatCode>0.00</c:formatCode>
                <c:ptCount val="4"/>
                <c:pt idx="0">
                  <c:v>1.2</c:v>
                </c:pt>
                <c:pt idx="1">
                  <c:v>3.31</c:v>
                </c:pt>
                <c:pt idx="2">
                  <c:v>4.79</c:v>
                </c:pt>
                <c:pt idx="3">
                  <c:v>4.33</c:v>
                </c:pt>
              </c:numCache>
            </c:numRef>
          </c:yVal>
          <c:smooth val="0"/>
        </c:ser>
        <c:ser>
          <c:idx val="7"/>
          <c:order val="3"/>
          <c:tx>
            <c:v>483 kPa</c:v>
          </c:tx>
          <c:spPr>
            <a:ln w="19050">
              <a:noFill/>
              <a:prstDash val="dashDot"/>
            </a:ln>
          </c:spPr>
          <c:marker>
            <c:symbol val="x"/>
            <c:size val="7"/>
            <c:spPr>
              <a:noFill/>
              <a:ln w="25400">
                <a:solidFill>
                  <a:srgbClr val="7030A0"/>
                </a:solidFill>
              </a:ln>
            </c:spPr>
          </c:marker>
          <c:trendline>
            <c:spPr>
              <a:ln w="12700">
                <a:solidFill>
                  <a:srgbClr val="7030A0"/>
                </a:solidFill>
                <a:prstDash val="dash"/>
              </a:ln>
            </c:spPr>
            <c:trendlineType val="linear"/>
            <c:dispRSqr val="0"/>
            <c:dispEq val="0"/>
          </c:trendline>
          <c:xVal>
            <c:numRef>
              <c:f>'Absorption Parameters'!$C$33:$C$36</c:f>
              <c:numCache>
                <c:formatCode>General</c:formatCode>
                <c:ptCount val="4"/>
                <c:pt idx="0">
                  <c:v>2.0</c:v>
                </c:pt>
                <c:pt idx="1">
                  <c:v>40.0</c:v>
                </c:pt>
                <c:pt idx="2">
                  <c:v>70.0</c:v>
                </c:pt>
                <c:pt idx="3">
                  <c:v>99.0</c:v>
                </c:pt>
              </c:numCache>
            </c:numRef>
          </c:xVal>
          <c:yVal>
            <c:numRef>
              <c:f>'Absorption Parameters'!$J$33:$J$36</c:f>
              <c:numCache>
                <c:formatCode>0.00</c:formatCode>
                <c:ptCount val="4"/>
                <c:pt idx="0">
                  <c:v>1.58</c:v>
                </c:pt>
                <c:pt idx="1">
                  <c:v>3.069</c:v>
                </c:pt>
                <c:pt idx="2">
                  <c:v>4.24</c:v>
                </c:pt>
                <c:pt idx="3">
                  <c:v>4.09</c:v>
                </c:pt>
              </c:numCache>
            </c:numRef>
          </c:yVal>
          <c:smooth val="0"/>
        </c:ser>
        <c:dLbls>
          <c:showLegendKey val="0"/>
          <c:showVal val="0"/>
          <c:showCatName val="0"/>
          <c:showSerName val="0"/>
          <c:showPercent val="0"/>
          <c:showBubbleSize val="0"/>
        </c:dLbls>
        <c:axId val="564777128"/>
        <c:axId val="564782760"/>
      </c:scatterChart>
      <c:valAx>
        <c:axId val="564777128"/>
        <c:scaling>
          <c:orientation val="minMax"/>
          <c:max val="100.0"/>
          <c:min val="0.0"/>
        </c:scaling>
        <c:delete val="0"/>
        <c:axPos val="b"/>
        <c:title>
          <c:tx>
            <c:rich>
              <a:bodyPr/>
              <a:lstStyle/>
              <a:p>
                <a:pPr>
                  <a:defRPr/>
                </a:pPr>
                <a:r>
                  <a:rPr lang="en-US"/>
                  <a:t>R, Humidity Exposure (% RH)</a:t>
                </a:r>
              </a:p>
            </c:rich>
          </c:tx>
          <c:overlay val="0"/>
        </c:title>
        <c:numFmt formatCode="#,##0" sourceLinked="0"/>
        <c:majorTickMark val="cross"/>
        <c:minorTickMark val="in"/>
        <c:tickLblPos val="nextTo"/>
        <c:spPr>
          <a:ln w="12700" cmpd="sng">
            <a:solidFill>
              <a:sysClr val="windowText" lastClr="000000"/>
            </a:solidFill>
          </a:ln>
        </c:spPr>
        <c:crossAx val="564782760"/>
        <c:crosses val="autoZero"/>
        <c:crossBetween val="midCat"/>
        <c:majorUnit val="20.0"/>
        <c:minorUnit val="5.0"/>
      </c:valAx>
      <c:valAx>
        <c:axId val="564782760"/>
        <c:scaling>
          <c:orientation val="minMax"/>
          <c:max val="10.0"/>
          <c:min val="0.0"/>
        </c:scaling>
        <c:delete val="0"/>
        <c:axPos val="l"/>
        <c:title>
          <c:tx>
            <c:rich>
              <a:bodyPr rot="-5400000" vert="horz"/>
              <a:lstStyle/>
              <a:p>
                <a:pPr>
                  <a:defRPr/>
                </a:pPr>
                <a:r>
                  <a:rPr lang="en-US"/>
                  <a:t>M</a:t>
                </a:r>
                <a:r>
                  <a:rPr lang="en-US" baseline="-25000"/>
                  <a:t>∞</a:t>
                </a:r>
                <a:r>
                  <a:rPr lang="en-US"/>
                  <a:t>, Equil. Fluid Content (%wt.)</a:t>
                </a:r>
              </a:p>
            </c:rich>
          </c:tx>
          <c:overlay val="0"/>
        </c:title>
        <c:numFmt formatCode="0" sourceLinked="0"/>
        <c:majorTickMark val="out"/>
        <c:minorTickMark val="in"/>
        <c:tickLblPos val="nextTo"/>
        <c:spPr>
          <a:ln w="12700" cmpd="sng">
            <a:solidFill>
              <a:sysClr val="windowText" lastClr="000000"/>
            </a:solidFill>
          </a:ln>
        </c:spPr>
        <c:crossAx val="564777128"/>
        <c:crosses val="autoZero"/>
        <c:crossBetween val="midCat"/>
        <c:majorUnit val="2.0"/>
        <c:minorUnit val="0.5"/>
      </c:valAx>
      <c:spPr>
        <a:ln w="12700" cmpd="sng">
          <a:solidFill>
            <a:sysClr val="windowText" lastClr="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185673295075404"/>
          <c:y val="0.0971389665001552"/>
          <c:w val="0.235230659726856"/>
          <c:h val="0.191922783845568"/>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2485282560019"/>
          <c:y val="0.032258064516129"/>
          <c:w val="0.705533312573216"/>
          <c:h val="0.756717960658143"/>
        </c:manualLayout>
      </c:layout>
      <c:scatterChart>
        <c:scatterStyle val="lineMarker"/>
        <c:varyColors val="0"/>
        <c:ser>
          <c:idx val="4"/>
          <c:order val="0"/>
          <c:tx>
            <c:v>69 kPa</c:v>
          </c:tx>
          <c:spPr>
            <a:ln w="19050">
              <a:noFill/>
              <a:prstDash val="dashDot"/>
            </a:ln>
          </c:spPr>
          <c:marker>
            <c:symbol val="square"/>
            <c:size val="7"/>
            <c:spPr>
              <a:solidFill>
                <a:srgbClr val="0070C0">
                  <a:alpha val="50000"/>
                </a:srgbClr>
              </a:solidFill>
              <a:ln w="12700">
                <a:solidFill>
                  <a:schemeClr val="tx1"/>
                </a:solidFill>
              </a:ln>
            </c:spPr>
          </c:marker>
          <c:trendline>
            <c:spPr>
              <a:ln w="12700">
                <a:solidFill>
                  <a:srgbClr val="0070C0"/>
                </a:solidFill>
                <a:prstDash val="dash"/>
              </a:ln>
            </c:spPr>
            <c:trendlineType val="linear"/>
            <c:dispRSqr val="0"/>
            <c:dispEq val="0"/>
          </c:trendline>
          <c:xVal>
            <c:numRef>
              <c:f>'Absorption Parameters'!$O$6:$O$9</c:f>
              <c:numCache>
                <c:formatCode>General</c:formatCode>
                <c:ptCount val="4"/>
                <c:pt idx="0">
                  <c:v>2.0</c:v>
                </c:pt>
                <c:pt idx="1">
                  <c:v>40.0</c:v>
                </c:pt>
                <c:pt idx="2">
                  <c:v>70.0</c:v>
                </c:pt>
                <c:pt idx="3">
                  <c:v>99.0</c:v>
                </c:pt>
              </c:numCache>
            </c:numRef>
          </c:xVal>
          <c:yVal>
            <c:numRef>
              <c:f>'Absorption Parameters'!$S$6:$S$9</c:f>
              <c:numCache>
                <c:formatCode>0.00</c:formatCode>
                <c:ptCount val="4"/>
                <c:pt idx="0">
                  <c:v>0.587</c:v>
                </c:pt>
                <c:pt idx="1">
                  <c:v>0.763</c:v>
                </c:pt>
                <c:pt idx="2">
                  <c:v>1.041</c:v>
                </c:pt>
                <c:pt idx="3">
                  <c:v>1.319</c:v>
                </c:pt>
              </c:numCache>
            </c:numRef>
          </c:yVal>
          <c:smooth val="0"/>
        </c:ser>
        <c:ser>
          <c:idx val="5"/>
          <c:order val="1"/>
          <c:tx>
            <c:v>207 kPa</c:v>
          </c:tx>
          <c:spPr>
            <a:ln w="19050">
              <a:noFill/>
              <a:prstDash val="dashDot"/>
            </a:ln>
          </c:spPr>
          <c:marker>
            <c:symbol val="circle"/>
            <c:size val="7"/>
            <c:spPr>
              <a:solidFill>
                <a:srgbClr val="C00000">
                  <a:alpha val="50000"/>
                </a:srgbClr>
              </a:solidFill>
              <a:ln w="12700">
                <a:solidFill>
                  <a:schemeClr val="tx1"/>
                </a:solidFill>
              </a:ln>
            </c:spPr>
          </c:marker>
          <c:trendline>
            <c:spPr>
              <a:ln w="12700">
                <a:solidFill>
                  <a:srgbClr val="C00000"/>
                </a:solidFill>
                <a:prstDash val="dash"/>
              </a:ln>
            </c:spPr>
            <c:trendlineType val="linear"/>
            <c:dispRSqr val="0"/>
            <c:dispEq val="0"/>
          </c:trendline>
          <c:xVal>
            <c:numRef>
              <c:f>'Absorption Parameters'!$O$15:$O$18</c:f>
              <c:numCache>
                <c:formatCode>General</c:formatCode>
                <c:ptCount val="4"/>
                <c:pt idx="0">
                  <c:v>2.0</c:v>
                </c:pt>
                <c:pt idx="1">
                  <c:v>40.0</c:v>
                </c:pt>
                <c:pt idx="2">
                  <c:v>70.0</c:v>
                </c:pt>
                <c:pt idx="3">
                  <c:v>99.0</c:v>
                </c:pt>
              </c:numCache>
            </c:numRef>
          </c:xVal>
          <c:yVal>
            <c:numRef>
              <c:f>'Absorption Parameters'!$S$15:$S$18</c:f>
              <c:numCache>
                <c:formatCode>0.00</c:formatCode>
                <c:ptCount val="4"/>
                <c:pt idx="0">
                  <c:v>0.474</c:v>
                </c:pt>
                <c:pt idx="1">
                  <c:v>0.568</c:v>
                </c:pt>
                <c:pt idx="2">
                  <c:v>0.722</c:v>
                </c:pt>
                <c:pt idx="3">
                  <c:v>1.05</c:v>
                </c:pt>
              </c:numCache>
            </c:numRef>
          </c:yVal>
          <c:smooth val="0"/>
        </c:ser>
        <c:ser>
          <c:idx val="6"/>
          <c:order val="2"/>
          <c:tx>
            <c:v>345 kPa</c:v>
          </c:tx>
          <c:spPr>
            <a:ln w="19050">
              <a:noFill/>
              <a:prstDash val="dashDot"/>
            </a:ln>
          </c:spPr>
          <c:marker>
            <c:symbol val="triangle"/>
            <c:size val="7"/>
            <c:spPr>
              <a:solidFill>
                <a:srgbClr val="00B050">
                  <a:alpha val="50000"/>
                </a:srgbClr>
              </a:solidFill>
              <a:ln w="12700">
                <a:solidFill>
                  <a:schemeClr val="tx1"/>
                </a:solidFill>
              </a:ln>
            </c:spPr>
          </c:marker>
          <c:trendline>
            <c:spPr>
              <a:ln w="12700">
                <a:solidFill>
                  <a:srgbClr val="00B050"/>
                </a:solidFill>
                <a:prstDash val="dash"/>
              </a:ln>
            </c:spPr>
            <c:trendlineType val="linear"/>
            <c:dispRSqr val="0"/>
            <c:dispEq val="0"/>
          </c:trendline>
          <c:xVal>
            <c:numRef>
              <c:f>'Absorption Parameters'!$O$24:$O$27</c:f>
              <c:numCache>
                <c:formatCode>General</c:formatCode>
                <c:ptCount val="4"/>
                <c:pt idx="0">
                  <c:v>2.0</c:v>
                </c:pt>
                <c:pt idx="1">
                  <c:v>40.0</c:v>
                </c:pt>
                <c:pt idx="2">
                  <c:v>70.0</c:v>
                </c:pt>
                <c:pt idx="3">
                  <c:v>99.0</c:v>
                </c:pt>
              </c:numCache>
            </c:numRef>
          </c:xVal>
          <c:yVal>
            <c:numRef>
              <c:f>'Absorption Parameters'!$S$24:$S$27</c:f>
              <c:numCache>
                <c:formatCode>0.00</c:formatCode>
                <c:ptCount val="4"/>
                <c:pt idx="0">
                  <c:v>0.506</c:v>
                </c:pt>
                <c:pt idx="1">
                  <c:v>0.543</c:v>
                </c:pt>
                <c:pt idx="2">
                  <c:v>0.723</c:v>
                </c:pt>
                <c:pt idx="3">
                  <c:v>1.0</c:v>
                </c:pt>
              </c:numCache>
            </c:numRef>
          </c:yVal>
          <c:smooth val="0"/>
        </c:ser>
        <c:ser>
          <c:idx val="7"/>
          <c:order val="3"/>
          <c:tx>
            <c:v>483 kPa</c:v>
          </c:tx>
          <c:spPr>
            <a:ln w="19050">
              <a:noFill/>
              <a:prstDash val="dashDot"/>
            </a:ln>
          </c:spPr>
          <c:marker>
            <c:symbol val="x"/>
            <c:size val="7"/>
            <c:spPr>
              <a:noFill/>
              <a:ln w="25400">
                <a:solidFill>
                  <a:srgbClr val="7030A0"/>
                </a:solidFill>
              </a:ln>
            </c:spPr>
          </c:marker>
          <c:trendline>
            <c:spPr>
              <a:ln w="12700">
                <a:solidFill>
                  <a:srgbClr val="7030A0"/>
                </a:solidFill>
                <a:prstDash val="dash"/>
              </a:ln>
            </c:spPr>
            <c:trendlineType val="linear"/>
            <c:dispRSqr val="0"/>
            <c:dispEq val="0"/>
          </c:trendline>
          <c:xVal>
            <c:numRef>
              <c:f>'Absorption Parameters'!$O$33:$O$36</c:f>
              <c:numCache>
                <c:formatCode>General</c:formatCode>
                <c:ptCount val="4"/>
                <c:pt idx="0">
                  <c:v>2.0</c:v>
                </c:pt>
                <c:pt idx="1">
                  <c:v>40.0</c:v>
                </c:pt>
                <c:pt idx="2">
                  <c:v>70.0</c:v>
                </c:pt>
                <c:pt idx="3">
                  <c:v>99.0</c:v>
                </c:pt>
              </c:numCache>
            </c:numRef>
          </c:xVal>
          <c:yVal>
            <c:numRef>
              <c:f>'Absorption Parameters'!$S$33:$S$36</c:f>
              <c:numCache>
                <c:formatCode>0.00</c:formatCode>
                <c:ptCount val="4"/>
                <c:pt idx="0">
                  <c:v>0.419</c:v>
                </c:pt>
                <c:pt idx="1">
                  <c:v>0.594</c:v>
                </c:pt>
                <c:pt idx="2">
                  <c:v>0.707</c:v>
                </c:pt>
                <c:pt idx="3">
                  <c:v>1.134</c:v>
                </c:pt>
              </c:numCache>
            </c:numRef>
          </c:yVal>
          <c:smooth val="0"/>
        </c:ser>
        <c:dLbls>
          <c:showLegendKey val="0"/>
          <c:showVal val="0"/>
          <c:showCatName val="0"/>
          <c:showSerName val="0"/>
          <c:showPercent val="0"/>
          <c:showBubbleSize val="0"/>
        </c:dLbls>
        <c:axId val="564847880"/>
        <c:axId val="564853784"/>
      </c:scatterChart>
      <c:valAx>
        <c:axId val="564847880"/>
        <c:scaling>
          <c:orientation val="minMax"/>
          <c:max val="100.0"/>
          <c:min val="0.0"/>
        </c:scaling>
        <c:delete val="0"/>
        <c:axPos val="b"/>
        <c:title>
          <c:tx>
            <c:rich>
              <a:bodyPr/>
              <a:lstStyle/>
              <a:p>
                <a:pPr>
                  <a:defRPr/>
                </a:pPr>
                <a:r>
                  <a:rPr lang="en-US"/>
                  <a:t>R, Humidity Exposure (%</a:t>
                </a:r>
                <a:r>
                  <a:rPr lang="en-US" baseline="0"/>
                  <a:t> RH</a:t>
                </a:r>
                <a:r>
                  <a:rPr lang="en-US"/>
                  <a:t>)</a:t>
                </a:r>
              </a:p>
            </c:rich>
          </c:tx>
          <c:overlay val="0"/>
        </c:title>
        <c:numFmt formatCode="#,##0" sourceLinked="0"/>
        <c:majorTickMark val="cross"/>
        <c:minorTickMark val="in"/>
        <c:tickLblPos val="nextTo"/>
        <c:spPr>
          <a:ln w="12700" cmpd="sng">
            <a:solidFill>
              <a:sysClr val="windowText" lastClr="000000"/>
            </a:solidFill>
          </a:ln>
        </c:spPr>
        <c:crossAx val="564853784"/>
        <c:crosses val="autoZero"/>
        <c:crossBetween val="midCat"/>
        <c:majorUnit val="20.0"/>
        <c:minorUnit val="5.0"/>
      </c:valAx>
      <c:valAx>
        <c:axId val="564853784"/>
        <c:scaling>
          <c:orientation val="minMax"/>
          <c:max val="2.0"/>
          <c:min val="0.0"/>
        </c:scaling>
        <c:delete val="0"/>
        <c:axPos val="l"/>
        <c:title>
          <c:tx>
            <c:rich>
              <a:bodyPr rot="-5400000" vert="horz"/>
              <a:lstStyle/>
              <a:p>
                <a:pPr>
                  <a:defRPr/>
                </a:pPr>
                <a:r>
                  <a:rPr lang="en-US"/>
                  <a:t>M</a:t>
                </a:r>
                <a:r>
                  <a:rPr lang="en-US" baseline="-25000"/>
                  <a:t>∞</a:t>
                </a:r>
                <a:r>
                  <a:rPr lang="en-US"/>
                  <a:t>, Equil. Fluid Content (%wt.)</a:t>
                </a:r>
              </a:p>
            </c:rich>
          </c:tx>
          <c:overlay val="0"/>
        </c:title>
        <c:numFmt formatCode="0.0" sourceLinked="0"/>
        <c:majorTickMark val="out"/>
        <c:minorTickMark val="in"/>
        <c:tickLblPos val="nextTo"/>
        <c:spPr>
          <a:ln w="12700" cmpd="sng">
            <a:solidFill>
              <a:sysClr val="windowText" lastClr="000000"/>
            </a:solidFill>
          </a:ln>
        </c:spPr>
        <c:crossAx val="564847880"/>
        <c:crosses val="autoZero"/>
        <c:crossBetween val="midCat"/>
        <c:majorUnit val="0.5"/>
        <c:minorUnit val="0.125"/>
      </c:valAx>
      <c:spPr>
        <a:ln w="12700" cmpd="sng">
          <a:solidFill>
            <a:sysClr val="windowText" lastClr="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218629980574462"/>
          <c:y val="0.0971389665001552"/>
          <c:w val="0.235230659726856"/>
          <c:h val="0.191922783845568"/>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3652715472447"/>
          <c:y val="0.032258064516129"/>
          <c:w val="0.724365674164106"/>
          <c:h val="0.756717960658143"/>
        </c:manualLayout>
      </c:layout>
      <c:scatterChart>
        <c:scatterStyle val="lineMarker"/>
        <c:varyColors val="0"/>
        <c:ser>
          <c:idx val="4"/>
          <c:order val="0"/>
          <c:tx>
            <c:v>2% RH</c:v>
          </c:tx>
          <c:spPr>
            <a:ln w="19050">
              <a:noFill/>
              <a:prstDash val="dashDot"/>
            </a:ln>
          </c:spPr>
          <c:marker>
            <c:symbol val="square"/>
            <c:size val="7"/>
            <c:spPr>
              <a:solidFill>
                <a:srgbClr val="0070C0">
                  <a:alpha val="50000"/>
                </a:srgbClr>
              </a:solidFill>
              <a:ln w="12700">
                <a:solidFill>
                  <a:schemeClr val="tx1"/>
                </a:solidFill>
              </a:ln>
            </c:spPr>
          </c:marker>
          <c:trendline>
            <c:spPr>
              <a:ln w="12700">
                <a:solidFill>
                  <a:srgbClr val="0070C0"/>
                </a:solidFill>
                <a:prstDash val="dash"/>
              </a:ln>
            </c:spPr>
            <c:trendlineType val="power"/>
            <c:dispRSqr val="0"/>
            <c:dispEq val="0"/>
          </c:trendline>
          <c:xVal>
            <c:numLit>
              <c:formatCode>General</c:formatCode>
              <c:ptCount val="4"/>
              <c:pt idx="0">
                <c:v>68.9</c:v>
              </c:pt>
              <c:pt idx="1">
                <c:v>206.8</c:v>
              </c:pt>
              <c:pt idx="2">
                <c:v>344.7</c:v>
              </c:pt>
              <c:pt idx="3">
                <c:v>482.6</c:v>
              </c:pt>
            </c:numLit>
          </c:xVal>
          <c:yVal>
            <c:numRef>
              <c:f>('Absorption Parameters'!$J$6,'Absorption Parameters'!$J$15,'Absorption Parameters'!$J$24,'Absorption Parameters'!$J$33)</c:f>
              <c:numCache>
                <c:formatCode>0.00</c:formatCode>
                <c:ptCount val="4"/>
                <c:pt idx="0">
                  <c:v>3.1</c:v>
                </c:pt>
                <c:pt idx="1">
                  <c:v>1.76</c:v>
                </c:pt>
                <c:pt idx="2">
                  <c:v>1.2</c:v>
                </c:pt>
                <c:pt idx="3">
                  <c:v>1.58</c:v>
                </c:pt>
              </c:numCache>
            </c:numRef>
          </c:yVal>
          <c:smooth val="0"/>
        </c:ser>
        <c:ser>
          <c:idx val="5"/>
          <c:order val="1"/>
          <c:tx>
            <c:v>40% RH</c:v>
          </c:tx>
          <c:spPr>
            <a:ln w="19050">
              <a:noFill/>
              <a:prstDash val="dashDot"/>
            </a:ln>
          </c:spPr>
          <c:marker>
            <c:symbol val="circle"/>
            <c:size val="7"/>
            <c:spPr>
              <a:solidFill>
                <a:srgbClr val="C00000">
                  <a:alpha val="50000"/>
                </a:srgbClr>
              </a:solidFill>
              <a:ln w="12700">
                <a:solidFill>
                  <a:schemeClr val="tx1"/>
                </a:solidFill>
              </a:ln>
            </c:spPr>
          </c:marker>
          <c:trendline>
            <c:spPr>
              <a:ln w="12700">
                <a:solidFill>
                  <a:srgbClr val="C00000"/>
                </a:solidFill>
                <a:prstDash val="dash"/>
              </a:ln>
            </c:spPr>
            <c:trendlineType val="power"/>
            <c:dispRSqr val="0"/>
            <c:dispEq val="0"/>
          </c:trendline>
          <c:xVal>
            <c:numLit>
              <c:formatCode>General</c:formatCode>
              <c:ptCount val="4"/>
              <c:pt idx="0">
                <c:v>68.9</c:v>
              </c:pt>
              <c:pt idx="1">
                <c:v>206.8</c:v>
              </c:pt>
              <c:pt idx="2">
                <c:v>344.7</c:v>
              </c:pt>
              <c:pt idx="3">
                <c:v>482.6</c:v>
              </c:pt>
            </c:numLit>
          </c:xVal>
          <c:yVal>
            <c:numRef>
              <c:f>('Absorption Parameters'!$J$7,'Absorption Parameters'!$J$16,'Absorption Parameters'!$J$25,'Absorption Parameters'!$J$34)</c:f>
              <c:numCache>
                <c:formatCode>0.00</c:formatCode>
                <c:ptCount val="4"/>
                <c:pt idx="0">
                  <c:v>6.193999999999996</c:v>
                </c:pt>
                <c:pt idx="1">
                  <c:v>3.32</c:v>
                </c:pt>
                <c:pt idx="2">
                  <c:v>3.31</c:v>
                </c:pt>
                <c:pt idx="3">
                  <c:v>3.069</c:v>
                </c:pt>
              </c:numCache>
            </c:numRef>
          </c:yVal>
          <c:smooth val="0"/>
        </c:ser>
        <c:ser>
          <c:idx val="6"/>
          <c:order val="2"/>
          <c:tx>
            <c:v>70% RH</c:v>
          </c:tx>
          <c:spPr>
            <a:ln w="19050">
              <a:noFill/>
              <a:prstDash val="dashDot"/>
            </a:ln>
          </c:spPr>
          <c:marker>
            <c:symbol val="triangle"/>
            <c:size val="7"/>
            <c:spPr>
              <a:solidFill>
                <a:srgbClr val="00B050">
                  <a:alpha val="50000"/>
                </a:srgbClr>
              </a:solidFill>
              <a:ln w="12700">
                <a:solidFill>
                  <a:schemeClr val="tx1"/>
                </a:solidFill>
              </a:ln>
            </c:spPr>
          </c:marker>
          <c:trendline>
            <c:spPr>
              <a:ln w="12700">
                <a:solidFill>
                  <a:srgbClr val="00B050"/>
                </a:solidFill>
                <a:prstDash val="dash"/>
              </a:ln>
            </c:spPr>
            <c:trendlineType val="power"/>
            <c:dispRSqr val="0"/>
            <c:dispEq val="0"/>
          </c:trendline>
          <c:xVal>
            <c:numLit>
              <c:formatCode>General</c:formatCode>
              <c:ptCount val="4"/>
              <c:pt idx="0">
                <c:v>68.9</c:v>
              </c:pt>
              <c:pt idx="1">
                <c:v>206.8</c:v>
              </c:pt>
              <c:pt idx="2">
                <c:v>344.7</c:v>
              </c:pt>
              <c:pt idx="3">
                <c:v>482.6</c:v>
              </c:pt>
            </c:numLit>
          </c:xVal>
          <c:yVal>
            <c:numRef>
              <c:f>('Absorption Parameters'!$J$8,'Absorption Parameters'!$J$17,'Absorption Parameters'!$J$26,'Absorption Parameters'!$J$35)</c:f>
              <c:numCache>
                <c:formatCode>0.00</c:formatCode>
                <c:ptCount val="4"/>
                <c:pt idx="0">
                  <c:v>8.34</c:v>
                </c:pt>
                <c:pt idx="1">
                  <c:v>5.659999999999996</c:v>
                </c:pt>
                <c:pt idx="2">
                  <c:v>4.79</c:v>
                </c:pt>
                <c:pt idx="3">
                  <c:v>4.24</c:v>
                </c:pt>
              </c:numCache>
            </c:numRef>
          </c:yVal>
          <c:smooth val="0"/>
        </c:ser>
        <c:ser>
          <c:idx val="7"/>
          <c:order val="3"/>
          <c:tx>
            <c:v>99% RH</c:v>
          </c:tx>
          <c:spPr>
            <a:ln w="19050">
              <a:noFill/>
              <a:prstDash val="dashDot"/>
            </a:ln>
          </c:spPr>
          <c:marker>
            <c:symbol val="x"/>
            <c:size val="7"/>
            <c:spPr>
              <a:noFill/>
              <a:ln w="25400">
                <a:solidFill>
                  <a:srgbClr val="7030A0"/>
                </a:solidFill>
              </a:ln>
            </c:spPr>
          </c:marker>
          <c:trendline>
            <c:spPr>
              <a:ln w="12700">
                <a:solidFill>
                  <a:srgbClr val="7030A0"/>
                </a:solidFill>
                <a:prstDash val="dash"/>
              </a:ln>
            </c:spPr>
            <c:trendlineType val="power"/>
            <c:dispRSqr val="0"/>
            <c:dispEq val="0"/>
          </c:trendline>
          <c:xVal>
            <c:numLit>
              <c:formatCode>General</c:formatCode>
              <c:ptCount val="4"/>
              <c:pt idx="0">
                <c:v>68.9</c:v>
              </c:pt>
              <c:pt idx="1">
                <c:v>206.8</c:v>
              </c:pt>
              <c:pt idx="2">
                <c:v>344.7</c:v>
              </c:pt>
              <c:pt idx="3">
                <c:v>482.6</c:v>
              </c:pt>
            </c:numLit>
          </c:xVal>
          <c:yVal>
            <c:numRef>
              <c:f>('Absorption Parameters'!$J$9,'Absorption Parameters'!$J$18,'Absorption Parameters'!$J$27,'Absorption Parameters'!$J$36)</c:f>
              <c:numCache>
                <c:formatCode>0.00</c:formatCode>
                <c:ptCount val="4"/>
                <c:pt idx="0">
                  <c:v>7.91</c:v>
                </c:pt>
                <c:pt idx="1">
                  <c:v>5.14</c:v>
                </c:pt>
                <c:pt idx="2">
                  <c:v>4.33</c:v>
                </c:pt>
                <c:pt idx="3">
                  <c:v>4.09</c:v>
                </c:pt>
              </c:numCache>
            </c:numRef>
          </c:yVal>
          <c:smooth val="0"/>
        </c:ser>
        <c:dLbls>
          <c:showLegendKey val="0"/>
          <c:showVal val="0"/>
          <c:showCatName val="0"/>
          <c:showSerName val="0"/>
          <c:showPercent val="0"/>
          <c:showBubbleSize val="0"/>
        </c:dLbls>
        <c:axId val="564601992"/>
        <c:axId val="564607912"/>
      </c:scatterChart>
      <c:valAx>
        <c:axId val="564601992"/>
        <c:scaling>
          <c:orientation val="minMax"/>
          <c:max val="525.0"/>
          <c:min val="0.0"/>
        </c:scaling>
        <c:delete val="0"/>
        <c:axPos val="b"/>
        <c:title>
          <c:tx>
            <c:rich>
              <a:bodyPr/>
              <a:lstStyle/>
              <a:p>
                <a:pPr>
                  <a:defRPr/>
                </a:pPr>
                <a:r>
                  <a:rPr lang="en-US"/>
                  <a:t>P</a:t>
                </a:r>
                <a:r>
                  <a:rPr lang="en-US" baseline="-25000"/>
                  <a:t>F</a:t>
                </a:r>
                <a:r>
                  <a:rPr lang="en-US"/>
                  <a:t>, Fabrication Pressure (kPa)</a:t>
                </a:r>
              </a:p>
            </c:rich>
          </c:tx>
          <c:overlay val="0"/>
        </c:title>
        <c:numFmt formatCode="#,##0" sourceLinked="0"/>
        <c:majorTickMark val="cross"/>
        <c:minorTickMark val="in"/>
        <c:tickLblPos val="nextTo"/>
        <c:spPr>
          <a:ln w="12700" cmpd="sng">
            <a:solidFill>
              <a:sysClr val="windowText" lastClr="000000"/>
            </a:solidFill>
          </a:ln>
        </c:spPr>
        <c:crossAx val="564607912"/>
        <c:crosses val="autoZero"/>
        <c:crossBetween val="midCat"/>
        <c:majorUnit val="100.0"/>
        <c:minorUnit val="25.0"/>
      </c:valAx>
      <c:valAx>
        <c:axId val="564607912"/>
        <c:scaling>
          <c:orientation val="minMax"/>
          <c:max val="10.0"/>
          <c:min val="0.0"/>
        </c:scaling>
        <c:delete val="0"/>
        <c:axPos val="l"/>
        <c:title>
          <c:tx>
            <c:rich>
              <a:bodyPr rot="-5400000" vert="horz"/>
              <a:lstStyle/>
              <a:p>
                <a:pPr>
                  <a:defRPr/>
                </a:pPr>
                <a:r>
                  <a:rPr lang="en-US"/>
                  <a:t>M</a:t>
                </a:r>
                <a:r>
                  <a:rPr lang="en-US" baseline="-25000"/>
                  <a:t>∞</a:t>
                </a:r>
                <a:r>
                  <a:rPr lang="en-US"/>
                  <a:t>, Equil. Fluid Content (%wt.)</a:t>
                </a:r>
              </a:p>
            </c:rich>
          </c:tx>
          <c:overlay val="0"/>
        </c:title>
        <c:numFmt formatCode="0" sourceLinked="0"/>
        <c:majorTickMark val="out"/>
        <c:minorTickMark val="in"/>
        <c:tickLblPos val="nextTo"/>
        <c:spPr>
          <a:ln w="12700" cmpd="sng">
            <a:solidFill>
              <a:sysClr val="windowText" lastClr="000000"/>
            </a:solidFill>
          </a:ln>
        </c:spPr>
        <c:crossAx val="564601992"/>
        <c:crosses val="autoZero"/>
        <c:crossBetween val="midCat"/>
        <c:majorUnit val="2.0"/>
        <c:minorUnit val="0.5"/>
      </c:valAx>
      <c:spPr>
        <a:ln w="12700" cmpd="sng">
          <a:solidFill>
            <a:sysClr val="windowText" lastClr="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661191185847532"/>
          <c:y val="0.0388952389015889"/>
          <c:w val="0.235230659726856"/>
          <c:h val="0.191922783845568"/>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2485282560019"/>
          <c:y val="0.032258064516129"/>
          <c:w val="0.705533312573216"/>
          <c:h val="0.756717960658143"/>
        </c:manualLayout>
      </c:layout>
      <c:scatterChart>
        <c:scatterStyle val="lineMarker"/>
        <c:varyColors val="0"/>
        <c:ser>
          <c:idx val="4"/>
          <c:order val="0"/>
          <c:tx>
            <c:v>2% RH</c:v>
          </c:tx>
          <c:spPr>
            <a:ln w="19050">
              <a:noFill/>
              <a:prstDash val="dashDot"/>
            </a:ln>
          </c:spPr>
          <c:marker>
            <c:symbol val="square"/>
            <c:size val="7"/>
            <c:spPr>
              <a:solidFill>
                <a:srgbClr val="0070C0">
                  <a:alpha val="50000"/>
                </a:srgbClr>
              </a:solidFill>
              <a:ln w="12700">
                <a:solidFill>
                  <a:schemeClr val="tx1"/>
                </a:solidFill>
              </a:ln>
            </c:spPr>
          </c:marker>
          <c:trendline>
            <c:spPr>
              <a:ln w="12700">
                <a:solidFill>
                  <a:srgbClr val="0070C0"/>
                </a:solidFill>
                <a:prstDash val="dash"/>
              </a:ln>
            </c:spPr>
            <c:trendlineType val="power"/>
            <c:dispRSqr val="0"/>
            <c:dispEq val="0"/>
          </c:trendline>
          <c:xVal>
            <c:numLit>
              <c:formatCode>General</c:formatCode>
              <c:ptCount val="4"/>
              <c:pt idx="0">
                <c:v>68.9</c:v>
              </c:pt>
              <c:pt idx="1">
                <c:v>206.8</c:v>
              </c:pt>
              <c:pt idx="2">
                <c:v>344.7</c:v>
              </c:pt>
              <c:pt idx="3">
                <c:v>482.6</c:v>
              </c:pt>
            </c:numLit>
          </c:xVal>
          <c:yVal>
            <c:numRef>
              <c:f>('Absorption Parameters'!$S$6,'Absorption Parameters'!$S$15,'Absorption Parameters'!$S$24,'Absorption Parameters'!$S$33)</c:f>
              <c:numCache>
                <c:formatCode>0.00</c:formatCode>
                <c:ptCount val="4"/>
                <c:pt idx="0">
                  <c:v>0.587</c:v>
                </c:pt>
                <c:pt idx="1">
                  <c:v>0.474</c:v>
                </c:pt>
                <c:pt idx="2">
                  <c:v>0.506</c:v>
                </c:pt>
                <c:pt idx="3">
                  <c:v>0.419</c:v>
                </c:pt>
              </c:numCache>
            </c:numRef>
          </c:yVal>
          <c:smooth val="0"/>
        </c:ser>
        <c:ser>
          <c:idx val="5"/>
          <c:order val="1"/>
          <c:tx>
            <c:v>40% RH</c:v>
          </c:tx>
          <c:spPr>
            <a:ln w="19050">
              <a:noFill/>
              <a:prstDash val="dashDot"/>
            </a:ln>
          </c:spPr>
          <c:marker>
            <c:symbol val="circle"/>
            <c:size val="7"/>
            <c:spPr>
              <a:solidFill>
                <a:srgbClr val="C00000">
                  <a:alpha val="50000"/>
                </a:srgbClr>
              </a:solidFill>
              <a:ln w="12700">
                <a:solidFill>
                  <a:schemeClr val="tx1"/>
                </a:solidFill>
              </a:ln>
            </c:spPr>
          </c:marker>
          <c:trendline>
            <c:spPr>
              <a:ln w="12700">
                <a:solidFill>
                  <a:srgbClr val="C00000"/>
                </a:solidFill>
                <a:prstDash val="dash"/>
              </a:ln>
            </c:spPr>
            <c:trendlineType val="power"/>
            <c:dispRSqr val="0"/>
            <c:dispEq val="0"/>
          </c:trendline>
          <c:xVal>
            <c:numLit>
              <c:formatCode>General</c:formatCode>
              <c:ptCount val="4"/>
              <c:pt idx="0">
                <c:v>68.9</c:v>
              </c:pt>
              <c:pt idx="1">
                <c:v>206.8</c:v>
              </c:pt>
              <c:pt idx="2">
                <c:v>344.7</c:v>
              </c:pt>
              <c:pt idx="3">
                <c:v>482.6</c:v>
              </c:pt>
            </c:numLit>
          </c:xVal>
          <c:yVal>
            <c:numRef>
              <c:f>('Absorption Parameters'!$S$7,'Absorption Parameters'!$S$16,'Absorption Parameters'!$S$25,'Absorption Parameters'!$S$34)</c:f>
              <c:numCache>
                <c:formatCode>0.00</c:formatCode>
                <c:ptCount val="4"/>
                <c:pt idx="0">
                  <c:v>0.763</c:v>
                </c:pt>
                <c:pt idx="1">
                  <c:v>0.568</c:v>
                </c:pt>
                <c:pt idx="2">
                  <c:v>0.543</c:v>
                </c:pt>
                <c:pt idx="3">
                  <c:v>0.594</c:v>
                </c:pt>
              </c:numCache>
            </c:numRef>
          </c:yVal>
          <c:smooth val="0"/>
        </c:ser>
        <c:ser>
          <c:idx val="6"/>
          <c:order val="2"/>
          <c:tx>
            <c:v>70% RH</c:v>
          </c:tx>
          <c:spPr>
            <a:ln w="19050">
              <a:noFill/>
              <a:prstDash val="dashDot"/>
            </a:ln>
          </c:spPr>
          <c:marker>
            <c:symbol val="triangle"/>
            <c:size val="7"/>
            <c:spPr>
              <a:solidFill>
                <a:srgbClr val="00B050">
                  <a:alpha val="50000"/>
                </a:srgbClr>
              </a:solidFill>
              <a:ln w="12700">
                <a:solidFill>
                  <a:schemeClr val="tx1"/>
                </a:solidFill>
              </a:ln>
            </c:spPr>
          </c:marker>
          <c:trendline>
            <c:spPr>
              <a:ln w="12700">
                <a:solidFill>
                  <a:srgbClr val="00B050"/>
                </a:solidFill>
                <a:prstDash val="dash"/>
              </a:ln>
            </c:spPr>
            <c:trendlineType val="power"/>
            <c:dispRSqr val="0"/>
            <c:dispEq val="0"/>
          </c:trendline>
          <c:xVal>
            <c:numLit>
              <c:formatCode>General</c:formatCode>
              <c:ptCount val="4"/>
              <c:pt idx="0">
                <c:v>68.9</c:v>
              </c:pt>
              <c:pt idx="1">
                <c:v>206.8</c:v>
              </c:pt>
              <c:pt idx="2">
                <c:v>344.7</c:v>
              </c:pt>
              <c:pt idx="3">
                <c:v>482.6</c:v>
              </c:pt>
            </c:numLit>
          </c:xVal>
          <c:yVal>
            <c:numRef>
              <c:f>('Absorption Parameters'!$S$8,'Absorption Parameters'!$S$17,'Absorption Parameters'!$S$26,'Absorption Parameters'!$S$35)</c:f>
              <c:numCache>
                <c:formatCode>0.00</c:formatCode>
                <c:ptCount val="4"/>
                <c:pt idx="0">
                  <c:v>1.041</c:v>
                </c:pt>
                <c:pt idx="1">
                  <c:v>0.722</c:v>
                </c:pt>
                <c:pt idx="2">
                  <c:v>0.723</c:v>
                </c:pt>
                <c:pt idx="3">
                  <c:v>0.707</c:v>
                </c:pt>
              </c:numCache>
            </c:numRef>
          </c:yVal>
          <c:smooth val="0"/>
        </c:ser>
        <c:ser>
          <c:idx val="7"/>
          <c:order val="3"/>
          <c:tx>
            <c:v>99% RH</c:v>
          </c:tx>
          <c:spPr>
            <a:ln w="19050">
              <a:noFill/>
              <a:prstDash val="dashDot"/>
            </a:ln>
          </c:spPr>
          <c:marker>
            <c:symbol val="x"/>
            <c:size val="7"/>
            <c:spPr>
              <a:noFill/>
              <a:ln w="25400">
                <a:solidFill>
                  <a:srgbClr val="7030A0"/>
                </a:solidFill>
              </a:ln>
            </c:spPr>
          </c:marker>
          <c:trendline>
            <c:spPr>
              <a:ln w="12700">
                <a:solidFill>
                  <a:srgbClr val="7030A0"/>
                </a:solidFill>
                <a:prstDash val="dash"/>
              </a:ln>
            </c:spPr>
            <c:trendlineType val="power"/>
            <c:dispRSqr val="0"/>
            <c:dispEq val="0"/>
          </c:trendline>
          <c:xVal>
            <c:numLit>
              <c:formatCode>General</c:formatCode>
              <c:ptCount val="4"/>
              <c:pt idx="0">
                <c:v>68.9</c:v>
              </c:pt>
              <c:pt idx="1">
                <c:v>206.8</c:v>
              </c:pt>
              <c:pt idx="2">
                <c:v>344.7</c:v>
              </c:pt>
              <c:pt idx="3">
                <c:v>482.6</c:v>
              </c:pt>
            </c:numLit>
          </c:xVal>
          <c:yVal>
            <c:numRef>
              <c:f>('Absorption Parameters'!$S$9,'Absorption Parameters'!$S$18,'Absorption Parameters'!$S$27,'Absorption Parameters'!$S$36)</c:f>
              <c:numCache>
                <c:formatCode>0.00</c:formatCode>
                <c:ptCount val="4"/>
                <c:pt idx="0">
                  <c:v>1.319</c:v>
                </c:pt>
                <c:pt idx="1">
                  <c:v>1.05</c:v>
                </c:pt>
                <c:pt idx="2">
                  <c:v>1.0</c:v>
                </c:pt>
                <c:pt idx="3">
                  <c:v>1.134</c:v>
                </c:pt>
              </c:numCache>
            </c:numRef>
          </c:yVal>
          <c:smooth val="0"/>
        </c:ser>
        <c:dLbls>
          <c:showLegendKey val="0"/>
          <c:showVal val="0"/>
          <c:showCatName val="0"/>
          <c:showSerName val="0"/>
          <c:showPercent val="0"/>
          <c:showBubbleSize val="0"/>
        </c:dLbls>
        <c:axId val="564551832"/>
        <c:axId val="564557752"/>
      </c:scatterChart>
      <c:valAx>
        <c:axId val="564551832"/>
        <c:scaling>
          <c:orientation val="minMax"/>
          <c:max val="525.0"/>
          <c:min val="0.0"/>
        </c:scaling>
        <c:delete val="0"/>
        <c:axPos val="b"/>
        <c:title>
          <c:tx>
            <c:rich>
              <a:bodyPr/>
              <a:lstStyle/>
              <a:p>
                <a:pPr>
                  <a:defRPr/>
                </a:pPr>
                <a:r>
                  <a:rPr lang="en-US"/>
                  <a:t>P</a:t>
                </a:r>
                <a:r>
                  <a:rPr lang="en-US" baseline="-25000"/>
                  <a:t>F</a:t>
                </a:r>
                <a:r>
                  <a:rPr lang="en-US"/>
                  <a:t>, Fabrication Pressure (kPa)</a:t>
                </a:r>
              </a:p>
            </c:rich>
          </c:tx>
          <c:overlay val="0"/>
        </c:title>
        <c:numFmt formatCode="#,##0" sourceLinked="0"/>
        <c:majorTickMark val="cross"/>
        <c:minorTickMark val="in"/>
        <c:tickLblPos val="nextTo"/>
        <c:spPr>
          <a:ln w="12700" cmpd="sng">
            <a:solidFill>
              <a:sysClr val="windowText" lastClr="000000"/>
            </a:solidFill>
          </a:ln>
        </c:spPr>
        <c:crossAx val="564557752"/>
        <c:crosses val="autoZero"/>
        <c:crossBetween val="midCat"/>
        <c:majorUnit val="100.0"/>
        <c:minorUnit val="25.0"/>
      </c:valAx>
      <c:valAx>
        <c:axId val="564557752"/>
        <c:scaling>
          <c:orientation val="minMax"/>
          <c:max val="2.0"/>
          <c:min val="0.0"/>
        </c:scaling>
        <c:delete val="0"/>
        <c:axPos val="l"/>
        <c:title>
          <c:tx>
            <c:rich>
              <a:bodyPr rot="-5400000" vert="horz"/>
              <a:lstStyle/>
              <a:p>
                <a:pPr>
                  <a:defRPr/>
                </a:pPr>
                <a:r>
                  <a:rPr lang="en-US"/>
                  <a:t>M</a:t>
                </a:r>
                <a:r>
                  <a:rPr lang="en-US" baseline="-25000"/>
                  <a:t>∞</a:t>
                </a:r>
                <a:r>
                  <a:rPr lang="en-US"/>
                  <a:t>, Equil. Fluid Content (%wt.)</a:t>
                </a:r>
              </a:p>
            </c:rich>
          </c:tx>
          <c:overlay val="0"/>
        </c:title>
        <c:numFmt formatCode="0.0" sourceLinked="0"/>
        <c:majorTickMark val="out"/>
        <c:minorTickMark val="in"/>
        <c:tickLblPos val="nextTo"/>
        <c:spPr>
          <a:ln w="12700" cmpd="sng">
            <a:solidFill>
              <a:sysClr val="windowText" lastClr="000000"/>
            </a:solidFill>
          </a:ln>
        </c:spPr>
        <c:crossAx val="564551832"/>
        <c:crosses val="autoZero"/>
        <c:crossBetween val="midCat"/>
        <c:majorUnit val="0.5"/>
        <c:minorUnit val="0.125"/>
      </c:valAx>
      <c:spPr>
        <a:ln w="12700" cmpd="sng">
          <a:solidFill>
            <a:sysClr val="windowText" lastClr="000000"/>
          </a:solidFill>
        </a:ln>
      </c:spPr>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661191185847532"/>
          <c:y val="0.0388952389015889"/>
          <c:w val="0.235230659726856"/>
          <c:h val="0.191922783845568"/>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3711019173451"/>
          <c:y val="0.0333333333333333"/>
          <c:w val="0.750570903213369"/>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square"/>
            <c:size val="5"/>
            <c:spPr>
              <a:solidFill>
                <a:srgbClr val="0070C0">
                  <a:alpha val="50000"/>
                </a:srgbClr>
              </a:solidFill>
              <a:ln w="12700">
                <a:solidFill>
                  <a:schemeClr val="tx1"/>
                </a:solidFill>
              </a:ln>
            </c:spPr>
          </c:marker>
          <c:errBars>
            <c:errDir val="y"/>
            <c:errBarType val="both"/>
            <c:errValType val="cust"/>
            <c:noEndCap val="0"/>
            <c:plus>
              <c:numRef>
                <c:f>'BMI-FlexAbsorb-10psi'!$C$4:$C$29</c:f>
                <c:numCache>
                  <c:formatCode>General</c:formatCode>
                  <c:ptCount val="26"/>
                  <c:pt idx="0">
                    <c:v>0.056</c:v>
                  </c:pt>
                  <c:pt idx="1">
                    <c:v>0.073</c:v>
                  </c:pt>
                  <c:pt idx="2">
                    <c:v>0.117</c:v>
                  </c:pt>
                  <c:pt idx="3">
                    <c:v>0.176</c:v>
                  </c:pt>
                  <c:pt idx="4">
                    <c:v>0.233</c:v>
                  </c:pt>
                  <c:pt idx="5">
                    <c:v>0.275</c:v>
                  </c:pt>
                  <c:pt idx="6">
                    <c:v>0.301</c:v>
                  </c:pt>
                  <c:pt idx="7">
                    <c:v>0.343</c:v>
                  </c:pt>
                  <c:pt idx="8">
                    <c:v>0.345</c:v>
                  </c:pt>
                  <c:pt idx="9">
                    <c:v>0.349</c:v>
                  </c:pt>
                  <c:pt idx="10">
                    <c:v>0.367</c:v>
                  </c:pt>
                  <c:pt idx="11">
                    <c:v>0.336</c:v>
                  </c:pt>
                  <c:pt idx="12">
                    <c:v>0.358</c:v>
                  </c:pt>
                  <c:pt idx="13">
                    <c:v>0.325</c:v>
                  </c:pt>
                  <c:pt idx="14">
                    <c:v>0.343</c:v>
                  </c:pt>
                  <c:pt idx="15">
                    <c:v>0.358</c:v>
                  </c:pt>
                  <c:pt idx="16">
                    <c:v>0.328</c:v>
                  </c:pt>
                  <c:pt idx="17">
                    <c:v>0.327</c:v>
                  </c:pt>
                  <c:pt idx="18">
                    <c:v>0.328</c:v>
                  </c:pt>
                  <c:pt idx="19">
                    <c:v>0.337</c:v>
                  </c:pt>
                  <c:pt idx="20">
                    <c:v>0.337</c:v>
                  </c:pt>
                  <c:pt idx="21">
                    <c:v>0.34</c:v>
                  </c:pt>
                  <c:pt idx="22">
                    <c:v>0.335</c:v>
                  </c:pt>
                  <c:pt idx="23">
                    <c:v>0.341</c:v>
                  </c:pt>
                </c:numCache>
              </c:numRef>
            </c:plus>
            <c:minus>
              <c:numRef>
                <c:f>'BMI-FlexAbsorb-10psi'!$C$4:$C$29</c:f>
                <c:numCache>
                  <c:formatCode>General</c:formatCode>
                  <c:ptCount val="26"/>
                  <c:pt idx="0">
                    <c:v>0.056</c:v>
                  </c:pt>
                  <c:pt idx="1">
                    <c:v>0.073</c:v>
                  </c:pt>
                  <c:pt idx="2">
                    <c:v>0.117</c:v>
                  </c:pt>
                  <c:pt idx="3">
                    <c:v>0.176</c:v>
                  </c:pt>
                  <c:pt idx="4">
                    <c:v>0.233</c:v>
                  </c:pt>
                  <c:pt idx="5">
                    <c:v>0.275</c:v>
                  </c:pt>
                  <c:pt idx="6">
                    <c:v>0.301</c:v>
                  </c:pt>
                  <c:pt idx="7">
                    <c:v>0.343</c:v>
                  </c:pt>
                  <c:pt idx="8">
                    <c:v>0.345</c:v>
                  </c:pt>
                  <c:pt idx="9">
                    <c:v>0.349</c:v>
                  </c:pt>
                  <c:pt idx="10">
                    <c:v>0.367</c:v>
                  </c:pt>
                  <c:pt idx="11">
                    <c:v>0.336</c:v>
                  </c:pt>
                  <c:pt idx="12">
                    <c:v>0.358</c:v>
                  </c:pt>
                  <c:pt idx="13">
                    <c:v>0.325</c:v>
                  </c:pt>
                  <c:pt idx="14">
                    <c:v>0.343</c:v>
                  </c:pt>
                  <c:pt idx="15">
                    <c:v>0.358</c:v>
                  </c:pt>
                  <c:pt idx="16">
                    <c:v>0.328</c:v>
                  </c:pt>
                  <c:pt idx="17">
                    <c:v>0.327</c:v>
                  </c:pt>
                  <c:pt idx="18">
                    <c:v>0.328</c:v>
                  </c:pt>
                  <c:pt idx="19">
                    <c:v>0.337</c:v>
                  </c:pt>
                  <c:pt idx="20">
                    <c:v>0.337</c:v>
                  </c:pt>
                  <c:pt idx="21">
                    <c:v>0.34</c:v>
                  </c:pt>
                  <c:pt idx="22">
                    <c:v>0.335</c:v>
                  </c:pt>
                  <c:pt idx="23">
                    <c:v>0.341</c:v>
                  </c:pt>
                </c:numCache>
              </c:numRef>
            </c:minus>
            <c:spPr>
              <a:ln w="12700">
                <a:solidFill>
                  <a:srgbClr val="0070C0"/>
                </a:solidFill>
              </a:ln>
            </c:spPr>
          </c:errBars>
          <c:xVal>
            <c:numRef>
              <c:f>'BMI-FlexAbsorb-10psi'!$A$4:$A$34</c:f>
              <c:numCache>
                <c:formatCode>General</c:formatCode>
                <c:ptCount val="31"/>
                <c:pt idx="0">
                  <c:v>1.37</c:v>
                </c:pt>
                <c:pt idx="1">
                  <c:v>2.35</c:v>
                </c:pt>
                <c:pt idx="2">
                  <c:v>5.09</c:v>
                </c:pt>
                <c:pt idx="3">
                  <c:v>8.42</c:v>
                </c:pt>
                <c:pt idx="4">
                  <c:v>13.83</c:v>
                </c:pt>
                <c:pt idx="5">
                  <c:v>19.66</c:v>
                </c:pt>
                <c:pt idx="6">
                  <c:v>25.5</c:v>
                </c:pt>
                <c:pt idx="7">
                  <c:v>33.93</c:v>
                </c:pt>
                <c:pt idx="8">
                  <c:v>37.03</c:v>
                </c:pt>
                <c:pt idx="9">
                  <c:v>42.74</c:v>
                </c:pt>
                <c:pt idx="10">
                  <c:v>48.27</c:v>
                </c:pt>
                <c:pt idx="11">
                  <c:v>53.89</c:v>
                </c:pt>
                <c:pt idx="12">
                  <c:v>59.58</c:v>
                </c:pt>
                <c:pt idx="13">
                  <c:v>64.99</c:v>
                </c:pt>
                <c:pt idx="14">
                  <c:v>71.52</c:v>
                </c:pt>
                <c:pt idx="15">
                  <c:v>76.7</c:v>
                </c:pt>
                <c:pt idx="16">
                  <c:v>82.41</c:v>
                </c:pt>
                <c:pt idx="17">
                  <c:v>88.3</c:v>
                </c:pt>
                <c:pt idx="18">
                  <c:v>94.35</c:v>
                </c:pt>
                <c:pt idx="19">
                  <c:v>99.69</c:v>
                </c:pt>
                <c:pt idx="20">
                  <c:v>104.73</c:v>
                </c:pt>
                <c:pt idx="21">
                  <c:v>110.3</c:v>
                </c:pt>
                <c:pt idx="22">
                  <c:v>115.93</c:v>
                </c:pt>
                <c:pt idx="23">
                  <c:v>122.85</c:v>
                </c:pt>
                <c:pt idx="30">
                  <c:v>138.54</c:v>
                </c:pt>
              </c:numCache>
            </c:numRef>
          </c:xVal>
          <c:yVal>
            <c:numRef>
              <c:f>'BMI-FlexAbsorb-10psi'!$B$4:$B$34</c:f>
              <c:numCache>
                <c:formatCode>General</c:formatCode>
                <c:ptCount val="31"/>
                <c:pt idx="0">
                  <c:v>0.3502</c:v>
                </c:pt>
                <c:pt idx="1">
                  <c:v>0.4935</c:v>
                </c:pt>
                <c:pt idx="2">
                  <c:v>0.8352</c:v>
                </c:pt>
                <c:pt idx="3">
                  <c:v>1.204</c:v>
                </c:pt>
                <c:pt idx="4">
                  <c:v>1.618</c:v>
                </c:pt>
                <c:pt idx="5">
                  <c:v>1.9987</c:v>
                </c:pt>
                <c:pt idx="6">
                  <c:v>2.2632</c:v>
                </c:pt>
                <c:pt idx="7">
                  <c:v>2.4596</c:v>
                </c:pt>
                <c:pt idx="8">
                  <c:v>2.6582</c:v>
                </c:pt>
                <c:pt idx="9">
                  <c:v>2.816199999999998</c:v>
                </c:pt>
                <c:pt idx="10">
                  <c:v>2.931299999999998</c:v>
                </c:pt>
                <c:pt idx="11">
                  <c:v>2.938099999999999</c:v>
                </c:pt>
                <c:pt idx="12">
                  <c:v>2.982899999999999</c:v>
                </c:pt>
                <c:pt idx="13">
                  <c:v>2.9781</c:v>
                </c:pt>
                <c:pt idx="14">
                  <c:v>2.9901</c:v>
                </c:pt>
                <c:pt idx="15">
                  <c:v>3.0403</c:v>
                </c:pt>
                <c:pt idx="16">
                  <c:v>3.0003</c:v>
                </c:pt>
                <c:pt idx="17">
                  <c:v>3.031099999999999</c:v>
                </c:pt>
                <c:pt idx="18">
                  <c:v>3.1376</c:v>
                </c:pt>
                <c:pt idx="19">
                  <c:v>3.2152</c:v>
                </c:pt>
                <c:pt idx="20">
                  <c:v>3.2233</c:v>
                </c:pt>
                <c:pt idx="21">
                  <c:v>3.2617</c:v>
                </c:pt>
                <c:pt idx="22">
                  <c:v>3.3048</c:v>
                </c:pt>
                <c:pt idx="23">
                  <c:v>3.308</c:v>
                </c:pt>
              </c:numCache>
            </c:numRef>
          </c:yVal>
          <c:smooth val="0"/>
        </c:ser>
        <c:ser>
          <c:idx val="1"/>
          <c:order val="2"/>
          <c:tx>
            <c:v>40% RH</c:v>
          </c:tx>
          <c:spPr>
            <a:ln w="28575">
              <a:noFill/>
            </a:ln>
          </c:spPr>
          <c:marker>
            <c:symbol val="square"/>
            <c:size val="5"/>
            <c:spPr>
              <a:solidFill>
                <a:srgbClr val="C00000">
                  <a:alpha val="50000"/>
                </a:srgbClr>
              </a:solidFill>
              <a:ln w="12700">
                <a:solidFill>
                  <a:sysClr val="windowText" lastClr="000000"/>
                </a:solidFill>
              </a:ln>
            </c:spPr>
          </c:marker>
          <c:errBars>
            <c:errDir val="y"/>
            <c:errBarType val="both"/>
            <c:errValType val="cust"/>
            <c:noEndCap val="0"/>
            <c:plus>
              <c:numRef>
                <c:f>'BMI-FlexAbsorb-10psi'!$I$4:$I$29</c:f>
                <c:numCache>
                  <c:formatCode>General</c:formatCode>
                  <c:ptCount val="26"/>
                  <c:pt idx="0">
                    <c:v>0.107</c:v>
                  </c:pt>
                  <c:pt idx="1">
                    <c:v>0.158</c:v>
                  </c:pt>
                  <c:pt idx="2">
                    <c:v>0.293</c:v>
                  </c:pt>
                  <c:pt idx="3">
                    <c:v>0.37</c:v>
                  </c:pt>
                  <c:pt idx="4">
                    <c:v>0.465</c:v>
                  </c:pt>
                  <c:pt idx="5">
                    <c:v>0.487</c:v>
                  </c:pt>
                  <c:pt idx="6">
                    <c:v>0.566</c:v>
                  </c:pt>
                  <c:pt idx="7">
                    <c:v>0.661</c:v>
                  </c:pt>
                  <c:pt idx="8">
                    <c:v>0.715</c:v>
                  </c:pt>
                  <c:pt idx="9">
                    <c:v>0.812</c:v>
                  </c:pt>
                  <c:pt idx="10">
                    <c:v>0.89</c:v>
                  </c:pt>
                  <c:pt idx="11">
                    <c:v>0.968</c:v>
                  </c:pt>
                  <c:pt idx="12">
                    <c:v>1.026</c:v>
                  </c:pt>
                  <c:pt idx="13">
                    <c:v>1.096</c:v>
                  </c:pt>
                  <c:pt idx="14">
                    <c:v>1.136</c:v>
                  </c:pt>
                  <c:pt idx="15">
                    <c:v>1.155</c:v>
                  </c:pt>
                  <c:pt idx="16">
                    <c:v>1.205</c:v>
                  </c:pt>
                  <c:pt idx="17">
                    <c:v>1.222</c:v>
                  </c:pt>
                  <c:pt idx="18">
                    <c:v>1.241</c:v>
                  </c:pt>
                  <c:pt idx="19">
                    <c:v>1.259</c:v>
                  </c:pt>
                  <c:pt idx="20">
                    <c:v>1.378</c:v>
                  </c:pt>
                  <c:pt idx="21">
                    <c:v>1.272</c:v>
                  </c:pt>
                  <c:pt idx="22">
                    <c:v>1.264</c:v>
                  </c:pt>
                  <c:pt idx="23">
                    <c:v>1.25</c:v>
                  </c:pt>
                </c:numCache>
              </c:numRef>
            </c:plus>
            <c:minus>
              <c:numRef>
                <c:f>'BMI-FlexAbsorb-10psi'!$I$4:$I$29</c:f>
                <c:numCache>
                  <c:formatCode>General</c:formatCode>
                  <c:ptCount val="26"/>
                  <c:pt idx="0">
                    <c:v>0.107</c:v>
                  </c:pt>
                  <c:pt idx="1">
                    <c:v>0.158</c:v>
                  </c:pt>
                  <c:pt idx="2">
                    <c:v>0.293</c:v>
                  </c:pt>
                  <c:pt idx="3">
                    <c:v>0.37</c:v>
                  </c:pt>
                  <c:pt idx="4">
                    <c:v>0.465</c:v>
                  </c:pt>
                  <c:pt idx="5">
                    <c:v>0.487</c:v>
                  </c:pt>
                  <c:pt idx="6">
                    <c:v>0.566</c:v>
                  </c:pt>
                  <c:pt idx="7">
                    <c:v>0.661</c:v>
                  </c:pt>
                  <c:pt idx="8">
                    <c:v>0.715</c:v>
                  </c:pt>
                  <c:pt idx="9">
                    <c:v>0.812</c:v>
                  </c:pt>
                  <c:pt idx="10">
                    <c:v>0.89</c:v>
                  </c:pt>
                  <c:pt idx="11">
                    <c:v>0.968</c:v>
                  </c:pt>
                  <c:pt idx="12">
                    <c:v>1.026</c:v>
                  </c:pt>
                  <c:pt idx="13">
                    <c:v>1.096</c:v>
                  </c:pt>
                  <c:pt idx="14">
                    <c:v>1.136</c:v>
                  </c:pt>
                  <c:pt idx="15">
                    <c:v>1.155</c:v>
                  </c:pt>
                  <c:pt idx="16">
                    <c:v>1.205</c:v>
                  </c:pt>
                  <c:pt idx="17">
                    <c:v>1.222</c:v>
                  </c:pt>
                  <c:pt idx="18">
                    <c:v>1.241</c:v>
                  </c:pt>
                  <c:pt idx="19">
                    <c:v>1.259</c:v>
                  </c:pt>
                  <c:pt idx="20">
                    <c:v>1.378</c:v>
                  </c:pt>
                  <c:pt idx="21">
                    <c:v>1.272</c:v>
                  </c:pt>
                  <c:pt idx="22">
                    <c:v>1.264</c:v>
                  </c:pt>
                  <c:pt idx="23">
                    <c:v>1.25</c:v>
                  </c:pt>
                </c:numCache>
              </c:numRef>
            </c:minus>
            <c:spPr>
              <a:ln w="12700">
                <a:solidFill>
                  <a:srgbClr val="C00000"/>
                </a:solidFill>
              </a:ln>
            </c:spPr>
          </c:errBars>
          <c:xVal>
            <c:numRef>
              <c:f>'BMI-FlexAbsorb-10psi'!$G$4:$G$34</c:f>
              <c:numCache>
                <c:formatCode>General</c:formatCode>
                <c:ptCount val="31"/>
                <c:pt idx="0">
                  <c:v>1.43</c:v>
                </c:pt>
                <c:pt idx="1">
                  <c:v>2.37</c:v>
                </c:pt>
                <c:pt idx="2">
                  <c:v>5.109999999999999</c:v>
                </c:pt>
                <c:pt idx="3">
                  <c:v>8.42</c:v>
                </c:pt>
                <c:pt idx="4">
                  <c:v>13.83</c:v>
                </c:pt>
                <c:pt idx="5">
                  <c:v>19.67000000000001</c:v>
                </c:pt>
                <c:pt idx="6">
                  <c:v>25.5</c:v>
                </c:pt>
                <c:pt idx="7">
                  <c:v>33.94</c:v>
                </c:pt>
                <c:pt idx="8">
                  <c:v>37.03</c:v>
                </c:pt>
                <c:pt idx="9">
                  <c:v>42.75</c:v>
                </c:pt>
                <c:pt idx="10">
                  <c:v>48.27</c:v>
                </c:pt>
                <c:pt idx="11">
                  <c:v>53.89</c:v>
                </c:pt>
                <c:pt idx="12">
                  <c:v>59.58</c:v>
                </c:pt>
                <c:pt idx="13">
                  <c:v>64.99</c:v>
                </c:pt>
                <c:pt idx="14">
                  <c:v>71.52</c:v>
                </c:pt>
                <c:pt idx="15">
                  <c:v>76.7</c:v>
                </c:pt>
                <c:pt idx="16">
                  <c:v>82.41</c:v>
                </c:pt>
                <c:pt idx="17">
                  <c:v>88.3</c:v>
                </c:pt>
                <c:pt idx="18">
                  <c:v>94.35</c:v>
                </c:pt>
                <c:pt idx="19">
                  <c:v>99.69</c:v>
                </c:pt>
                <c:pt idx="20">
                  <c:v>104.73</c:v>
                </c:pt>
                <c:pt idx="21">
                  <c:v>110.3</c:v>
                </c:pt>
                <c:pt idx="22">
                  <c:v>115.93</c:v>
                </c:pt>
                <c:pt idx="23">
                  <c:v>122.85</c:v>
                </c:pt>
              </c:numCache>
            </c:numRef>
          </c:xVal>
          <c:yVal>
            <c:numRef>
              <c:f>'BMI-FlexAbsorb-10psi'!$H$4:$H$34</c:f>
              <c:numCache>
                <c:formatCode>General</c:formatCode>
                <c:ptCount val="31"/>
                <c:pt idx="0">
                  <c:v>0.7972</c:v>
                </c:pt>
                <c:pt idx="1">
                  <c:v>1.122</c:v>
                </c:pt>
                <c:pt idx="2">
                  <c:v>1.9593</c:v>
                </c:pt>
                <c:pt idx="3">
                  <c:v>2.6898</c:v>
                </c:pt>
                <c:pt idx="4">
                  <c:v>3.4537</c:v>
                </c:pt>
                <c:pt idx="5">
                  <c:v>3.862699999999998</c:v>
                </c:pt>
                <c:pt idx="6">
                  <c:v>4.2749</c:v>
                </c:pt>
                <c:pt idx="7">
                  <c:v>4.7509</c:v>
                </c:pt>
                <c:pt idx="8">
                  <c:v>4.884599999999993</c:v>
                </c:pt>
                <c:pt idx="9">
                  <c:v>5.1613</c:v>
                </c:pt>
                <c:pt idx="10">
                  <c:v>5.4004</c:v>
                </c:pt>
                <c:pt idx="11">
                  <c:v>5.5666</c:v>
                </c:pt>
                <c:pt idx="12">
                  <c:v>5.7331</c:v>
                </c:pt>
                <c:pt idx="13">
                  <c:v>5.8382</c:v>
                </c:pt>
                <c:pt idx="14">
                  <c:v>5.999</c:v>
                </c:pt>
                <c:pt idx="15">
                  <c:v>6.3493</c:v>
                </c:pt>
                <c:pt idx="16">
                  <c:v>6.4758</c:v>
                </c:pt>
                <c:pt idx="17">
                  <c:v>6.5283</c:v>
                </c:pt>
                <c:pt idx="18">
                  <c:v>6.5883</c:v>
                </c:pt>
                <c:pt idx="19">
                  <c:v>6.7193</c:v>
                </c:pt>
                <c:pt idx="20">
                  <c:v>6.5774</c:v>
                </c:pt>
                <c:pt idx="21">
                  <c:v>6.7391</c:v>
                </c:pt>
                <c:pt idx="22">
                  <c:v>6.7813</c:v>
                </c:pt>
                <c:pt idx="23">
                  <c:v>6.8199</c:v>
                </c:pt>
              </c:numCache>
            </c:numRef>
          </c:yVal>
          <c:smooth val="0"/>
        </c:ser>
        <c:ser>
          <c:idx val="2"/>
          <c:order val="3"/>
          <c:tx>
            <c:v>70% RH</c:v>
          </c:tx>
          <c:spPr>
            <a:ln w="28575">
              <a:noFill/>
            </a:ln>
          </c:spPr>
          <c:marker>
            <c:symbol val="square"/>
            <c:size val="5"/>
            <c:spPr>
              <a:solidFill>
                <a:srgbClr val="00B050">
                  <a:alpha val="50000"/>
                </a:srgbClr>
              </a:solidFill>
              <a:ln w="12700">
                <a:solidFill>
                  <a:sysClr val="windowText" lastClr="000000"/>
                </a:solidFill>
              </a:ln>
            </c:spPr>
          </c:marker>
          <c:errBars>
            <c:errDir val="y"/>
            <c:errBarType val="both"/>
            <c:errValType val="cust"/>
            <c:noEndCap val="0"/>
            <c:plus>
              <c:numRef>
                <c:f>'BMI-FlexAbsorb-10psi'!$O$4:$O$29</c:f>
                <c:numCache>
                  <c:formatCode>General</c:formatCode>
                  <c:ptCount val="26"/>
                  <c:pt idx="0">
                    <c:v>0.109</c:v>
                  </c:pt>
                  <c:pt idx="1">
                    <c:v>0.113</c:v>
                  </c:pt>
                  <c:pt idx="2">
                    <c:v>0.119</c:v>
                  </c:pt>
                  <c:pt idx="3">
                    <c:v>0.153</c:v>
                  </c:pt>
                  <c:pt idx="4">
                    <c:v>0.192</c:v>
                  </c:pt>
                  <c:pt idx="5">
                    <c:v>0.251</c:v>
                  </c:pt>
                  <c:pt idx="6">
                    <c:v>0.277</c:v>
                  </c:pt>
                  <c:pt idx="7">
                    <c:v>0.349</c:v>
                  </c:pt>
                  <c:pt idx="8">
                    <c:v>0.379</c:v>
                  </c:pt>
                  <c:pt idx="9">
                    <c:v>0.401</c:v>
                  </c:pt>
                  <c:pt idx="10">
                    <c:v>0.434</c:v>
                  </c:pt>
                  <c:pt idx="11">
                    <c:v>0.468</c:v>
                  </c:pt>
                  <c:pt idx="12">
                    <c:v>0.514</c:v>
                  </c:pt>
                  <c:pt idx="13">
                    <c:v>0.502</c:v>
                  </c:pt>
                  <c:pt idx="14">
                    <c:v>0.512</c:v>
                  </c:pt>
                  <c:pt idx="15">
                    <c:v>0.529</c:v>
                  </c:pt>
                  <c:pt idx="16">
                    <c:v>0.532</c:v>
                  </c:pt>
                  <c:pt idx="17">
                    <c:v>0.523</c:v>
                  </c:pt>
                  <c:pt idx="18">
                    <c:v>0.541</c:v>
                  </c:pt>
                  <c:pt idx="19">
                    <c:v>0.55</c:v>
                  </c:pt>
                  <c:pt idx="20">
                    <c:v>0.545</c:v>
                  </c:pt>
                  <c:pt idx="21">
                    <c:v>0.548</c:v>
                  </c:pt>
                  <c:pt idx="22">
                    <c:v>0.55</c:v>
                  </c:pt>
                  <c:pt idx="23">
                    <c:v>0.564</c:v>
                  </c:pt>
                </c:numCache>
              </c:numRef>
            </c:plus>
            <c:minus>
              <c:numRef>
                <c:f>'BMI-FlexAbsorb-10psi'!$O$4:$O$29</c:f>
                <c:numCache>
                  <c:formatCode>General</c:formatCode>
                  <c:ptCount val="26"/>
                  <c:pt idx="0">
                    <c:v>0.109</c:v>
                  </c:pt>
                  <c:pt idx="1">
                    <c:v>0.113</c:v>
                  </c:pt>
                  <c:pt idx="2">
                    <c:v>0.119</c:v>
                  </c:pt>
                  <c:pt idx="3">
                    <c:v>0.153</c:v>
                  </c:pt>
                  <c:pt idx="4">
                    <c:v>0.192</c:v>
                  </c:pt>
                  <c:pt idx="5">
                    <c:v>0.251</c:v>
                  </c:pt>
                  <c:pt idx="6">
                    <c:v>0.277</c:v>
                  </c:pt>
                  <c:pt idx="7">
                    <c:v>0.349</c:v>
                  </c:pt>
                  <c:pt idx="8">
                    <c:v>0.379</c:v>
                  </c:pt>
                  <c:pt idx="9">
                    <c:v>0.401</c:v>
                  </c:pt>
                  <c:pt idx="10">
                    <c:v>0.434</c:v>
                  </c:pt>
                  <c:pt idx="11">
                    <c:v>0.468</c:v>
                  </c:pt>
                  <c:pt idx="12">
                    <c:v>0.514</c:v>
                  </c:pt>
                  <c:pt idx="13">
                    <c:v>0.502</c:v>
                  </c:pt>
                  <c:pt idx="14">
                    <c:v>0.512</c:v>
                  </c:pt>
                  <c:pt idx="15">
                    <c:v>0.529</c:v>
                  </c:pt>
                  <c:pt idx="16">
                    <c:v>0.532</c:v>
                  </c:pt>
                  <c:pt idx="17">
                    <c:v>0.523</c:v>
                  </c:pt>
                  <c:pt idx="18">
                    <c:v>0.541</c:v>
                  </c:pt>
                  <c:pt idx="19">
                    <c:v>0.55</c:v>
                  </c:pt>
                  <c:pt idx="20">
                    <c:v>0.545</c:v>
                  </c:pt>
                  <c:pt idx="21">
                    <c:v>0.548</c:v>
                  </c:pt>
                  <c:pt idx="22">
                    <c:v>0.55</c:v>
                  </c:pt>
                  <c:pt idx="23">
                    <c:v>0.564</c:v>
                  </c:pt>
                </c:numCache>
              </c:numRef>
            </c:minus>
            <c:spPr>
              <a:ln w="12700">
                <a:solidFill>
                  <a:srgbClr val="00B050"/>
                </a:solidFill>
              </a:ln>
            </c:spPr>
          </c:errBars>
          <c:xVal>
            <c:numRef>
              <c:f>'BMI-FlexAbsorb-10psi'!$M$4:$M$34</c:f>
              <c:numCache>
                <c:formatCode>General</c:formatCode>
                <c:ptCount val="31"/>
                <c:pt idx="0">
                  <c:v>1.48</c:v>
                </c:pt>
                <c:pt idx="1">
                  <c:v>2.4</c:v>
                </c:pt>
                <c:pt idx="2">
                  <c:v>5.119999999999997</c:v>
                </c:pt>
                <c:pt idx="3">
                  <c:v>8.44</c:v>
                </c:pt>
                <c:pt idx="4">
                  <c:v>13.84</c:v>
                </c:pt>
                <c:pt idx="5">
                  <c:v>19.67000000000001</c:v>
                </c:pt>
                <c:pt idx="6">
                  <c:v>25.5</c:v>
                </c:pt>
                <c:pt idx="7">
                  <c:v>33.94</c:v>
                </c:pt>
                <c:pt idx="8">
                  <c:v>37.03</c:v>
                </c:pt>
                <c:pt idx="9">
                  <c:v>42.75</c:v>
                </c:pt>
                <c:pt idx="10">
                  <c:v>48.27</c:v>
                </c:pt>
                <c:pt idx="11">
                  <c:v>53.89</c:v>
                </c:pt>
                <c:pt idx="12">
                  <c:v>59.59</c:v>
                </c:pt>
                <c:pt idx="13">
                  <c:v>64.99</c:v>
                </c:pt>
                <c:pt idx="14">
                  <c:v>71.52</c:v>
                </c:pt>
                <c:pt idx="15">
                  <c:v>76.7</c:v>
                </c:pt>
                <c:pt idx="16">
                  <c:v>82.41</c:v>
                </c:pt>
                <c:pt idx="17">
                  <c:v>88.3</c:v>
                </c:pt>
                <c:pt idx="18">
                  <c:v>94.35</c:v>
                </c:pt>
                <c:pt idx="19">
                  <c:v>99.69</c:v>
                </c:pt>
                <c:pt idx="20">
                  <c:v>104.73</c:v>
                </c:pt>
                <c:pt idx="21">
                  <c:v>110.3</c:v>
                </c:pt>
                <c:pt idx="22">
                  <c:v>115.93</c:v>
                </c:pt>
                <c:pt idx="23">
                  <c:v>122.86</c:v>
                </c:pt>
              </c:numCache>
            </c:numRef>
          </c:xVal>
          <c:yVal>
            <c:numRef>
              <c:f>'BMI-FlexAbsorb-10psi'!$N$4:$N$34</c:f>
              <c:numCache>
                <c:formatCode>General</c:formatCode>
                <c:ptCount val="31"/>
                <c:pt idx="0">
                  <c:v>1.0931</c:v>
                </c:pt>
                <c:pt idx="1">
                  <c:v>1.5064</c:v>
                </c:pt>
                <c:pt idx="2">
                  <c:v>2.5488</c:v>
                </c:pt>
                <c:pt idx="3">
                  <c:v>3.479699999999998</c:v>
                </c:pt>
                <c:pt idx="4">
                  <c:v>4.4607</c:v>
                </c:pt>
                <c:pt idx="5">
                  <c:v>4.9368</c:v>
                </c:pt>
                <c:pt idx="6">
                  <c:v>5.336</c:v>
                </c:pt>
                <c:pt idx="7">
                  <c:v>5.9902</c:v>
                </c:pt>
                <c:pt idx="8">
                  <c:v>6.2861</c:v>
                </c:pt>
                <c:pt idx="9">
                  <c:v>6.8799</c:v>
                </c:pt>
                <c:pt idx="10">
                  <c:v>7.354599999999989</c:v>
                </c:pt>
                <c:pt idx="11">
                  <c:v>7.7114</c:v>
                </c:pt>
                <c:pt idx="12">
                  <c:v>8.0394</c:v>
                </c:pt>
                <c:pt idx="13">
                  <c:v>8.193700000000001</c:v>
                </c:pt>
                <c:pt idx="14">
                  <c:v>8.393500000000002</c:v>
                </c:pt>
                <c:pt idx="15">
                  <c:v>8.5517</c:v>
                </c:pt>
                <c:pt idx="16">
                  <c:v>8.555800000000004</c:v>
                </c:pt>
                <c:pt idx="17">
                  <c:v>8.719100000000001</c:v>
                </c:pt>
                <c:pt idx="18">
                  <c:v>8.7294</c:v>
                </c:pt>
                <c:pt idx="19">
                  <c:v>8.7551</c:v>
                </c:pt>
                <c:pt idx="20">
                  <c:v>8.7711</c:v>
                </c:pt>
                <c:pt idx="21">
                  <c:v>8.8506</c:v>
                </c:pt>
                <c:pt idx="22">
                  <c:v>8.878900000000001</c:v>
                </c:pt>
                <c:pt idx="23">
                  <c:v>8.845600000000002</c:v>
                </c:pt>
              </c:numCache>
            </c:numRef>
          </c:yVal>
          <c:smooth val="0"/>
        </c:ser>
        <c:ser>
          <c:idx val="3"/>
          <c:order val="4"/>
          <c:tx>
            <c:v>99% RH</c:v>
          </c:tx>
          <c:spPr>
            <a:ln w="28575">
              <a:noFill/>
            </a:ln>
          </c:spPr>
          <c:marker>
            <c:symbol val="square"/>
            <c:size val="5"/>
            <c:spPr>
              <a:solidFill>
                <a:srgbClr val="7030A0">
                  <a:alpha val="50000"/>
                </a:srgbClr>
              </a:solidFill>
              <a:ln w="12700">
                <a:solidFill>
                  <a:sysClr val="windowText" lastClr="000000"/>
                </a:solidFill>
              </a:ln>
            </c:spPr>
          </c:marker>
          <c:errBars>
            <c:errDir val="y"/>
            <c:errBarType val="both"/>
            <c:errValType val="cust"/>
            <c:noEndCap val="0"/>
            <c:plus>
              <c:numRef>
                <c:f>'BMI-FlexAbsorb-10psi'!$U$4:$U$29</c:f>
                <c:numCache>
                  <c:formatCode>General</c:formatCode>
                  <c:ptCount val="26"/>
                  <c:pt idx="0">
                    <c:v>0.142</c:v>
                  </c:pt>
                  <c:pt idx="1">
                    <c:v>0.159</c:v>
                  </c:pt>
                  <c:pt idx="2">
                    <c:v>0.237</c:v>
                  </c:pt>
                  <c:pt idx="3">
                    <c:v>0.311</c:v>
                  </c:pt>
                  <c:pt idx="4">
                    <c:v>0.381</c:v>
                  </c:pt>
                  <c:pt idx="5">
                    <c:v>0.452</c:v>
                  </c:pt>
                  <c:pt idx="6">
                    <c:v>0.54</c:v>
                  </c:pt>
                  <c:pt idx="7">
                    <c:v>0.67</c:v>
                  </c:pt>
                  <c:pt idx="8">
                    <c:v>0.702</c:v>
                  </c:pt>
                  <c:pt idx="9">
                    <c:v>0.74</c:v>
                  </c:pt>
                  <c:pt idx="10">
                    <c:v>0.749</c:v>
                  </c:pt>
                  <c:pt idx="11">
                    <c:v>0.762</c:v>
                  </c:pt>
                  <c:pt idx="12">
                    <c:v>0.792</c:v>
                  </c:pt>
                  <c:pt idx="13">
                    <c:v>0.817</c:v>
                  </c:pt>
                  <c:pt idx="14">
                    <c:v>0.823</c:v>
                  </c:pt>
                  <c:pt idx="15">
                    <c:v>0.789</c:v>
                  </c:pt>
                  <c:pt idx="16">
                    <c:v>0.795</c:v>
                  </c:pt>
                  <c:pt idx="17">
                    <c:v>0.815</c:v>
                  </c:pt>
                  <c:pt idx="18">
                    <c:v>0.772</c:v>
                  </c:pt>
                  <c:pt idx="19">
                    <c:v>0.766</c:v>
                  </c:pt>
                  <c:pt idx="20">
                    <c:v>0.789</c:v>
                  </c:pt>
                  <c:pt idx="21">
                    <c:v>0.804</c:v>
                  </c:pt>
                  <c:pt idx="22">
                    <c:v>0.807</c:v>
                  </c:pt>
                  <c:pt idx="23">
                    <c:v>0.793</c:v>
                  </c:pt>
                </c:numCache>
              </c:numRef>
            </c:plus>
            <c:minus>
              <c:numRef>
                <c:f>'BMI-FlexAbsorb-10psi'!$U$4:$U$29</c:f>
                <c:numCache>
                  <c:formatCode>General</c:formatCode>
                  <c:ptCount val="26"/>
                  <c:pt idx="0">
                    <c:v>0.142</c:v>
                  </c:pt>
                  <c:pt idx="1">
                    <c:v>0.159</c:v>
                  </c:pt>
                  <c:pt idx="2">
                    <c:v>0.237</c:v>
                  </c:pt>
                  <c:pt idx="3">
                    <c:v>0.311</c:v>
                  </c:pt>
                  <c:pt idx="4">
                    <c:v>0.381</c:v>
                  </c:pt>
                  <c:pt idx="5">
                    <c:v>0.452</c:v>
                  </c:pt>
                  <c:pt idx="6">
                    <c:v>0.54</c:v>
                  </c:pt>
                  <c:pt idx="7">
                    <c:v>0.67</c:v>
                  </c:pt>
                  <c:pt idx="8">
                    <c:v>0.702</c:v>
                  </c:pt>
                  <c:pt idx="9">
                    <c:v>0.74</c:v>
                  </c:pt>
                  <c:pt idx="10">
                    <c:v>0.749</c:v>
                  </c:pt>
                  <c:pt idx="11">
                    <c:v>0.762</c:v>
                  </c:pt>
                  <c:pt idx="12">
                    <c:v>0.792</c:v>
                  </c:pt>
                  <c:pt idx="13">
                    <c:v>0.817</c:v>
                  </c:pt>
                  <c:pt idx="14">
                    <c:v>0.823</c:v>
                  </c:pt>
                  <c:pt idx="15">
                    <c:v>0.789</c:v>
                  </c:pt>
                  <c:pt idx="16">
                    <c:v>0.795</c:v>
                  </c:pt>
                  <c:pt idx="17">
                    <c:v>0.815</c:v>
                  </c:pt>
                  <c:pt idx="18">
                    <c:v>0.772</c:v>
                  </c:pt>
                  <c:pt idx="19">
                    <c:v>0.766</c:v>
                  </c:pt>
                  <c:pt idx="20">
                    <c:v>0.789</c:v>
                  </c:pt>
                  <c:pt idx="21">
                    <c:v>0.804</c:v>
                  </c:pt>
                  <c:pt idx="22">
                    <c:v>0.807</c:v>
                  </c:pt>
                  <c:pt idx="23">
                    <c:v>0.793</c:v>
                  </c:pt>
                </c:numCache>
              </c:numRef>
            </c:minus>
            <c:spPr>
              <a:ln w="12700">
                <a:solidFill>
                  <a:srgbClr val="7030A0"/>
                </a:solidFill>
              </a:ln>
            </c:spPr>
          </c:errBars>
          <c:xVal>
            <c:numRef>
              <c:f>'BMI-FlexAbsorb-10psi'!$S$4:$S$34</c:f>
              <c:numCache>
                <c:formatCode>General</c:formatCode>
                <c:ptCount val="31"/>
                <c:pt idx="0">
                  <c:v>1.52</c:v>
                </c:pt>
                <c:pt idx="1">
                  <c:v>2.42</c:v>
                </c:pt>
                <c:pt idx="2">
                  <c:v>5.13</c:v>
                </c:pt>
                <c:pt idx="3">
                  <c:v>8.44</c:v>
                </c:pt>
                <c:pt idx="4">
                  <c:v>13.84</c:v>
                </c:pt>
                <c:pt idx="5">
                  <c:v>19.67000000000001</c:v>
                </c:pt>
                <c:pt idx="6">
                  <c:v>25.5</c:v>
                </c:pt>
                <c:pt idx="7">
                  <c:v>33.94</c:v>
                </c:pt>
                <c:pt idx="8">
                  <c:v>37.04</c:v>
                </c:pt>
                <c:pt idx="9">
                  <c:v>42.75</c:v>
                </c:pt>
                <c:pt idx="10">
                  <c:v>48.28</c:v>
                </c:pt>
                <c:pt idx="11">
                  <c:v>53.89</c:v>
                </c:pt>
                <c:pt idx="12">
                  <c:v>59.59</c:v>
                </c:pt>
                <c:pt idx="13">
                  <c:v>64.99</c:v>
                </c:pt>
                <c:pt idx="14">
                  <c:v>71.53</c:v>
                </c:pt>
                <c:pt idx="15">
                  <c:v>76.7</c:v>
                </c:pt>
                <c:pt idx="16">
                  <c:v>82.41</c:v>
                </c:pt>
                <c:pt idx="17">
                  <c:v>88.3</c:v>
                </c:pt>
                <c:pt idx="18">
                  <c:v>94.35</c:v>
                </c:pt>
                <c:pt idx="19">
                  <c:v>99.69</c:v>
                </c:pt>
                <c:pt idx="20">
                  <c:v>104.73</c:v>
                </c:pt>
                <c:pt idx="21">
                  <c:v>110.3</c:v>
                </c:pt>
                <c:pt idx="22">
                  <c:v>115.93</c:v>
                </c:pt>
                <c:pt idx="23">
                  <c:v>122.86</c:v>
                </c:pt>
              </c:numCache>
            </c:numRef>
          </c:xVal>
          <c:yVal>
            <c:numRef>
              <c:f>'BMI-FlexAbsorb-10psi'!$T$4:$T$34</c:f>
              <c:numCache>
                <c:formatCode>General</c:formatCode>
                <c:ptCount val="31"/>
                <c:pt idx="0">
                  <c:v>1.1865</c:v>
                </c:pt>
                <c:pt idx="1">
                  <c:v>1.6143</c:v>
                </c:pt>
                <c:pt idx="2">
                  <c:v>2.627</c:v>
                </c:pt>
                <c:pt idx="3">
                  <c:v>3.4967</c:v>
                </c:pt>
                <c:pt idx="4">
                  <c:v>4.3297</c:v>
                </c:pt>
                <c:pt idx="5">
                  <c:v>4.7032</c:v>
                </c:pt>
                <c:pt idx="6">
                  <c:v>5.0168</c:v>
                </c:pt>
                <c:pt idx="7">
                  <c:v>5.7113</c:v>
                </c:pt>
                <c:pt idx="8">
                  <c:v>6.0682</c:v>
                </c:pt>
                <c:pt idx="9">
                  <c:v>6.4989</c:v>
                </c:pt>
                <c:pt idx="10">
                  <c:v>6.9139</c:v>
                </c:pt>
                <c:pt idx="11">
                  <c:v>7.2235</c:v>
                </c:pt>
                <c:pt idx="12">
                  <c:v>7.524899999999985</c:v>
                </c:pt>
                <c:pt idx="13">
                  <c:v>7.635099999999999</c:v>
                </c:pt>
                <c:pt idx="14">
                  <c:v>7.812099999999996</c:v>
                </c:pt>
                <c:pt idx="15">
                  <c:v>7.895999999999995</c:v>
                </c:pt>
                <c:pt idx="16">
                  <c:v>7.9385</c:v>
                </c:pt>
                <c:pt idx="17">
                  <c:v>8.063500000000002</c:v>
                </c:pt>
                <c:pt idx="18">
                  <c:v>7.987</c:v>
                </c:pt>
                <c:pt idx="19">
                  <c:v>8.0576</c:v>
                </c:pt>
                <c:pt idx="20">
                  <c:v>8.0492</c:v>
                </c:pt>
                <c:pt idx="21">
                  <c:v>8.172600000000002</c:v>
                </c:pt>
                <c:pt idx="22">
                  <c:v>8.2087</c:v>
                </c:pt>
                <c:pt idx="23">
                  <c:v>8.1753</c:v>
                </c:pt>
              </c:numCache>
            </c:numRef>
          </c:yVal>
          <c:smooth val="0"/>
        </c:ser>
        <c:dLbls>
          <c:showLegendKey val="0"/>
          <c:showVal val="0"/>
          <c:showCatName val="0"/>
          <c:showSerName val="0"/>
          <c:showPercent val="0"/>
          <c:showBubbleSize val="0"/>
        </c:dLbls>
        <c:axId val="564478248"/>
        <c:axId val="564434888"/>
      </c:scatterChart>
      <c:valAx>
        <c:axId val="564478248"/>
        <c:scaling>
          <c:orientation val="minMax"/>
          <c:max val="19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564434888"/>
        <c:crosses val="autoZero"/>
        <c:crossBetween val="midCat"/>
        <c:minorUnit val="12.5"/>
      </c:valAx>
      <c:valAx>
        <c:axId val="564434888"/>
        <c:scaling>
          <c:orientation val="minMax"/>
          <c:max val="11.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564478248"/>
        <c:crosses val="autoZero"/>
        <c:crossBetween val="midCat"/>
        <c:majorUnit val="2.0"/>
        <c:minorUnit val="0.5"/>
      </c:valAx>
      <c:spPr>
        <a:ln w="19050">
          <a:solidFill>
            <a:sysClr val="windowText" lastClr="000000"/>
          </a:solidFill>
        </a:ln>
      </c:spPr>
    </c:plotArea>
    <c:legend>
      <c:legendPos val="r"/>
      <c:legendEntry>
        <c:idx val="0"/>
        <c:delete val="1"/>
      </c:legendEntry>
      <c:layout>
        <c:manualLayout>
          <c:xMode val="edge"/>
          <c:yMode val="edge"/>
          <c:x val="0.436545991930575"/>
          <c:y val="0.0381704478087255"/>
          <c:w val="0.475908776409753"/>
          <c:h val="0.10001155057128"/>
        </c:manualLayout>
      </c:layout>
      <c:overlay val="1"/>
      <c:spPr>
        <a:solidFill>
          <a:schemeClr val="bg1"/>
        </a:solidFill>
      </c:spPr>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3711019173451"/>
          <c:y val="0.0333333333333333"/>
          <c:w val="0.750570903213369"/>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square"/>
            <c:size val="5"/>
            <c:spPr>
              <a:solidFill>
                <a:srgbClr val="0070C0">
                  <a:alpha val="50000"/>
                </a:srgbClr>
              </a:solidFill>
              <a:ln w="12700">
                <a:solidFill>
                  <a:schemeClr val="tx1"/>
                </a:solidFill>
              </a:ln>
            </c:spPr>
          </c:marker>
          <c:errBars>
            <c:errDir val="y"/>
            <c:errBarType val="both"/>
            <c:errValType val="cust"/>
            <c:noEndCap val="0"/>
            <c:plus>
              <c:numRef>
                <c:f>'BMI-FlexAbsorb-30psi'!$C$4:$C$29</c:f>
                <c:numCache>
                  <c:formatCode>General</c:formatCode>
                  <c:ptCount val="26"/>
                  <c:pt idx="0">
                    <c:v>0.044</c:v>
                  </c:pt>
                  <c:pt idx="1">
                    <c:v>0.049</c:v>
                  </c:pt>
                  <c:pt idx="2">
                    <c:v>0.117</c:v>
                  </c:pt>
                  <c:pt idx="3">
                    <c:v>0.187</c:v>
                  </c:pt>
                  <c:pt idx="4">
                    <c:v>0.25</c:v>
                  </c:pt>
                  <c:pt idx="5">
                    <c:v>0.289</c:v>
                  </c:pt>
                  <c:pt idx="6">
                    <c:v>0.317</c:v>
                  </c:pt>
                  <c:pt idx="7">
                    <c:v>0.301</c:v>
                  </c:pt>
                  <c:pt idx="8">
                    <c:v>0.339</c:v>
                  </c:pt>
                  <c:pt idx="9">
                    <c:v>0.323</c:v>
                  </c:pt>
                  <c:pt idx="10">
                    <c:v>0.337</c:v>
                  </c:pt>
                  <c:pt idx="11">
                    <c:v>0.329</c:v>
                  </c:pt>
                  <c:pt idx="12">
                    <c:v>0.323</c:v>
                  </c:pt>
                  <c:pt idx="13">
                    <c:v>0.29</c:v>
                  </c:pt>
                  <c:pt idx="14">
                    <c:v>0.302</c:v>
                  </c:pt>
                  <c:pt idx="15">
                    <c:v>0.327</c:v>
                  </c:pt>
                  <c:pt idx="16">
                    <c:v>0.291</c:v>
                  </c:pt>
                  <c:pt idx="17">
                    <c:v>0.304</c:v>
                  </c:pt>
                  <c:pt idx="18">
                    <c:v>0.297</c:v>
                  </c:pt>
                  <c:pt idx="19">
                    <c:v>0.349</c:v>
                  </c:pt>
                  <c:pt idx="20">
                    <c:v>0.299</c:v>
                  </c:pt>
                  <c:pt idx="21">
                    <c:v>0.305</c:v>
                  </c:pt>
                  <c:pt idx="22">
                    <c:v>0.32</c:v>
                  </c:pt>
                  <c:pt idx="23">
                    <c:v>0.307</c:v>
                  </c:pt>
                </c:numCache>
              </c:numRef>
            </c:plus>
            <c:minus>
              <c:numRef>
                <c:f>'BMI-FlexAbsorb-30psi'!$C$4:$C$29</c:f>
                <c:numCache>
                  <c:formatCode>General</c:formatCode>
                  <c:ptCount val="26"/>
                  <c:pt idx="0">
                    <c:v>0.044</c:v>
                  </c:pt>
                  <c:pt idx="1">
                    <c:v>0.049</c:v>
                  </c:pt>
                  <c:pt idx="2">
                    <c:v>0.117</c:v>
                  </c:pt>
                  <c:pt idx="3">
                    <c:v>0.187</c:v>
                  </c:pt>
                  <c:pt idx="4">
                    <c:v>0.25</c:v>
                  </c:pt>
                  <c:pt idx="5">
                    <c:v>0.289</c:v>
                  </c:pt>
                  <c:pt idx="6">
                    <c:v>0.317</c:v>
                  </c:pt>
                  <c:pt idx="7">
                    <c:v>0.301</c:v>
                  </c:pt>
                  <c:pt idx="8">
                    <c:v>0.339</c:v>
                  </c:pt>
                  <c:pt idx="9">
                    <c:v>0.323</c:v>
                  </c:pt>
                  <c:pt idx="10">
                    <c:v>0.337</c:v>
                  </c:pt>
                  <c:pt idx="11">
                    <c:v>0.329</c:v>
                  </c:pt>
                  <c:pt idx="12">
                    <c:v>0.323</c:v>
                  </c:pt>
                  <c:pt idx="13">
                    <c:v>0.29</c:v>
                  </c:pt>
                  <c:pt idx="14">
                    <c:v>0.302</c:v>
                  </c:pt>
                  <c:pt idx="15">
                    <c:v>0.327</c:v>
                  </c:pt>
                  <c:pt idx="16">
                    <c:v>0.291</c:v>
                  </c:pt>
                  <c:pt idx="17">
                    <c:v>0.304</c:v>
                  </c:pt>
                  <c:pt idx="18">
                    <c:v>0.297</c:v>
                  </c:pt>
                  <c:pt idx="19">
                    <c:v>0.349</c:v>
                  </c:pt>
                  <c:pt idx="20">
                    <c:v>0.299</c:v>
                  </c:pt>
                  <c:pt idx="21">
                    <c:v>0.305</c:v>
                  </c:pt>
                  <c:pt idx="22">
                    <c:v>0.32</c:v>
                  </c:pt>
                  <c:pt idx="23">
                    <c:v>0.307</c:v>
                  </c:pt>
                </c:numCache>
              </c:numRef>
            </c:minus>
            <c:spPr>
              <a:ln w="12700">
                <a:solidFill>
                  <a:srgbClr val="0070C0"/>
                </a:solidFill>
              </a:ln>
            </c:spPr>
          </c:errBars>
          <c:xVal>
            <c:numRef>
              <c:f>'BMI-FlexAbsorb-30psi'!$A$4:$A$34</c:f>
              <c:numCache>
                <c:formatCode>General</c:formatCode>
                <c:ptCount val="31"/>
                <c:pt idx="0">
                  <c:v>1.41</c:v>
                </c:pt>
                <c:pt idx="1">
                  <c:v>2.36</c:v>
                </c:pt>
                <c:pt idx="2">
                  <c:v>5.23</c:v>
                </c:pt>
                <c:pt idx="3">
                  <c:v>8.710000000000001</c:v>
                </c:pt>
                <c:pt idx="4">
                  <c:v>13.83</c:v>
                </c:pt>
                <c:pt idx="5">
                  <c:v>19.67000000000001</c:v>
                </c:pt>
                <c:pt idx="6">
                  <c:v>25.5</c:v>
                </c:pt>
                <c:pt idx="7">
                  <c:v>33.93</c:v>
                </c:pt>
                <c:pt idx="8">
                  <c:v>37.03</c:v>
                </c:pt>
                <c:pt idx="9">
                  <c:v>42.74</c:v>
                </c:pt>
                <c:pt idx="10">
                  <c:v>48.27</c:v>
                </c:pt>
                <c:pt idx="11">
                  <c:v>53.89</c:v>
                </c:pt>
                <c:pt idx="12">
                  <c:v>59.58</c:v>
                </c:pt>
                <c:pt idx="13">
                  <c:v>64.99</c:v>
                </c:pt>
                <c:pt idx="14">
                  <c:v>71.52</c:v>
                </c:pt>
                <c:pt idx="15">
                  <c:v>76.7</c:v>
                </c:pt>
                <c:pt idx="16">
                  <c:v>82.41</c:v>
                </c:pt>
                <c:pt idx="17">
                  <c:v>88.3</c:v>
                </c:pt>
                <c:pt idx="18">
                  <c:v>94.34</c:v>
                </c:pt>
                <c:pt idx="19">
                  <c:v>99.67999999999998</c:v>
                </c:pt>
                <c:pt idx="20">
                  <c:v>104.73</c:v>
                </c:pt>
                <c:pt idx="21">
                  <c:v>110.3</c:v>
                </c:pt>
                <c:pt idx="22">
                  <c:v>115.93</c:v>
                </c:pt>
                <c:pt idx="23">
                  <c:v>122.86</c:v>
                </c:pt>
                <c:pt idx="30">
                  <c:v>138.54</c:v>
                </c:pt>
              </c:numCache>
            </c:numRef>
          </c:xVal>
          <c:yVal>
            <c:numRef>
              <c:f>'BMI-FlexAbsorb-30psi'!$B$4:$B$34</c:f>
              <c:numCache>
                <c:formatCode>General</c:formatCode>
                <c:ptCount val="31"/>
                <c:pt idx="0">
                  <c:v>0.2618</c:v>
                </c:pt>
                <c:pt idx="1">
                  <c:v>0.3414</c:v>
                </c:pt>
                <c:pt idx="2">
                  <c:v>0.5282</c:v>
                </c:pt>
                <c:pt idx="3">
                  <c:v>0.7232</c:v>
                </c:pt>
                <c:pt idx="4">
                  <c:v>0.9039</c:v>
                </c:pt>
                <c:pt idx="5">
                  <c:v>1.0633</c:v>
                </c:pt>
                <c:pt idx="6">
                  <c:v>1.2011</c:v>
                </c:pt>
                <c:pt idx="7">
                  <c:v>1.3061</c:v>
                </c:pt>
                <c:pt idx="8">
                  <c:v>1.3404</c:v>
                </c:pt>
                <c:pt idx="9">
                  <c:v>1.3754</c:v>
                </c:pt>
                <c:pt idx="10">
                  <c:v>1.4737</c:v>
                </c:pt>
                <c:pt idx="11">
                  <c:v>1.4607</c:v>
                </c:pt>
                <c:pt idx="12">
                  <c:v>1.5632</c:v>
                </c:pt>
                <c:pt idx="13">
                  <c:v>1.5999</c:v>
                </c:pt>
                <c:pt idx="14">
                  <c:v>1.751</c:v>
                </c:pt>
                <c:pt idx="15">
                  <c:v>1.8098</c:v>
                </c:pt>
                <c:pt idx="16">
                  <c:v>1.8363</c:v>
                </c:pt>
                <c:pt idx="17">
                  <c:v>1.8717</c:v>
                </c:pt>
                <c:pt idx="18">
                  <c:v>1.8833</c:v>
                </c:pt>
                <c:pt idx="19">
                  <c:v>2.012799999999999</c:v>
                </c:pt>
                <c:pt idx="20">
                  <c:v>2.0731</c:v>
                </c:pt>
                <c:pt idx="21">
                  <c:v>2.116099999999999</c:v>
                </c:pt>
                <c:pt idx="22">
                  <c:v>2.1249</c:v>
                </c:pt>
                <c:pt idx="23">
                  <c:v>2.1282</c:v>
                </c:pt>
              </c:numCache>
            </c:numRef>
          </c:yVal>
          <c:smooth val="0"/>
        </c:ser>
        <c:ser>
          <c:idx val="1"/>
          <c:order val="2"/>
          <c:tx>
            <c:v>40% RH</c:v>
          </c:tx>
          <c:spPr>
            <a:ln w="28575">
              <a:noFill/>
            </a:ln>
          </c:spPr>
          <c:marker>
            <c:symbol val="square"/>
            <c:size val="5"/>
            <c:spPr>
              <a:solidFill>
                <a:srgbClr val="C00000">
                  <a:alpha val="50000"/>
                </a:srgbClr>
              </a:solidFill>
              <a:ln w="12700">
                <a:solidFill>
                  <a:sysClr val="windowText" lastClr="000000"/>
                </a:solidFill>
              </a:ln>
            </c:spPr>
          </c:marker>
          <c:errBars>
            <c:errDir val="y"/>
            <c:errBarType val="both"/>
            <c:errValType val="cust"/>
            <c:noEndCap val="0"/>
            <c:plus>
              <c:numRef>
                <c:f>'BMI-FlexAbsorb-30psi'!$I$4:$I$29</c:f>
                <c:numCache>
                  <c:formatCode>General</c:formatCode>
                  <c:ptCount val="26"/>
                  <c:pt idx="0">
                    <c:v>0.029</c:v>
                  </c:pt>
                  <c:pt idx="1">
                    <c:v>0.06</c:v>
                  </c:pt>
                  <c:pt idx="2">
                    <c:v>0.155</c:v>
                  </c:pt>
                  <c:pt idx="3">
                    <c:v>0.257</c:v>
                  </c:pt>
                  <c:pt idx="4">
                    <c:v>0.355</c:v>
                  </c:pt>
                  <c:pt idx="5">
                    <c:v>0.4</c:v>
                  </c:pt>
                  <c:pt idx="6">
                    <c:v>0.428</c:v>
                  </c:pt>
                  <c:pt idx="7">
                    <c:v>0.451</c:v>
                  </c:pt>
                  <c:pt idx="8">
                    <c:v>0.464</c:v>
                  </c:pt>
                  <c:pt idx="9">
                    <c:v>0.458</c:v>
                  </c:pt>
                  <c:pt idx="10">
                    <c:v>0.479</c:v>
                  </c:pt>
                  <c:pt idx="11">
                    <c:v>0.461</c:v>
                  </c:pt>
                  <c:pt idx="12">
                    <c:v>0.475</c:v>
                  </c:pt>
                  <c:pt idx="13">
                    <c:v>0.464</c:v>
                  </c:pt>
                  <c:pt idx="14">
                    <c:v>0.497</c:v>
                  </c:pt>
                  <c:pt idx="15">
                    <c:v>0.509</c:v>
                  </c:pt>
                  <c:pt idx="16">
                    <c:v>0.5</c:v>
                  </c:pt>
                  <c:pt idx="17">
                    <c:v>0.511</c:v>
                  </c:pt>
                  <c:pt idx="18">
                    <c:v>0.538</c:v>
                  </c:pt>
                  <c:pt idx="19">
                    <c:v>0.539</c:v>
                  </c:pt>
                  <c:pt idx="20">
                    <c:v>0.526</c:v>
                  </c:pt>
                  <c:pt idx="21">
                    <c:v>0.548</c:v>
                  </c:pt>
                  <c:pt idx="22">
                    <c:v>0.562</c:v>
                  </c:pt>
                  <c:pt idx="23">
                    <c:v>0.537</c:v>
                  </c:pt>
                </c:numCache>
              </c:numRef>
            </c:plus>
            <c:minus>
              <c:numRef>
                <c:f>'BMI-FlexAbsorb-30psi'!$I$4:$I$29</c:f>
                <c:numCache>
                  <c:formatCode>General</c:formatCode>
                  <c:ptCount val="26"/>
                  <c:pt idx="0">
                    <c:v>0.029</c:v>
                  </c:pt>
                  <c:pt idx="1">
                    <c:v>0.06</c:v>
                  </c:pt>
                  <c:pt idx="2">
                    <c:v>0.155</c:v>
                  </c:pt>
                  <c:pt idx="3">
                    <c:v>0.257</c:v>
                  </c:pt>
                  <c:pt idx="4">
                    <c:v>0.355</c:v>
                  </c:pt>
                  <c:pt idx="5">
                    <c:v>0.4</c:v>
                  </c:pt>
                  <c:pt idx="6">
                    <c:v>0.428</c:v>
                  </c:pt>
                  <c:pt idx="7">
                    <c:v>0.451</c:v>
                  </c:pt>
                  <c:pt idx="8">
                    <c:v>0.464</c:v>
                  </c:pt>
                  <c:pt idx="9">
                    <c:v>0.458</c:v>
                  </c:pt>
                  <c:pt idx="10">
                    <c:v>0.479</c:v>
                  </c:pt>
                  <c:pt idx="11">
                    <c:v>0.461</c:v>
                  </c:pt>
                  <c:pt idx="12">
                    <c:v>0.475</c:v>
                  </c:pt>
                  <c:pt idx="13">
                    <c:v>0.464</c:v>
                  </c:pt>
                  <c:pt idx="14">
                    <c:v>0.497</c:v>
                  </c:pt>
                  <c:pt idx="15">
                    <c:v>0.509</c:v>
                  </c:pt>
                  <c:pt idx="16">
                    <c:v>0.5</c:v>
                  </c:pt>
                  <c:pt idx="17">
                    <c:v>0.511</c:v>
                  </c:pt>
                  <c:pt idx="18">
                    <c:v>0.538</c:v>
                  </c:pt>
                  <c:pt idx="19">
                    <c:v>0.539</c:v>
                  </c:pt>
                  <c:pt idx="20">
                    <c:v>0.526</c:v>
                  </c:pt>
                  <c:pt idx="21">
                    <c:v>0.548</c:v>
                  </c:pt>
                  <c:pt idx="22">
                    <c:v>0.562</c:v>
                  </c:pt>
                  <c:pt idx="23">
                    <c:v>0.537</c:v>
                  </c:pt>
                </c:numCache>
              </c:numRef>
            </c:minus>
            <c:spPr>
              <a:ln w="12700">
                <a:solidFill>
                  <a:srgbClr val="C00000"/>
                </a:solidFill>
              </a:ln>
            </c:spPr>
          </c:errBars>
          <c:xVal>
            <c:numRef>
              <c:f>'BMI-FlexAbsorb-30psi'!$G$4:$G$34</c:f>
              <c:numCache>
                <c:formatCode>General</c:formatCode>
                <c:ptCount val="31"/>
                <c:pt idx="0">
                  <c:v>1.46</c:v>
                </c:pt>
                <c:pt idx="1">
                  <c:v>2.38</c:v>
                </c:pt>
                <c:pt idx="2">
                  <c:v>5.24</c:v>
                </c:pt>
                <c:pt idx="3">
                  <c:v>8.719999999999998</c:v>
                </c:pt>
                <c:pt idx="4">
                  <c:v>13.84</c:v>
                </c:pt>
                <c:pt idx="5">
                  <c:v>19.67000000000001</c:v>
                </c:pt>
                <c:pt idx="6">
                  <c:v>25.5</c:v>
                </c:pt>
                <c:pt idx="7">
                  <c:v>33.94</c:v>
                </c:pt>
                <c:pt idx="8">
                  <c:v>37.04</c:v>
                </c:pt>
                <c:pt idx="9">
                  <c:v>42.75</c:v>
                </c:pt>
                <c:pt idx="10">
                  <c:v>48.27</c:v>
                </c:pt>
                <c:pt idx="11">
                  <c:v>53.89</c:v>
                </c:pt>
                <c:pt idx="12">
                  <c:v>59.59</c:v>
                </c:pt>
                <c:pt idx="13">
                  <c:v>64.99</c:v>
                </c:pt>
                <c:pt idx="14">
                  <c:v>71.52</c:v>
                </c:pt>
                <c:pt idx="15">
                  <c:v>76.7</c:v>
                </c:pt>
                <c:pt idx="16">
                  <c:v>82.41</c:v>
                </c:pt>
                <c:pt idx="17">
                  <c:v>88.3</c:v>
                </c:pt>
                <c:pt idx="18">
                  <c:v>94.35</c:v>
                </c:pt>
                <c:pt idx="19">
                  <c:v>99.69</c:v>
                </c:pt>
                <c:pt idx="20">
                  <c:v>104.73</c:v>
                </c:pt>
                <c:pt idx="21">
                  <c:v>110.3</c:v>
                </c:pt>
                <c:pt idx="22">
                  <c:v>115.93</c:v>
                </c:pt>
                <c:pt idx="23">
                  <c:v>122.87</c:v>
                </c:pt>
              </c:numCache>
            </c:numRef>
          </c:xVal>
          <c:yVal>
            <c:numRef>
              <c:f>'BMI-FlexAbsorb-30psi'!$H$4:$H$34</c:f>
              <c:numCache>
                <c:formatCode>General</c:formatCode>
                <c:ptCount val="31"/>
                <c:pt idx="0">
                  <c:v>0.3342</c:v>
                </c:pt>
                <c:pt idx="1">
                  <c:v>0.4574</c:v>
                </c:pt>
                <c:pt idx="2">
                  <c:v>0.8138</c:v>
                </c:pt>
                <c:pt idx="3">
                  <c:v>1.1644</c:v>
                </c:pt>
                <c:pt idx="4">
                  <c:v>1.5202</c:v>
                </c:pt>
                <c:pt idx="5">
                  <c:v>1.7565</c:v>
                </c:pt>
                <c:pt idx="6">
                  <c:v>1.9495</c:v>
                </c:pt>
                <c:pt idx="7">
                  <c:v>2.094</c:v>
                </c:pt>
                <c:pt idx="8">
                  <c:v>2.1002</c:v>
                </c:pt>
                <c:pt idx="9">
                  <c:v>2.3424</c:v>
                </c:pt>
                <c:pt idx="10">
                  <c:v>2.5335</c:v>
                </c:pt>
                <c:pt idx="11">
                  <c:v>2.6231</c:v>
                </c:pt>
                <c:pt idx="12">
                  <c:v>2.7119</c:v>
                </c:pt>
                <c:pt idx="13">
                  <c:v>2.7135</c:v>
                </c:pt>
                <c:pt idx="14">
                  <c:v>2.7698</c:v>
                </c:pt>
                <c:pt idx="15">
                  <c:v>2.7954</c:v>
                </c:pt>
                <c:pt idx="16">
                  <c:v>2.7834</c:v>
                </c:pt>
                <c:pt idx="17">
                  <c:v>2.8351</c:v>
                </c:pt>
                <c:pt idx="18">
                  <c:v>2.8371</c:v>
                </c:pt>
                <c:pt idx="19">
                  <c:v>2.869499999999999</c:v>
                </c:pt>
                <c:pt idx="20">
                  <c:v>2.8276</c:v>
                </c:pt>
                <c:pt idx="21">
                  <c:v>2.837899999999998</c:v>
                </c:pt>
                <c:pt idx="22">
                  <c:v>2.8889</c:v>
                </c:pt>
                <c:pt idx="23">
                  <c:v>2.8913</c:v>
                </c:pt>
              </c:numCache>
            </c:numRef>
          </c:yVal>
          <c:smooth val="0"/>
        </c:ser>
        <c:ser>
          <c:idx val="2"/>
          <c:order val="3"/>
          <c:tx>
            <c:v>70% RH</c:v>
          </c:tx>
          <c:spPr>
            <a:ln w="28575">
              <a:noFill/>
            </a:ln>
          </c:spPr>
          <c:marker>
            <c:symbol val="square"/>
            <c:size val="5"/>
            <c:spPr>
              <a:solidFill>
                <a:srgbClr val="00B050">
                  <a:alpha val="50000"/>
                </a:srgbClr>
              </a:solidFill>
              <a:ln w="12700">
                <a:solidFill>
                  <a:sysClr val="windowText" lastClr="000000"/>
                </a:solidFill>
              </a:ln>
            </c:spPr>
          </c:marker>
          <c:errBars>
            <c:errDir val="y"/>
            <c:errBarType val="both"/>
            <c:errValType val="cust"/>
            <c:noEndCap val="0"/>
            <c:plus>
              <c:numRef>
                <c:f>'BMI-FlexAbsorb-30psi'!$O$4:$O$29</c:f>
                <c:numCache>
                  <c:formatCode>General</c:formatCode>
                  <c:ptCount val="26"/>
                  <c:pt idx="0">
                    <c:v>0.087</c:v>
                  </c:pt>
                  <c:pt idx="1">
                    <c:v>0.095</c:v>
                  </c:pt>
                  <c:pt idx="2">
                    <c:v>0.119</c:v>
                  </c:pt>
                  <c:pt idx="3">
                    <c:v>0.138</c:v>
                  </c:pt>
                  <c:pt idx="4">
                    <c:v>0.15</c:v>
                  </c:pt>
                  <c:pt idx="5">
                    <c:v>0.17</c:v>
                  </c:pt>
                  <c:pt idx="6">
                    <c:v>0.185</c:v>
                  </c:pt>
                  <c:pt idx="7">
                    <c:v>0.272</c:v>
                  </c:pt>
                  <c:pt idx="8">
                    <c:v>0.272</c:v>
                  </c:pt>
                  <c:pt idx="9">
                    <c:v>0.298</c:v>
                  </c:pt>
                  <c:pt idx="10">
                    <c:v>0.313</c:v>
                  </c:pt>
                  <c:pt idx="11">
                    <c:v>0.34</c:v>
                  </c:pt>
                  <c:pt idx="12">
                    <c:v>0.346</c:v>
                  </c:pt>
                  <c:pt idx="13">
                    <c:v>0.365</c:v>
                  </c:pt>
                  <c:pt idx="14">
                    <c:v>0.383</c:v>
                  </c:pt>
                  <c:pt idx="15">
                    <c:v>0.388</c:v>
                  </c:pt>
                  <c:pt idx="16">
                    <c:v>0.399</c:v>
                  </c:pt>
                  <c:pt idx="17">
                    <c:v>0.41</c:v>
                  </c:pt>
                  <c:pt idx="18">
                    <c:v>0.414</c:v>
                  </c:pt>
                  <c:pt idx="19">
                    <c:v>0.414</c:v>
                  </c:pt>
                  <c:pt idx="20">
                    <c:v>0.419</c:v>
                  </c:pt>
                  <c:pt idx="21">
                    <c:v>0.396</c:v>
                  </c:pt>
                  <c:pt idx="22">
                    <c:v>0.41</c:v>
                  </c:pt>
                  <c:pt idx="23">
                    <c:v>0.418</c:v>
                  </c:pt>
                </c:numCache>
              </c:numRef>
            </c:plus>
            <c:minus>
              <c:numRef>
                <c:f>'BMI-FlexAbsorb-30psi'!$O$4:$O$29</c:f>
                <c:numCache>
                  <c:formatCode>General</c:formatCode>
                  <c:ptCount val="26"/>
                  <c:pt idx="0">
                    <c:v>0.087</c:v>
                  </c:pt>
                  <c:pt idx="1">
                    <c:v>0.095</c:v>
                  </c:pt>
                  <c:pt idx="2">
                    <c:v>0.119</c:v>
                  </c:pt>
                  <c:pt idx="3">
                    <c:v>0.138</c:v>
                  </c:pt>
                  <c:pt idx="4">
                    <c:v>0.15</c:v>
                  </c:pt>
                  <c:pt idx="5">
                    <c:v>0.17</c:v>
                  </c:pt>
                  <c:pt idx="6">
                    <c:v>0.185</c:v>
                  </c:pt>
                  <c:pt idx="7">
                    <c:v>0.272</c:v>
                  </c:pt>
                  <c:pt idx="8">
                    <c:v>0.272</c:v>
                  </c:pt>
                  <c:pt idx="9">
                    <c:v>0.298</c:v>
                  </c:pt>
                  <c:pt idx="10">
                    <c:v>0.313</c:v>
                  </c:pt>
                  <c:pt idx="11">
                    <c:v>0.34</c:v>
                  </c:pt>
                  <c:pt idx="12">
                    <c:v>0.346</c:v>
                  </c:pt>
                  <c:pt idx="13">
                    <c:v>0.365</c:v>
                  </c:pt>
                  <c:pt idx="14">
                    <c:v>0.383</c:v>
                  </c:pt>
                  <c:pt idx="15">
                    <c:v>0.388</c:v>
                  </c:pt>
                  <c:pt idx="16">
                    <c:v>0.399</c:v>
                  </c:pt>
                  <c:pt idx="17">
                    <c:v>0.41</c:v>
                  </c:pt>
                  <c:pt idx="18">
                    <c:v>0.414</c:v>
                  </c:pt>
                  <c:pt idx="19">
                    <c:v>0.414</c:v>
                  </c:pt>
                  <c:pt idx="20">
                    <c:v>0.419</c:v>
                  </c:pt>
                  <c:pt idx="21">
                    <c:v>0.396</c:v>
                  </c:pt>
                  <c:pt idx="22">
                    <c:v>0.41</c:v>
                  </c:pt>
                  <c:pt idx="23">
                    <c:v>0.418</c:v>
                  </c:pt>
                </c:numCache>
              </c:numRef>
            </c:minus>
            <c:spPr>
              <a:ln w="12700">
                <a:solidFill>
                  <a:srgbClr val="00B050"/>
                </a:solidFill>
              </a:ln>
            </c:spPr>
          </c:errBars>
          <c:xVal>
            <c:numRef>
              <c:f>'BMI-FlexAbsorb-30psi'!$M$4:$M$34</c:f>
              <c:numCache>
                <c:formatCode>General</c:formatCode>
                <c:ptCount val="31"/>
                <c:pt idx="0">
                  <c:v>1.5</c:v>
                </c:pt>
                <c:pt idx="1">
                  <c:v>2.41</c:v>
                </c:pt>
                <c:pt idx="2">
                  <c:v>5.25</c:v>
                </c:pt>
                <c:pt idx="3">
                  <c:v>8.73</c:v>
                </c:pt>
                <c:pt idx="4">
                  <c:v>13.84</c:v>
                </c:pt>
                <c:pt idx="5">
                  <c:v>19.67000000000001</c:v>
                </c:pt>
                <c:pt idx="6">
                  <c:v>25.5</c:v>
                </c:pt>
                <c:pt idx="7">
                  <c:v>33.94</c:v>
                </c:pt>
                <c:pt idx="8">
                  <c:v>37.04</c:v>
                </c:pt>
                <c:pt idx="9">
                  <c:v>42.75</c:v>
                </c:pt>
                <c:pt idx="10">
                  <c:v>48.28</c:v>
                </c:pt>
                <c:pt idx="11">
                  <c:v>53.89</c:v>
                </c:pt>
                <c:pt idx="12">
                  <c:v>59.59</c:v>
                </c:pt>
                <c:pt idx="13">
                  <c:v>64.99</c:v>
                </c:pt>
                <c:pt idx="14">
                  <c:v>71.53</c:v>
                </c:pt>
                <c:pt idx="15">
                  <c:v>76.7</c:v>
                </c:pt>
                <c:pt idx="16">
                  <c:v>82.41</c:v>
                </c:pt>
                <c:pt idx="17">
                  <c:v>88.3</c:v>
                </c:pt>
                <c:pt idx="18">
                  <c:v>94.35</c:v>
                </c:pt>
                <c:pt idx="19">
                  <c:v>99.69</c:v>
                </c:pt>
                <c:pt idx="20">
                  <c:v>104.73</c:v>
                </c:pt>
                <c:pt idx="21">
                  <c:v>110.3</c:v>
                </c:pt>
                <c:pt idx="22">
                  <c:v>115.93</c:v>
                </c:pt>
                <c:pt idx="23">
                  <c:v>122.87</c:v>
                </c:pt>
              </c:numCache>
            </c:numRef>
          </c:xVal>
          <c:yVal>
            <c:numRef>
              <c:f>'BMI-FlexAbsorb-30psi'!$N$4:$N$34</c:f>
              <c:numCache>
                <c:formatCode>General</c:formatCode>
                <c:ptCount val="31"/>
                <c:pt idx="0">
                  <c:v>0.7946</c:v>
                </c:pt>
                <c:pt idx="1">
                  <c:v>1.083</c:v>
                </c:pt>
                <c:pt idx="2">
                  <c:v>1.8814</c:v>
                </c:pt>
                <c:pt idx="3">
                  <c:v>2.6481</c:v>
                </c:pt>
                <c:pt idx="4">
                  <c:v>3.3491</c:v>
                </c:pt>
                <c:pt idx="5">
                  <c:v>3.556299999999998</c:v>
                </c:pt>
                <c:pt idx="6">
                  <c:v>3.7352</c:v>
                </c:pt>
                <c:pt idx="7">
                  <c:v>4.0938</c:v>
                </c:pt>
                <c:pt idx="8">
                  <c:v>4.3193</c:v>
                </c:pt>
                <c:pt idx="9">
                  <c:v>4.7036</c:v>
                </c:pt>
                <c:pt idx="10">
                  <c:v>5.060499999999998</c:v>
                </c:pt>
                <c:pt idx="11">
                  <c:v>5.304099999999996</c:v>
                </c:pt>
                <c:pt idx="12">
                  <c:v>5.5325</c:v>
                </c:pt>
                <c:pt idx="13">
                  <c:v>5.605599999999993</c:v>
                </c:pt>
                <c:pt idx="14">
                  <c:v>5.7025</c:v>
                </c:pt>
                <c:pt idx="15">
                  <c:v>5.797</c:v>
                </c:pt>
                <c:pt idx="16">
                  <c:v>5.855399999999999</c:v>
                </c:pt>
                <c:pt idx="17">
                  <c:v>5.8584</c:v>
                </c:pt>
                <c:pt idx="18">
                  <c:v>5.8092</c:v>
                </c:pt>
                <c:pt idx="19">
                  <c:v>5.868599999999993</c:v>
                </c:pt>
                <c:pt idx="20">
                  <c:v>5.897599999999989</c:v>
                </c:pt>
                <c:pt idx="21">
                  <c:v>5.8727</c:v>
                </c:pt>
                <c:pt idx="22">
                  <c:v>5.9195</c:v>
                </c:pt>
                <c:pt idx="23">
                  <c:v>5.9444</c:v>
                </c:pt>
              </c:numCache>
            </c:numRef>
          </c:yVal>
          <c:smooth val="0"/>
        </c:ser>
        <c:ser>
          <c:idx val="3"/>
          <c:order val="4"/>
          <c:tx>
            <c:v>99% RH</c:v>
          </c:tx>
          <c:spPr>
            <a:ln w="28575">
              <a:noFill/>
            </a:ln>
          </c:spPr>
          <c:marker>
            <c:symbol val="square"/>
            <c:size val="5"/>
            <c:spPr>
              <a:solidFill>
                <a:srgbClr val="7030A0">
                  <a:alpha val="50000"/>
                </a:srgbClr>
              </a:solidFill>
              <a:ln w="12700">
                <a:solidFill>
                  <a:sysClr val="windowText" lastClr="000000"/>
                </a:solidFill>
              </a:ln>
            </c:spPr>
          </c:marker>
          <c:errBars>
            <c:errDir val="y"/>
            <c:errBarType val="both"/>
            <c:errValType val="cust"/>
            <c:noEndCap val="0"/>
            <c:plus>
              <c:numRef>
                <c:f>'BMI-FlexAbsorb-30psi'!$U$4:$U$29</c:f>
                <c:numCache>
                  <c:formatCode>General</c:formatCode>
                  <c:ptCount val="26"/>
                  <c:pt idx="0">
                    <c:v>0.032</c:v>
                  </c:pt>
                  <c:pt idx="1">
                    <c:v>0.051</c:v>
                  </c:pt>
                  <c:pt idx="2">
                    <c:v>0.073</c:v>
                  </c:pt>
                  <c:pt idx="3">
                    <c:v>0.11</c:v>
                  </c:pt>
                  <c:pt idx="4">
                    <c:v>0.134</c:v>
                  </c:pt>
                  <c:pt idx="5">
                    <c:v>0.154</c:v>
                  </c:pt>
                  <c:pt idx="6">
                    <c:v>0.185</c:v>
                  </c:pt>
                  <c:pt idx="7">
                    <c:v>0.257</c:v>
                  </c:pt>
                  <c:pt idx="8">
                    <c:v>0.301</c:v>
                  </c:pt>
                  <c:pt idx="9">
                    <c:v>0.333</c:v>
                  </c:pt>
                  <c:pt idx="10">
                    <c:v>0.355</c:v>
                  </c:pt>
                  <c:pt idx="11">
                    <c:v>0.402</c:v>
                  </c:pt>
                  <c:pt idx="12">
                    <c:v>0.418</c:v>
                  </c:pt>
                  <c:pt idx="13">
                    <c:v>0.423</c:v>
                  </c:pt>
                  <c:pt idx="14">
                    <c:v>0.447</c:v>
                  </c:pt>
                  <c:pt idx="15">
                    <c:v>0.443</c:v>
                  </c:pt>
                  <c:pt idx="16">
                    <c:v>0.476</c:v>
                  </c:pt>
                  <c:pt idx="17">
                    <c:v>0.454</c:v>
                  </c:pt>
                  <c:pt idx="18">
                    <c:v>0.452</c:v>
                  </c:pt>
                  <c:pt idx="19">
                    <c:v>0.456</c:v>
                  </c:pt>
                  <c:pt idx="20">
                    <c:v>0.464</c:v>
                  </c:pt>
                  <c:pt idx="21">
                    <c:v>0.474</c:v>
                  </c:pt>
                  <c:pt idx="22">
                    <c:v>0.466</c:v>
                  </c:pt>
                  <c:pt idx="23">
                    <c:v>0.453</c:v>
                  </c:pt>
                </c:numCache>
              </c:numRef>
            </c:plus>
            <c:minus>
              <c:numRef>
                <c:f>'BMI-FlexAbsorb-30psi'!$U$4:$U$29</c:f>
                <c:numCache>
                  <c:formatCode>General</c:formatCode>
                  <c:ptCount val="26"/>
                  <c:pt idx="0">
                    <c:v>0.032</c:v>
                  </c:pt>
                  <c:pt idx="1">
                    <c:v>0.051</c:v>
                  </c:pt>
                  <c:pt idx="2">
                    <c:v>0.073</c:v>
                  </c:pt>
                  <c:pt idx="3">
                    <c:v>0.11</c:v>
                  </c:pt>
                  <c:pt idx="4">
                    <c:v>0.134</c:v>
                  </c:pt>
                  <c:pt idx="5">
                    <c:v>0.154</c:v>
                  </c:pt>
                  <c:pt idx="6">
                    <c:v>0.185</c:v>
                  </c:pt>
                  <c:pt idx="7">
                    <c:v>0.257</c:v>
                  </c:pt>
                  <c:pt idx="8">
                    <c:v>0.301</c:v>
                  </c:pt>
                  <c:pt idx="9">
                    <c:v>0.333</c:v>
                  </c:pt>
                  <c:pt idx="10">
                    <c:v>0.355</c:v>
                  </c:pt>
                  <c:pt idx="11">
                    <c:v>0.402</c:v>
                  </c:pt>
                  <c:pt idx="12">
                    <c:v>0.418</c:v>
                  </c:pt>
                  <c:pt idx="13">
                    <c:v>0.423</c:v>
                  </c:pt>
                  <c:pt idx="14">
                    <c:v>0.447</c:v>
                  </c:pt>
                  <c:pt idx="15">
                    <c:v>0.443</c:v>
                  </c:pt>
                  <c:pt idx="16">
                    <c:v>0.476</c:v>
                  </c:pt>
                  <c:pt idx="17">
                    <c:v>0.454</c:v>
                  </c:pt>
                  <c:pt idx="18">
                    <c:v>0.452</c:v>
                  </c:pt>
                  <c:pt idx="19">
                    <c:v>0.456</c:v>
                  </c:pt>
                  <c:pt idx="20">
                    <c:v>0.464</c:v>
                  </c:pt>
                  <c:pt idx="21">
                    <c:v>0.474</c:v>
                  </c:pt>
                  <c:pt idx="22">
                    <c:v>0.466</c:v>
                  </c:pt>
                  <c:pt idx="23">
                    <c:v>0.453</c:v>
                  </c:pt>
                </c:numCache>
              </c:numRef>
            </c:minus>
            <c:spPr>
              <a:ln w="12700">
                <a:solidFill>
                  <a:srgbClr val="7030A0"/>
                </a:solidFill>
              </a:ln>
            </c:spPr>
          </c:errBars>
          <c:xVal>
            <c:numRef>
              <c:f>'BMI-FlexAbsorb-30psi'!$S$4:$S$34</c:f>
              <c:numCache>
                <c:formatCode>General</c:formatCode>
                <c:ptCount val="31"/>
                <c:pt idx="0">
                  <c:v>1.54</c:v>
                </c:pt>
                <c:pt idx="1">
                  <c:v>2.44</c:v>
                </c:pt>
                <c:pt idx="2">
                  <c:v>5.26</c:v>
                </c:pt>
                <c:pt idx="3">
                  <c:v>8.73</c:v>
                </c:pt>
                <c:pt idx="4">
                  <c:v>13.85</c:v>
                </c:pt>
                <c:pt idx="5">
                  <c:v>19.68</c:v>
                </c:pt>
                <c:pt idx="6">
                  <c:v>25.51</c:v>
                </c:pt>
                <c:pt idx="7">
                  <c:v>33.94</c:v>
                </c:pt>
                <c:pt idx="8">
                  <c:v>37.04</c:v>
                </c:pt>
                <c:pt idx="9">
                  <c:v>42.75</c:v>
                </c:pt>
                <c:pt idx="10">
                  <c:v>48.28</c:v>
                </c:pt>
                <c:pt idx="11">
                  <c:v>53.89</c:v>
                </c:pt>
                <c:pt idx="12">
                  <c:v>59.59</c:v>
                </c:pt>
                <c:pt idx="13">
                  <c:v>65.0</c:v>
                </c:pt>
                <c:pt idx="14">
                  <c:v>71.53</c:v>
                </c:pt>
                <c:pt idx="15">
                  <c:v>76.7</c:v>
                </c:pt>
                <c:pt idx="16">
                  <c:v>82.42</c:v>
                </c:pt>
                <c:pt idx="17">
                  <c:v>88.3</c:v>
                </c:pt>
                <c:pt idx="18">
                  <c:v>94.35</c:v>
                </c:pt>
                <c:pt idx="19">
                  <c:v>99.69</c:v>
                </c:pt>
                <c:pt idx="20">
                  <c:v>104.73</c:v>
                </c:pt>
                <c:pt idx="21">
                  <c:v>110.3</c:v>
                </c:pt>
                <c:pt idx="22">
                  <c:v>115.93</c:v>
                </c:pt>
                <c:pt idx="23">
                  <c:v>122.87</c:v>
                </c:pt>
              </c:numCache>
            </c:numRef>
          </c:xVal>
          <c:yVal>
            <c:numRef>
              <c:f>'BMI-FlexAbsorb-30psi'!$T$4:$T$34</c:f>
              <c:numCache>
                <c:formatCode>General</c:formatCode>
                <c:ptCount val="31"/>
                <c:pt idx="0">
                  <c:v>0.7415</c:v>
                </c:pt>
                <c:pt idx="1">
                  <c:v>1.0013</c:v>
                </c:pt>
                <c:pt idx="2">
                  <c:v>1.714</c:v>
                </c:pt>
                <c:pt idx="3">
                  <c:v>2.435099999999998</c:v>
                </c:pt>
                <c:pt idx="4">
                  <c:v>3.0477</c:v>
                </c:pt>
                <c:pt idx="5">
                  <c:v>3.2986</c:v>
                </c:pt>
                <c:pt idx="6">
                  <c:v>3.4649</c:v>
                </c:pt>
                <c:pt idx="7">
                  <c:v>3.7342</c:v>
                </c:pt>
                <c:pt idx="8">
                  <c:v>3.895799999999999</c:v>
                </c:pt>
                <c:pt idx="9">
                  <c:v>4.1782</c:v>
                </c:pt>
                <c:pt idx="10">
                  <c:v>4.4582</c:v>
                </c:pt>
                <c:pt idx="11">
                  <c:v>4.687999999999989</c:v>
                </c:pt>
                <c:pt idx="12">
                  <c:v>4.8913</c:v>
                </c:pt>
                <c:pt idx="13">
                  <c:v>4.9532</c:v>
                </c:pt>
                <c:pt idx="14">
                  <c:v>5.114099999999985</c:v>
                </c:pt>
                <c:pt idx="15">
                  <c:v>5.1302</c:v>
                </c:pt>
                <c:pt idx="16">
                  <c:v>5.1791</c:v>
                </c:pt>
                <c:pt idx="17">
                  <c:v>5.1732</c:v>
                </c:pt>
                <c:pt idx="18">
                  <c:v>5.199899999999999</c:v>
                </c:pt>
                <c:pt idx="19">
                  <c:v>5.2858</c:v>
                </c:pt>
                <c:pt idx="20">
                  <c:v>5.2136</c:v>
                </c:pt>
                <c:pt idx="21">
                  <c:v>5.2666</c:v>
                </c:pt>
                <c:pt idx="22">
                  <c:v>5.2658</c:v>
                </c:pt>
                <c:pt idx="23">
                  <c:v>5.2802</c:v>
                </c:pt>
              </c:numCache>
            </c:numRef>
          </c:yVal>
          <c:smooth val="0"/>
        </c:ser>
        <c:dLbls>
          <c:showLegendKey val="0"/>
          <c:showVal val="0"/>
          <c:showCatName val="0"/>
          <c:showSerName val="0"/>
          <c:showPercent val="0"/>
          <c:showBubbleSize val="0"/>
        </c:dLbls>
        <c:axId val="564363256"/>
        <c:axId val="564369176"/>
      </c:scatterChart>
      <c:valAx>
        <c:axId val="564363256"/>
        <c:scaling>
          <c:orientation val="minMax"/>
          <c:max val="19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564369176"/>
        <c:crosses val="autoZero"/>
        <c:crossBetween val="midCat"/>
        <c:minorUnit val="12.5"/>
      </c:valAx>
      <c:valAx>
        <c:axId val="564369176"/>
        <c:scaling>
          <c:orientation val="minMax"/>
          <c:max val="11.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564363256"/>
        <c:crosses val="autoZero"/>
        <c:crossBetween val="midCat"/>
        <c:majorUnit val="2.0"/>
        <c:minorUnit val="0.5"/>
      </c:valAx>
      <c:spPr>
        <a:ln w="19050">
          <a:solidFill>
            <a:sysClr val="windowText" lastClr="000000"/>
          </a:solidFill>
        </a:ln>
      </c:spPr>
    </c:plotArea>
    <c:legend>
      <c:legendPos val="r"/>
      <c:legendEntry>
        <c:idx val="0"/>
        <c:delete val="1"/>
      </c:legendEntry>
      <c:layout>
        <c:manualLayout>
          <c:xMode val="edge"/>
          <c:yMode val="edge"/>
          <c:x val="0.440093024047116"/>
          <c:y val="0.0449109531116037"/>
          <c:w val="0.470083959084509"/>
          <c:h val="0.0965146788813654"/>
        </c:manualLayout>
      </c:layout>
      <c:overlay val="1"/>
      <c:spPr>
        <a:solidFill>
          <a:schemeClr val="bg1"/>
        </a:solidFill>
      </c:spPr>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3711019173451"/>
          <c:y val="0.0333333333333333"/>
          <c:w val="0.750570903213369"/>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square"/>
            <c:size val="5"/>
            <c:spPr>
              <a:solidFill>
                <a:srgbClr val="0070C0">
                  <a:alpha val="50000"/>
                </a:srgbClr>
              </a:solidFill>
              <a:ln w="12700">
                <a:solidFill>
                  <a:schemeClr val="tx1"/>
                </a:solidFill>
              </a:ln>
            </c:spPr>
          </c:marker>
          <c:errBars>
            <c:errDir val="y"/>
            <c:errBarType val="both"/>
            <c:errValType val="cust"/>
            <c:noEndCap val="0"/>
            <c:plus>
              <c:numRef>
                <c:f>'BMI-FlexAbsorb-50psi'!$C$4:$C$29</c:f>
                <c:numCache>
                  <c:formatCode>General</c:formatCode>
                  <c:ptCount val="26"/>
                  <c:pt idx="0">
                    <c:v>0.035</c:v>
                  </c:pt>
                  <c:pt idx="1">
                    <c:v>0.043</c:v>
                  </c:pt>
                  <c:pt idx="2">
                    <c:v>0.11</c:v>
                  </c:pt>
                  <c:pt idx="3">
                    <c:v>0.162</c:v>
                  </c:pt>
                  <c:pt idx="4">
                    <c:v>0.199</c:v>
                  </c:pt>
                  <c:pt idx="5">
                    <c:v>0.208</c:v>
                  </c:pt>
                  <c:pt idx="6">
                    <c:v>0.231</c:v>
                  </c:pt>
                  <c:pt idx="7">
                    <c:v>0.211</c:v>
                  </c:pt>
                  <c:pt idx="8">
                    <c:v>0.221</c:v>
                  </c:pt>
                  <c:pt idx="9">
                    <c:v>0.234</c:v>
                  </c:pt>
                  <c:pt idx="10">
                    <c:v>0.223</c:v>
                  </c:pt>
                  <c:pt idx="11">
                    <c:v>0.229</c:v>
                  </c:pt>
                  <c:pt idx="12">
                    <c:v>0.224</c:v>
                  </c:pt>
                  <c:pt idx="13">
                    <c:v>0.206</c:v>
                  </c:pt>
                  <c:pt idx="14">
                    <c:v>0.221</c:v>
                  </c:pt>
                  <c:pt idx="15">
                    <c:v>0.217</c:v>
                  </c:pt>
                  <c:pt idx="16">
                    <c:v>0.219</c:v>
                  </c:pt>
                  <c:pt idx="17">
                    <c:v>0.194</c:v>
                  </c:pt>
                  <c:pt idx="18">
                    <c:v>0.204</c:v>
                  </c:pt>
                  <c:pt idx="19">
                    <c:v>0.218</c:v>
                  </c:pt>
                  <c:pt idx="20">
                    <c:v>0.203</c:v>
                  </c:pt>
                  <c:pt idx="21">
                    <c:v>0.227</c:v>
                  </c:pt>
                  <c:pt idx="22">
                    <c:v>0.215</c:v>
                  </c:pt>
                  <c:pt idx="23">
                    <c:v>0.21</c:v>
                  </c:pt>
                </c:numCache>
              </c:numRef>
            </c:plus>
            <c:minus>
              <c:numRef>
                <c:f>'BMI-FlexAbsorb-50psi'!$C$4:$C$29</c:f>
                <c:numCache>
                  <c:formatCode>General</c:formatCode>
                  <c:ptCount val="26"/>
                  <c:pt idx="0">
                    <c:v>0.035</c:v>
                  </c:pt>
                  <c:pt idx="1">
                    <c:v>0.043</c:v>
                  </c:pt>
                  <c:pt idx="2">
                    <c:v>0.11</c:v>
                  </c:pt>
                  <c:pt idx="3">
                    <c:v>0.162</c:v>
                  </c:pt>
                  <c:pt idx="4">
                    <c:v>0.199</c:v>
                  </c:pt>
                  <c:pt idx="5">
                    <c:v>0.208</c:v>
                  </c:pt>
                  <c:pt idx="6">
                    <c:v>0.231</c:v>
                  </c:pt>
                  <c:pt idx="7">
                    <c:v>0.211</c:v>
                  </c:pt>
                  <c:pt idx="8">
                    <c:v>0.221</c:v>
                  </c:pt>
                  <c:pt idx="9">
                    <c:v>0.234</c:v>
                  </c:pt>
                  <c:pt idx="10">
                    <c:v>0.223</c:v>
                  </c:pt>
                  <c:pt idx="11">
                    <c:v>0.229</c:v>
                  </c:pt>
                  <c:pt idx="12">
                    <c:v>0.224</c:v>
                  </c:pt>
                  <c:pt idx="13">
                    <c:v>0.206</c:v>
                  </c:pt>
                  <c:pt idx="14">
                    <c:v>0.221</c:v>
                  </c:pt>
                  <c:pt idx="15">
                    <c:v>0.217</c:v>
                  </c:pt>
                  <c:pt idx="16">
                    <c:v>0.219</c:v>
                  </c:pt>
                  <c:pt idx="17">
                    <c:v>0.194</c:v>
                  </c:pt>
                  <c:pt idx="18">
                    <c:v>0.204</c:v>
                  </c:pt>
                  <c:pt idx="19">
                    <c:v>0.218</c:v>
                  </c:pt>
                  <c:pt idx="20">
                    <c:v>0.203</c:v>
                  </c:pt>
                  <c:pt idx="21">
                    <c:v>0.227</c:v>
                  </c:pt>
                  <c:pt idx="22">
                    <c:v>0.215</c:v>
                  </c:pt>
                  <c:pt idx="23">
                    <c:v>0.21</c:v>
                  </c:pt>
                </c:numCache>
              </c:numRef>
            </c:minus>
            <c:spPr>
              <a:ln w="12700">
                <a:solidFill>
                  <a:srgbClr val="0070C0"/>
                </a:solidFill>
              </a:ln>
            </c:spPr>
          </c:errBars>
          <c:xVal>
            <c:numRef>
              <c:f>'BMI-FlexAbsorb-50psi'!$A$4:$A$34</c:f>
              <c:numCache>
                <c:formatCode>General</c:formatCode>
                <c:ptCount val="31"/>
                <c:pt idx="0">
                  <c:v>1.43</c:v>
                </c:pt>
                <c:pt idx="1">
                  <c:v>2.37</c:v>
                </c:pt>
                <c:pt idx="2">
                  <c:v>5.23</c:v>
                </c:pt>
                <c:pt idx="3">
                  <c:v>8.710000000000001</c:v>
                </c:pt>
                <c:pt idx="4">
                  <c:v>13.84</c:v>
                </c:pt>
                <c:pt idx="5">
                  <c:v>19.67000000000001</c:v>
                </c:pt>
                <c:pt idx="6">
                  <c:v>25.5</c:v>
                </c:pt>
                <c:pt idx="7">
                  <c:v>33.94</c:v>
                </c:pt>
                <c:pt idx="8">
                  <c:v>37.03</c:v>
                </c:pt>
                <c:pt idx="9">
                  <c:v>42.75</c:v>
                </c:pt>
                <c:pt idx="10">
                  <c:v>48.27</c:v>
                </c:pt>
                <c:pt idx="11">
                  <c:v>53.9</c:v>
                </c:pt>
                <c:pt idx="12">
                  <c:v>59.58</c:v>
                </c:pt>
                <c:pt idx="13">
                  <c:v>64.99</c:v>
                </c:pt>
                <c:pt idx="14">
                  <c:v>71.52</c:v>
                </c:pt>
                <c:pt idx="15">
                  <c:v>76.7</c:v>
                </c:pt>
                <c:pt idx="16">
                  <c:v>82.42</c:v>
                </c:pt>
                <c:pt idx="17">
                  <c:v>88.3</c:v>
                </c:pt>
                <c:pt idx="18">
                  <c:v>94.35</c:v>
                </c:pt>
                <c:pt idx="19">
                  <c:v>99.69</c:v>
                </c:pt>
                <c:pt idx="20">
                  <c:v>104.73</c:v>
                </c:pt>
                <c:pt idx="21">
                  <c:v>110.3</c:v>
                </c:pt>
                <c:pt idx="22">
                  <c:v>115.93</c:v>
                </c:pt>
                <c:pt idx="23">
                  <c:v>122.95</c:v>
                </c:pt>
                <c:pt idx="30">
                  <c:v>138.54</c:v>
                </c:pt>
              </c:numCache>
            </c:numRef>
          </c:xVal>
          <c:yVal>
            <c:numRef>
              <c:f>'BMI-FlexAbsorb-50psi'!$B$4:$B$34</c:f>
              <c:numCache>
                <c:formatCode>General</c:formatCode>
                <c:ptCount val="31"/>
                <c:pt idx="0">
                  <c:v>0.195</c:v>
                </c:pt>
                <c:pt idx="1">
                  <c:v>0.2307</c:v>
                </c:pt>
                <c:pt idx="2">
                  <c:v>0.3449</c:v>
                </c:pt>
                <c:pt idx="3">
                  <c:v>0.439</c:v>
                </c:pt>
                <c:pt idx="4">
                  <c:v>0.5245</c:v>
                </c:pt>
                <c:pt idx="5">
                  <c:v>0.6444</c:v>
                </c:pt>
                <c:pt idx="6">
                  <c:v>0.7257</c:v>
                </c:pt>
                <c:pt idx="7">
                  <c:v>0.8556</c:v>
                </c:pt>
                <c:pt idx="8">
                  <c:v>0.9022</c:v>
                </c:pt>
                <c:pt idx="9">
                  <c:v>0.9484</c:v>
                </c:pt>
                <c:pt idx="10">
                  <c:v>1.199</c:v>
                </c:pt>
                <c:pt idx="11">
                  <c:v>1.265</c:v>
                </c:pt>
                <c:pt idx="12">
                  <c:v>1.2993</c:v>
                </c:pt>
                <c:pt idx="13">
                  <c:v>1.3195</c:v>
                </c:pt>
                <c:pt idx="14">
                  <c:v>1.3536</c:v>
                </c:pt>
                <c:pt idx="15">
                  <c:v>1.3576</c:v>
                </c:pt>
                <c:pt idx="16">
                  <c:v>1.4077</c:v>
                </c:pt>
                <c:pt idx="17">
                  <c:v>1.4044</c:v>
                </c:pt>
                <c:pt idx="18">
                  <c:v>1.4424</c:v>
                </c:pt>
                <c:pt idx="19">
                  <c:v>1.5206</c:v>
                </c:pt>
                <c:pt idx="20">
                  <c:v>1.5167</c:v>
                </c:pt>
                <c:pt idx="21">
                  <c:v>1.5039</c:v>
                </c:pt>
                <c:pt idx="22">
                  <c:v>1.5277</c:v>
                </c:pt>
                <c:pt idx="23">
                  <c:v>1.5767</c:v>
                </c:pt>
              </c:numCache>
            </c:numRef>
          </c:yVal>
          <c:smooth val="0"/>
        </c:ser>
        <c:ser>
          <c:idx val="1"/>
          <c:order val="2"/>
          <c:tx>
            <c:v>40% RH</c:v>
          </c:tx>
          <c:spPr>
            <a:ln w="28575">
              <a:noFill/>
            </a:ln>
          </c:spPr>
          <c:marker>
            <c:symbol val="square"/>
            <c:size val="5"/>
            <c:spPr>
              <a:solidFill>
                <a:srgbClr val="C00000">
                  <a:alpha val="50000"/>
                </a:srgbClr>
              </a:solidFill>
              <a:ln w="12700">
                <a:solidFill>
                  <a:sysClr val="windowText" lastClr="000000"/>
                </a:solidFill>
              </a:ln>
            </c:spPr>
          </c:marker>
          <c:errBars>
            <c:errDir val="y"/>
            <c:errBarType val="both"/>
            <c:errValType val="cust"/>
            <c:noEndCap val="0"/>
            <c:plus>
              <c:numRef>
                <c:f>'BMI-FlexAbsorb-50psi'!$I$4:$I$29</c:f>
                <c:numCache>
                  <c:formatCode>General</c:formatCode>
                  <c:ptCount val="26"/>
                  <c:pt idx="0">
                    <c:v>0.092</c:v>
                  </c:pt>
                  <c:pt idx="1">
                    <c:v>0.143</c:v>
                  </c:pt>
                  <c:pt idx="2">
                    <c:v>0.3</c:v>
                  </c:pt>
                  <c:pt idx="3">
                    <c:v>0.468</c:v>
                  </c:pt>
                  <c:pt idx="4">
                    <c:v>0.617</c:v>
                  </c:pt>
                  <c:pt idx="5">
                    <c:v>0.666</c:v>
                  </c:pt>
                  <c:pt idx="6">
                    <c:v>0.678</c:v>
                  </c:pt>
                  <c:pt idx="7">
                    <c:v>0.685</c:v>
                  </c:pt>
                  <c:pt idx="8">
                    <c:v>0.683</c:v>
                  </c:pt>
                  <c:pt idx="9">
                    <c:v>0.715</c:v>
                  </c:pt>
                  <c:pt idx="10">
                    <c:v>0.761</c:v>
                  </c:pt>
                  <c:pt idx="11">
                    <c:v>0.774</c:v>
                  </c:pt>
                  <c:pt idx="12">
                    <c:v>0.8</c:v>
                  </c:pt>
                  <c:pt idx="13">
                    <c:v>0.79</c:v>
                  </c:pt>
                  <c:pt idx="14">
                    <c:v>0.809</c:v>
                  </c:pt>
                  <c:pt idx="15">
                    <c:v>0.812</c:v>
                  </c:pt>
                  <c:pt idx="16">
                    <c:v>0.829</c:v>
                  </c:pt>
                  <c:pt idx="17">
                    <c:v>0.822</c:v>
                  </c:pt>
                  <c:pt idx="18">
                    <c:v>0.838</c:v>
                  </c:pt>
                  <c:pt idx="19">
                    <c:v>0.821</c:v>
                  </c:pt>
                  <c:pt idx="20">
                    <c:v>0.828</c:v>
                  </c:pt>
                  <c:pt idx="21">
                    <c:v>0.811</c:v>
                  </c:pt>
                  <c:pt idx="22">
                    <c:v>0.826</c:v>
                  </c:pt>
                  <c:pt idx="23">
                    <c:v>0.822</c:v>
                  </c:pt>
                </c:numCache>
              </c:numRef>
            </c:plus>
            <c:minus>
              <c:numRef>
                <c:f>'BMI-FlexAbsorb-50psi'!$I$4:$I$29</c:f>
                <c:numCache>
                  <c:formatCode>General</c:formatCode>
                  <c:ptCount val="26"/>
                  <c:pt idx="0">
                    <c:v>0.092</c:v>
                  </c:pt>
                  <c:pt idx="1">
                    <c:v>0.143</c:v>
                  </c:pt>
                  <c:pt idx="2">
                    <c:v>0.3</c:v>
                  </c:pt>
                  <c:pt idx="3">
                    <c:v>0.468</c:v>
                  </c:pt>
                  <c:pt idx="4">
                    <c:v>0.617</c:v>
                  </c:pt>
                  <c:pt idx="5">
                    <c:v>0.666</c:v>
                  </c:pt>
                  <c:pt idx="6">
                    <c:v>0.678</c:v>
                  </c:pt>
                  <c:pt idx="7">
                    <c:v>0.685</c:v>
                  </c:pt>
                  <c:pt idx="8">
                    <c:v>0.683</c:v>
                  </c:pt>
                  <c:pt idx="9">
                    <c:v>0.715</c:v>
                  </c:pt>
                  <c:pt idx="10">
                    <c:v>0.761</c:v>
                  </c:pt>
                  <c:pt idx="11">
                    <c:v>0.774</c:v>
                  </c:pt>
                  <c:pt idx="12">
                    <c:v>0.8</c:v>
                  </c:pt>
                  <c:pt idx="13">
                    <c:v>0.79</c:v>
                  </c:pt>
                  <c:pt idx="14">
                    <c:v>0.809</c:v>
                  </c:pt>
                  <c:pt idx="15">
                    <c:v>0.812</c:v>
                  </c:pt>
                  <c:pt idx="16">
                    <c:v>0.829</c:v>
                  </c:pt>
                  <c:pt idx="17">
                    <c:v>0.822</c:v>
                  </c:pt>
                  <c:pt idx="18">
                    <c:v>0.838</c:v>
                  </c:pt>
                  <c:pt idx="19">
                    <c:v>0.821</c:v>
                  </c:pt>
                  <c:pt idx="20">
                    <c:v>0.828</c:v>
                  </c:pt>
                  <c:pt idx="21">
                    <c:v>0.811</c:v>
                  </c:pt>
                  <c:pt idx="22">
                    <c:v>0.826</c:v>
                  </c:pt>
                  <c:pt idx="23">
                    <c:v>0.822</c:v>
                  </c:pt>
                </c:numCache>
              </c:numRef>
            </c:minus>
            <c:spPr>
              <a:ln w="12700">
                <a:solidFill>
                  <a:srgbClr val="C00000"/>
                </a:solidFill>
              </a:ln>
            </c:spPr>
          </c:errBars>
          <c:xVal>
            <c:numRef>
              <c:f>'BMI-FlexAbsorb-50psi'!$G$4:$G$34</c:f>
              <c:numCache>
                <c:formatCode>General</c:formatCode>
                <c:ptCount val="31"/>
                <c:pt idx="0">
                  <c:v>1.48</c:v>
                </c:pt>
                <c:pt idx="1">
                  <c:v>2.4</c:v>
                </c:pt>
                <c:pt idx="2">
                  <c:v>5.25</c:v>
                </c:pt>
                <c:pt idx="3">
                  <c:v>8.719999999999998</c:v>
                </c:pt>
                <c:pt idx="4">
                  <c:v>13.84</c:v>
                </c:pt>
                <c:pt idx="5">
                  <c:v>19.67000000000001</c:v>
                </c:pt>
                <c:pt idx="6">
                  <c:v>25.5</c:v>
                </c:pt>
                <c:pt idx="7">
                  <c:v>33.94</c:v>
                </c:pt>
                <c:pt idx="8">
                  <c:v>37.04</c:v>
                </c:pt>
                <c:pt idx="9">
                  <c:v>42.75</c:v>
                </c:pt>
                <c:pt idx="10">
                  <c:v>48.27</c:v>
                </c:pt>
                <c:pt idx="11">
                  <c:v>53.9</c:v>
                </c:pt>
                <c:pt idx="12">
                  <c:v>59.59</c:v>
                </c:pt>
                <c:pt idx="13">
                  <c:v>64.99</c:v>
                </c:pt>
                <c:pt idx="14">
                  <c:v>71.53</c:v>
                </c:pt>
                <c:pt idx="15">
                  <c:v>76.7</c:v>
                </c:pt>
                <c:pt idx="16">
                  <c:v>82.42</c:v>
                </c:pt>
                <c:pt idx="17">
                  <c:v>88.3</c:v>
                </c:pt>
                <c:pt idx="18">
                  <c:v>94.35</c:v>
                </c:pt>
                <c:pt idx="19">
                  <c:v>99.69</c:v>
                </c:pt>
                <c:pt idx="20">
                  <c:v>104.73</c:v>
                </c:pt>
                <c:pt idx="21">
                  <c:v>110.3</c:v>
                </c:pt>
                <c:pt idx="22">
                  <c:v>115.93</c:v>
                </c:pt>
                <c:pt idx="23">
                  <c:v>122.95</c:v>
                </c:pt>
              </c:numCache>
            </c:numRef>
          </c:xVal>
          <c:yVal>
            <c:numRef>
              <c:f>'BMI-FlexAbsorb-50psi'!$H$4:$H$34</c:f>
              <c:numCache>
                <c:formatCode>General</c:formatCode>
                <c:ptCount val="31"/>
                <c:pt idx="0">
                  <c:v>0.3984</c:v>
                </c:pt>
                <c:pt idx="1">
                  <c:v>0.5493</c:v>
                </c:pt>
                <c:pt idx="2">
                  <c:v>0.9899</c:v>
                </c:pt>
                <c:pt idx="3">
                  <c:v>1.3748</c:v>
                </c:pt>
                <c:pt idx="4">
                  <c:v>1.7368</c:v>
                </c:pt>
                <c:pt idx="5">
                  <c:v>1.9406</c:v>
                </c:pt>
                <c:pt idx="6">
                  <c:v>2.109</c:v>
                </c:pt>
                <c:pt idx="7">
                  <c:v>2.2543</c:v>
                </c:pt>
                <c:pt idx="8">
                  <c:v>2.254</c:v>
                </c:pt>
                <c:pt idx="9">
                  <c:v>2.3371</c:v>
                </c:pt>
                <c:pt idx="10">
                  <c:v>2.4445</c:v>
                </c:pt>
                <c:pt idx="11">
                  <c:v>2.4939</c:v>
                </c:pt>
                <c:pt idx="12">
                  <c:v>2.5287</c:v>
                </c:pt>
                <c:pt idx="13">
                  <c:v>2.5696</c:v>
                </c:pt>
                <c:pt idx="14">
                  <c:v>2.6665</c:v>
                </c:pt>
                <c:pt idx="15">
                  <c:v>2.6866</c:v>
                </c:pt>
                <c:pt idx="16">
                  <c:v>2.7593</c:v>
                </c:pt>
                <c:pt idx="17">
                  <c:v>2.7443</c:v>
                </c:pt>
                <c:pt idx="18">
                  <c:v>2.7837</c:v>
                </c:pt>
                <c:pt idx="19">
                  <c:v>2.9327</c:v>
                </c:pt>
                <c:pt idx="20">
                  <c:v>2.9489</c:v>
                </c:pt>
                <c:pt idx="21">
                  <c:v>2.9661</c:v>
                </c:pt>
                <c:pt idx="22">
                  <c:v>3.0003</c:v>
                </c:pt>
                <c:pt idx="23">
                  <c:v>3.0097</c:v>
                </c:pt>
              </c:numCache>
            </c:numRef>
          </c:yVal>
          <c:smooth val="0"/>
        </c:ser>
        <c:ser>
          <c:idx val="2"/>
          <c:order val="3"/>
          <c:tx>
            <c:v>70% RH</c:v>
          </c:tx>
          <c:spPr>
            <a:ln w="28575">
              <a:noFill/>
            </a:ln>
          </c:spPr>
          <c:marker>
            <c:symbol val="square"/>
            <c:size val="5"/>
            <c:spPr>
              <a:solidFill>
                <a:srgbClr val="00B050">
                  <a:alpha val="50000"/>
                </a:srgbClr>
              </a:solidFill>
              <a:ln w="12700">
                <a:solidFill>
                  <a:sysClr val="windowText" lastClr="000000"/>
                </a:solidFill>
              </a:ln>
            </c:spPr>
          </c:marker>
          <c:errBars>
            <c:errDir val="y"/>
            <c:errBarType val="both"/>
            <c:errValType val="cust"/>
            <c:noEndCap val="0"/>
            <c:plus>
              <c:numRef>
                <c:f>'BMI-FlexAbsorb-50psi'!$O$4:$O$29</c:f>
                <c:numCache>
                  <c:formatCode>General</c:formatCode>
                  <c:ptCount val="26"/>
                  <c:pt idx="0">
                    <c:v>0.089</c:v>
                  </c:pt>
                  <c:pt idx="1">
                    <c:v>0.101</c:v>
                  </c:pt>
                  <c:pt idx="2">
                    <c:v>0.131</c:v>
                  </c:pt>
                  <c:pt idx="3">
                    <c:v>0.136</c:v>
                  </c:pt>
                  <c:pt idx="4">
                    <c:v>0.179</c:v>
                  </c:pt>
                  <c:pt idx="5">
                    <c:v>0.206</c:v>
                  </c:pt>
                  <c:pt idx="6">
                    <c:v>0.207</c:v>
                  </c:pt>
                  <c:pt idx="7">
                    <c:v>0.25</c:v>
                  </c:pt>
                  <c:pt idx="8">
                    <c:v>0.278</c:v>
                  </c:pt>
                  <c:pt idx="9">
                    <c:v>0.299</c:v>
                  </c:pt>
                  <c:pt idx="10">
                    <c:v>0.338</c:v>
                  </c:pt>
                  <c:pt idx="11">
                    <c:v>0.352</c:v>
                  </c:pt>
                  <c:pt idx="12">
                    <c:v>0.357</c:v>
                  </c:pt>
                  <c:pt idx="13">
                    <c:v>0.359</c:v>
                  </c:pt>
                  <c:pt idx="14">
                    <c:v>0.365</c:v>
                  </c:pt>
                  <c:pt idx="15">
                    <c:v>0.368</c:v>
                  </c:pt>
                  <c:pt idx="16">
                    <c:v>0.355</c:v>
                  </c:pt>
                  <c:pt idx="17">
                    <c:v>0.363</c:v>
                  </c:pt>
                  <c:pt idx="18">
                    <c:v>0.353</c:v>
                  </c:pt>
                  <c:pt idx="19">
                    <c:v>0.348</c:v>
                  </c:pt>
                  <c:pt idx="20">
                    <c:v>0.352</c:v>
                  </c:pt>
                  <c:pt idx="21">
                    <c:v>0.368</c:v>
                  </c:pt>
                  <c:pt idx="22">
                    <c:v>0.357</c:v>
                  </c:pt>
                  <c:pt idx="23">
                    <c:v>0.36</c:v>
                  </c:pt>
                </c:numCache>
              </c:numRef>
            </c:plus>
            <c:minus>
              <c:numRef>
                <c:f>'BMI-FlexAbsorb-50psi'!$O$4:$O$29</c:f>
                <c:numCache>
                  <c:formatCode>General</c:formatCode>
                  <c:ptCount val="26"/>
                  <c:pt idx="0">
                    <c:v>0.089</c:v>
                  </c:pt>
                  <c:pt idx="1">
                    <c:v>0.101</c:v>
                  </c:pt>
                  <c:pt idx="2">
                    <c:v>0.131</c:v>
                  </c:pt>
                  <c:pt idx="3">
                    <c:v>0.136</c:v>
                  </c:pt>
                  <c:pt idx="4">
                    <c:v>0.179</c:v>
                  </c:pt>
                  <c:pt idx="5">
                    <c:v>0.206</c:v>
                  </c:pt>
                  <c:pt idx="6">
                    <c:v>0.207</c:v>
                  </c:pt>
                  <c:pt idx="7">
                    <c:v>0.25</c:v>
                  </c:pt>
                  <c:pt idx="8">
                    <c:v>0.278</c:v>
                  </c:pt>
                  <c:pt idx="9">
                    <c:v>0.299</c:v>
                  </c:pt>
                  <c:pt idx="10">
                    <c:v>0.338</c:v>
                  </c:pt>
                  <c:pt idx="11">
                    <c:v>0.352</c:v>
                  </c:pt>
                  <c:pt idx="12">
                    <c:v>0.357</c:v>
                  </c:pt>
                  <c:pt idx="13">
                    <c:v>0.359</c:v>
                  </c:pt>
                  <c:pt idx="14">
                    <c:v>0.365</c:v>
                  </c:pt>
                  <c:pt idx="15">
                    <c:v>0.368</c:v>
                  </c:pt>
                  <c:pt idx="16">
                    <c:v>0.355</c:v>
                  </c:pt>
                  <c:pt idx="17">
                    <c:v>0.363</c:v>
                  </c:pt>
                  <c:pt idx="18">
                    <c:v>0.353</c:v>
                  </c:pt>
                  <c:pt idx="19">
                    <c:v>0.348</c:v>
                  </c:pt>
                  <c:pt idx="20">
                    <c:v>0.352</c:v>
                  </c:pt>
                  <c:pt idx="21">
                    <c:v>0.368</c:v>
                  </c:pt>
                  <c:pt idx="22">
                    <c:v>0.357</c:v>
                  </c:pt>
                  <c:pt idx="23">
                    <c:v>0.36</c:v>
                  </c:pt>
                </c:numCache>
              </c:numRef>
            </c:minus>
            <c:spPr>
              <a:ln w="12700">
                <a:solidFill>
                  <a:srgbClr val="00B050"/>
                </a:solidFill>
              </a:ln>
            </c:spPr>
          </c:errBars>
          <c:xVal>
            <c:numRef>
              <c:f>'BMI-FlexAbsorb-50psi'!$M$4:$M$34</c:f>
              <c:numCache>
                <c:formatCode>General</c:formatCode>
                <c:ptCount val="31"/>
                <c:pt idx="0">
                  <c:v>1.52</c:v>
                </c:pt>
                <c:pt idx="1">
                  <c:v>2.43</c:v>
                </c:pt>
                <c:pt idx="2">
                  <c:v>5.26</c:v>
                </c:pt>
                <c:pt idx="3">
                  <c:v>8.73</c:v>
                </c:pt>
                <c:pt idx="4">
                  <c:v>13.84</c:v>
                </c:pt>
                <c:pt idx="5">
                  <c:v>19.68</c:v>
                </c:pt>
                <c:pt idx="6">
                  <c:v>25.51</c:v>
                </c:pt>
                <c:pt idx="7">
                  <c:v>33.94</c:v>
                </c:pt>
                <c:pt idx="8">
                  <c:v>37.04</c:v>
                </c:pt>
                <c:pt idx="9">
                  <c:v>42.75</c:v>
                </c:pt>
                <c:pt idx="10">
                  <c:v>48.28</c:v>
                </c:pt>
                <c:pt idx="11">
                  <c:v>53.9</c:v>
                </c:pt>
                <c:pt idx="12">
                  <c:v>59.59</c:v>
                </c:pt>
                <c:pt idx="13">
                  <c:v>64.99</c:v>
                </c:pt>
                <c:pt idx="14">
                  <c:v>71.53</c:v>
                </c:pt>
                <c:pt idx="15">
                  <c:v>76.7</c:v>
                </c:pt>
                <c:pt idx="16">
                  <c:v>82.42</c:v>
                </c:pt>
                <c:pt idx="17">
                  <c:v>88.3</c:v>
                </c:pt>
                <c:pt idx="18">
                  <c:v>94.35</c:v>
                </c:pt>
                <c:pt idx="19">
                  <c:v>99.69</c:v>
                </c:pt>
                <c:pt idx="20">
                  <c:v>104.73</c:v>
                </c:pt>
                <c:pt idx="21">
                  <c:v>110.3</c:v>
                </c:pt>
                <c:pt idx="22">
                  <c:v>115.93</c:v>
                </c:pt>
                <c:pt idx="23">
                  <c:v>122.95</c:v>
                </c:pt>
              </c:numCache>
            </c:numRef>
          </c:xVal>
          <c:yVal>
            <c:numRef>
              <c:f>'BMI-FlexAbsorb-50psi'!$N$4:$N$34</c:f>
              <c:numCache>
                <c:formatCode>General</c:formatCode>
                <c:ptCount val="31"/>
                <c:pt idx="0">
                  <c:v>0.7366</c:v>
                </c:pt>
                <c:pt idx="1">
                  <c:v>1.0215</c:v>
                </c:pt>
                <c:pt idx="2">
                  <c:v>1.8371</c:v>
                </c:pt>
                <c:pt idx="3">
                  <c:v>2.5468</c:v>
                </c:pt>
                <c:pt idx="4">
                  <c:v>3.207</c:v>
                </c:pt>
                <c:pt idx="5">
                  <c:v>3.470899999999999</c:v>
                </c:pt>
                <c:pt idx="6">
                  <c:v>3.5849</c:v>
                </c:pt>
                <c:pt idx="7">
                  <c:v>3.7731</c:v>
                </c:pt>
                <c:pt idx="8">
                  <c:v>3.8688</c:v>
                </c:pt>
                <c:pt idx="9">
                  <c:v>4.0736</c:v>
                </c:pt>
                <c:pt idx="10">
                  <c:v>4.2401</c:v>
                </c:pt>
                <c:pt idx="11">
                  <c:v>4.3433</c:v>
                </c:pt>
                <c:pt idx="12">
                  <c:v>4.3992</c:v>
                </c:pt>
                <c:pt idx="13">
                  <c:v>4.5437</c:v>
                </c:pt>
                <c:pt idx="14">
                  <c:v>4.5514</c:v>
                </c:pt>
                <c:pt idx="15">
                  <c:v>4.624799999999982</c:v>
                </c:pt>
                <c:pt idx="16">
                  <c:v>4.623199999999989</c:v>
                </c:pt>
                <c:pt idx="17">
                  <c:v>4.667399999999985</c:v>
                </c:pt>
                <c:pt idx="18">
                  <c:v>4.666799999999998</c:v>
                </c:pt>
                <c:pt idx="19">
                  <c:v>4.7101</c:v>
                </c:pt>
                <c:pt idx="20">
                  <c:v>4.7107</c:v>
                </c:pt>
                <c:pt idx="21">
                  <c:v>4.667299999999995</c:v>
                </c:pt>
                <c:pt idx="22">
                  <c:v>4.7677</c:v>
                </c:pt>
                <c:pt idx="23">
                  <c:v>4.8198</c:v>
                </c:pt>
              </c:numCache>
            </c:numRef>
          </c:yVal>
          <c:smooth val="0"/>
        </c:ser>
        <c:ser>
          <c:idx val="3"/>
          <c:order val="4"/>
          <c:tx>
            <c:v>99% RH</c:v>
          </c:tx>
          <c:spPr>
            <a:ln w="28575">
              <a:noFill/>
            </a:ln>
          </c:spPr>
          <c:marker>
            <c:symbol val="square"/>
            <c:size val="5"/>
            <c:spPr>
              <a:solidFill>
                <a:srgbClr val="7030A0">
                  <a:alpha val="50000"/>
                </a:srgbClr>
              </a:solidFill>
              <a:ln w="12700">
                <a:solidFill>
                  <a:sysClr val="windowText" lastClr="000000"/>
                </a:solidFill>
              </a:ln>
            </c:spPr>
          </c:marker>
          <c:errBars>
            <c:errDir val="y"/>
            <c:errBarType val="both"/>
            <c:errValType val="cust"/>
            <c:noEndCap val="0"/>
            <c:plus>
              <c:numRef>
                <c:f>'BMI-FlexAbsorb-50psi'!$U$4:$U$29</c:f>
                <c:numCache>
                  <c:formatCode>General</c:formatCode>
                  <c:ptCount val="26"/>
                  <c:pt idx="0">
                    <c:v>0.033</c:v>
                  </c:pt>
                  <c:pt idx="1">
                    <c:v>0.017</c:v>
                  </c:pt>
                  <c:pt idx="2">
                    <c:v>0.066</c:v>
                  </c:pt>
                  <c:pt idx="3">
                    <c:v>0.085</c:v>
                  </c:pt>
                  <c:pt idx="4">
                    <c:v>0.109</c:v>
                  </c:pt>
                  <c:pt idx="5">
                    <c:v>0.152</c:v>
                  </c:pt>
                  <c:pt idx="6">
                    <c:v>0.178</c:v>
                  </c:pt>
                  <c:pt idx="7">
                    <c:v>0.19</c:v>
                  </c:pt>
                  <c:pt idx="8">
                    <c:v>0.213</c:v>
                  </c:pt>
                  <c:pt idx="9">
                    <c:v>0.249</c:v>
                  </c:pt>
                  <c:pt idx="10">
                    <c:v>0.261</c:v>
                  </c:pt>
                  <c:pt idx="11">
                    <c:v>0.282</c:v>
                  </c:pt>
                  <c:pt idx="12">
                    <c:v>0.305</c:v>
                  </c:pt>
                  <c:pt idx="13">
                    <c:v>0.331</c:v>
                  </c:pt>
                  <c:pt idx="14">
                    <c:v>0.317</c:v>
                  </c:pt>
                  <c:pt idx="15">
                    <c:v>0.339</c:v>
                  </c:pt>
                  <c:pt idx="16">
                    <c:v>0.326</c:v>
                  </c:pt>
                  <c:pt idx="17">
                    <c:v>0.341</c:v>
                  </c:pt>
                  <c:pt idx="18">
                    <c:v>0.341</c:v>
                  </c:pt>
                  <c:pt idx="19">
                    <c:v>0.339</c:v>
                  </c:pt>
                  <c:pt idx="20">
                    <c:v>0.341</c:v>
                  </c:pt>
                  <c:pt idx="21">
                    <c:v>0.34</c:v>
                  </c:pt>
                  <c:pt idx="22">
                    <c:v>0.34</c:v>
                  </c:pt>
                  <c:pt idx="23">
                    <c:v>0.336</c:v>
                  </c:pt>
                </c:numCache>
              </c:numRef>
            </c:plus>
            <c:minus>
              <c:numRef>
                <c:f>'BMI-FlexAbsorb-50psi'!$U$4:$U$29</c:f>
                <c:numCache>
                  <c:formatCode>General</c:formatCode>
                  <c:ptCount val="26"/>
                  <c:pt idx="0">
                    <c:v>0.033</c:v>
                  </c:pt>
                  <c:pt idx="1">
                    <c:v>0.017</c:v>
                  </c:pt>
                  <c:pt idx="2">
                    <c:v>0.066</c:v>
                  </c:pt>
                  <c:pt idx="3">
                    <c:v>0.085</c:v>
                  </c:pt>
                  <c:pt idx="4">
                    <c:v>0.109</c:v>
                  </c:pt>
                  <c:pt idx="5">
                    <c:v>0.152</c:v>
                  </c:pt>
                  <c:pt idx="6">
                    <c:v>0.178</c:v>
                  </c:pt>
                  <c:pt idx="7">
                    <c:v>0.19</c:v>
                  </c:pt>
                  <c:pt idx="8">
                    <c:v>0.213</c:v>
                  </c:pt>
                  <c:pt idx="9">
                    <c:v>0.249</c:v>
                  </c:pt>
                  <c:pt idx="10">
                    <c:v>0.261</c:v>
                  </c:pt>
                  <c:pt idx="11">
                    <c:v>0.282</c:v>
                  </c:pt>
                  <c:pt idx="12">
                    <c:v>0.305</c:v>
                  </c:pt>
                  <c:pt idx="13">
                    <c:v>0.331</c:v>
                  </c:pt>
                  <c:pt idx="14">
                    <c:v>0.317</c:v>
                  </c:pt>
                  <c:pt idx="15">
                    <c:v>0.339</c:v>
                  </c:pt>
                  <c:pt idx="16">
                    <c:v>0.326</c:v>
                  </c:pt>
                  <c:pt idx="17">
                    <c:v>0.341</c:v>
                  </c:pt>
                  <c:pt idx="18">
                    <c:v>0.341</c:v>
                  </c:pt>
                  <c:pt idx="19">
                    <c:v>0.339</c:v>
                  </c:pt>
                  <c:pt idx="20">
                    <c:v>0.341</c:v>
                  </c:pt>
                  <c:pt idx="21">
                    <c:v>0.34</c:v>
                  </c:pt>
                  <c:pt idx="22">
                    <c:v>0.34</c:v>
                  </c:pt>
                  <c:pt idx="23">
                    <c:v>0.336</c:v>
                  </c:pt>
                </c:numCache>
              </c:numRef>
            </c:minus>
            <c:spPr>
              <a:ln w="12700">
                <a:solidFill>
                  <a:srgbClr val="7030A0"/>
                </a:solidFill>
              </a:ln>
            </c:spPr>
          </c:errBars>
          <c:xVal>
            <c:numRef>
              <c:f>'BMI-FlexAbsorb-50psi'!$S$4:$S$34</c:f>
              <c:numCache>
                <c:formatCode>General</c:formatCode>
                <c:ptCount val="31"/>
                <c:pt idx="0">
                  <c:v>1.56</c:v>
                </c:pt>
                <c:pt idx="1">
                  <c:v>2.45</c:v>
                </c:pt>
                <c:pt idx="2">
                  <c:v>5.27</c:v>
                </c:pt>
                <c:pt idx="3">
                  <c:v>8.73</c:v>
                </c:pt>
                <c:pt idx="4">
                  <c:v>13.85</c:v>
                </c:pt>
                <c:pt idx="5">
                  <c:v>19.68</c:v>
                </c:pt>
                <c:pt idx="6">
                  <c:v>25.51</c:v>
                </c:pt>
                <c:pt idx="7">
                  <c:v>33.95</c:v>
                </c:pt>
                <c:pt idx="8">
                  <c:v>37.04</c:v>
                </c:pt>
                <c:pt idx="9">
                  <c:v>42.75</c:v>
                </c:pt>
                <c:pt idx="10">
                  <c:v>48.28</c:v>
                </c:pt>
                <c:pt idx="11">
                  <c:v>53.9</c:v>
                </c:pt>
                <c:pt idx="12">
                  <c:v>59.59</c:v>
                </c:pt>
                <c:pt idx="13">
                  <c:v>65.0</c:v>
                </c:pt>
                <c:pt idx="14">
                  <c:v>71.53</c:v>
                </c:pt>
                <c:pt idx="15">
                  <c:v>76.7</c:v>
                </c:pt>
                <c:pt idx="16">
                  <c:v>82.42</c:v>
                </c:pt>
                <c:pt idx="17">
                  <c:v>88.3</c:v>
                </c:pt>
                <c:pt idx="18">
                  <c:v>94.35</c:v>
                </c:pt>
                <c:pt idx="19">
                  <c:v>99.69</c:v>
                </c:pt>
                <c:pt idx="20">
                  <c:v>104.73</c:v>
                </c:pt>
                <c:pt idx="21">
                  <c:v>110.3</c:v>
                </c:pt>
                <c:pt idx="22">
                  <c:v>115.93</c:v>
                </c:pt>
                <c:pt idx="23">
                  <c:v>122.95</c:v>
                </c:pt>
              </c:numCache>
            </c:numRef>
          </c:xVal>
          <c:yVal>
            <c:numRef>
              <c:f>'BMI-FlexAbsorb-50psi'!$T$4:$T$34</c:f>
              <c:numCache>
                <c:formatCode>General</c:formatCode>
                <c:ptCount val="31"/>
                <c:pt idx="0">
                  <c:v>0.6998</c:v>
                </c:pt>
                <c:pt idx="1">
                  <c:v>0.9183</c:v>
                </c:pt>
                <c:pt idx="2">
                  <c:v>1.578</c:v>
                </c:pt>
                <c:pt idx="3">
                  <c:v>2.236499999999999</c:v>
                </c:pt>
                <c:pt idx="4">
                  <c:v>2.8252</c:v>
                </c:pt>
                <c:pt idx="5">
                  <c:v>3.1489</c:v>
                </c:pt>
                <c:pt idx="6">
                  <c:v>3.3005</c:v>
                </c:pt>
                <c:pt idx="7">
                  <c:v>3.511499999999999</c:v>
                </c:pt>
                <c:pt idx="8">
                  <c:v>3.5496</c:v>
                </c:pt>
                <c:pt idx="9">
                  <c:v>3.7626</c:v>
                </c:pt>
                <c:pt idx="10">
                  <c:v>4.0729</c:v>
                </c:pt>
                <c:pt idx="11">
                  <c:v>4.2742</c:v>
                </c:pt>
                <c:pt idx="12">
                  <c:v>4.3982</c:v>
                </c:pt>
                <c:pt idx="13">
                  <c:v>4.464599999999995</c:v>
                </c:pt>
                <c:pt idx="14">
                  <c:v>4.4566</c:v>
                </c:pt>
                <c:pt idx="15">
                  <c:v>4.4917</c:v>
                </c:pt>
                <c:pt idx="16">
                  <c:v>4.5002</c:v>
                </c:pt>
                <c:pt idx="17">
                  <c:v>4.5382</c:v>
                </c:pt>
                <c:pt idx="18">
                  <c:v>4.528899999999997</c:v>
                </c:pt>
                <c:pt idx="19">
                  <c:v>4.5861</c:v>
                </c:pt>
                <c:pt idx="20">
                  <c:v>4.5734</c:v>
                </c:pt>
                <c:pt idx="21">
                  <c:v>4.5665</c:v>
                </c:pt>
                <c:pt idx="22">
                  <c:v>4.5954</c:v>
                </c:pt>
                <c:pt idx="23">
                  <c:v>4.568499999999998</c:v>
                </c:pt>
              </c:numCache>
            </c:numRef>
          </c:yVal>
          <c:smooth val="0"/>
        </c:ser>
        <c:dLbls>
          <c:showLegendKey val="0"/>
          <c:showVal val="0"/>
          <c:showCatName val="0"/>
          <c:showSerName val="0"/>
          <c:showPercent val="0"/>
          <c:showBubbleSize val="0"/>
        </c:dLbls>
        <c:axId val="564217720"/>
        <c:axId val="564204232"/>
      </c:scatterChart>
      <c:valAx>
        <c:axId val="564217720"/>
        <c:scaling>
          <c:orientation val="minMax"/>
          <c:max val="19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564204232"/>
        <c:crosses val="autoZero"/>
        <c:crossBetween val="midCat"/>
        <c:minorUnit val="12.5"/>
      </c:valAx>
      <c:valAx>
        <c:axId val="564204232"/>
        <c:scaling>
          <c:orientation val="minMax"/>
          <c:max val="11.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564217720"/>
        <c:crosses val="autoZero"/>
        <c:crossBetween val="midCat"/>
        <c:majorUnit val="2.0"/>
        <c:minorUnit val="0.5"/>
      </c:valAx>
      <c:spPr>
        <a:ln w="19050">
          <a:solidFill>
            <a:sysClr val="windowText" lastClr="000000"/>
          </a:solidFill>
        </a:ln>
      </c:spPr>
    </c:plotArea>
    <c:legend>
      <c:legendPos val="r"/>
      <c:legendEntry>
        <c:idx val="0"/>
        <c:delete val="1"/>
      </c:legendEntry>
      <c:layout>
        <c:manualLayout>
          <c:xMode val="edge"/>
          <c:yMode val="edge"/>
          <c:x val="0.431826812815061"/>
          <c:y val="0.0448644703927537"/>
          <c:w val="0.475908776409753"/>
          <c:h val="0.0964219950276208"/>
        </c:manualLayout>
      </c:layout>
      <c:overlay val="1"/>
      <c:spPr>
        <a:solidFill>
          <a:schemeClr val="bg1"/>
        </a:solidFill>
      </c:spPr>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3711090654434"/>
          <c:y val="0.0333485658183765"/>
          <c:w val="0.750570903213369"/>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square"/>
            <c:size val="5"/>
            <c:spPr>
              <a:solidFill>
                <a:srgbClr val="0070C0">
                  <a:alpha val="50000"/>
                </a:srgbClr>
              </a:solidFill>
              <a:ln w="12700">
                <a:solidFill>
                  <a:schemeClr val="tx1"/>
                </a:solidFill>
              </a:ln>
            </c:spPr>
          </c:marker>
          <c:errBars>
            <c:errDir val="y"/>
            <c:errBarType val="both"/>
            <c:errValType val="cust"/>
            <c:noEndCap val="0"/>
            <c:plus>
              <c:numRef>
                <c:f>'BMI-FlexAbsorb-70psi'!$C$4:$C$29</c:f>
                <c:numCache>
                  <c:formatCode>General</c:formatCode>
                  <c:ptCount val="26"/>
                  <c:pt idx="0">
                    <c:v>0.011</c:v>
                  </c:pt>
                  <c:pt idx="1">
                    <c:v>0.009</c:v>
                  </c:pt>
                  <c:pt idx="2">
                    <c:v>0.017</c:v>
                  </c:pt>
                  <c:pt idx="3">
                    <c:v>0.021</c:v>
                  </c:pt>
                  <c:pt idx="4">
                    <c:v>0.022</c:v>
                  </c:pt>
                  <c:pt idx="5">
                    <c:v>0.014</c:v>
                  </c:pt>
                  <c:pt idx="6">
                    <c:v>0.029</c:v>
                  </c:pt>
                  <c:pt idx="7">
                    <c:v>0.024</c:v>
                  </c:pt>
                  <c:pt idx="8">
                    <c:v>0.025</c:v>
                  </c:pt>
                  <c:pt idx="9">
                    <c:v>0.04</c:v>
                  </c:pt>
                  <c:pt idx="10">
                    <c:v>0.036</c:v>
                  </c:pt>
                  <c:pt idx="11">
                    <c:v>0.041</c:v>
                  </c:pt>
                  <c:pt idx="12">
                    <c:v>0.022</c:v>
                  </c:pt>
                  <c:pt idx="13">
                    <c:v>0.036</c:v>
                  </c:pt>
                  <c:pt idx="14">
                    <c:v>0.023</c:v>
                  </c:pt>
                  <c:pt idx="15">
                    <c:v>0.029</c:v>
                  </c:pt>
                  <c:pt idx="16">
                    <c:v>0.03</c:v>
                  </c:pt>
                  <c:pt idx="17">
                    <c:v>0.036</c:v>
                  </c:pt>
                  <c:pt idx="18">
                    <c:v>0.031</c:v>
                  </c:pt>
                  <c:pt idx="19">
                    <c:v>0.037</c:v>
                  </c:pt>
                  <c:pt idx="20">
                    <c:v>0.032</c:v>
                  </c:pt>
                  <c:pt idx="21">
                    <c:v>0.022</c:v>
                  </c:pt>
                  <c:pt idx="22">
                    <c:v>0.022</c:v>
                  </c:pt>
                  <c:pt idx="23">
                    <c:v>0.035</c:v>
                  </c:pt>
                </c:numCache>
              </c:numRef>
            </c:plus>
            <c:minus>
              <c:numRef>
                <c:f>'BMI-FlexAbsorb-70psi'!$C$4:$C$29</c:f>
                <c:numCache>
                  <c:formatCode>General</c:formatCode>
                  <c:ptCount val="26"/>
                  <c:pt idx="0">
                    <c:v>0.011</c:v>
                  </c:pt>
                  <c:pt idx="1">
                    <c:v>0.009</c:v>
                  </c:pt>
                  <c:pt idx="2">
                    <c:v>0.017</c:v>
                  </c:pt>
                  <c:pt idx="3">
                    <c:v>0.021</c:v>
                  </c:pt>
                  <c:pt idx="4">
                    <c:v>0.022</c:v>
                  </c:pt>
                  <c:pt idx="5">
                    <c:v>0.014</c:v>
                  </c:pt>
                  <c:pt idx="6">
                    <c:v>0.029</c:v>
                  </c:pt>
                  <c:pt idx="7">
                    <c:v>0.024</c:v>
                  </c:pt>
                  <c:pt idx="8">
                    <c:v>0.025</c:v>
                  </c:pt>
                  <c:pt idx="9">
                    <c:v>0.04</c:v>
                  </c:pt>
                  <c:pt idx="10">
                    <c:v>0.036</c:v>
                  </c:pt>
                  <c:pt idx="11">
                    <c:v>0.041</c:v>
                  </c:pt>
                  <c:pt idx="12">
                    <c:v>0.022</c:v>
                  </c:pt>
                  <c:pt idx="13">
                    <c:v>0.036</c:v>
                  </c:pt>
                  <c:pt idx="14">
                    <c:v>0.023</c:v>
                  </c:pt>
                  <c:pt idx="15">
                    <c:v>0.029</c:v>
                  </c:pt>
                  <c:pt idx="16">
                    <c:v>0.03</c:v>
                  </c:pt>
                  <c:pt idx="17">
                    <c:v>0.036</c:v>
                  </c:pt>
                  <c:pt idx="18">
                    <c:v>0.031</c:v>
                  </c:pt>
                  <c:pt idx="19">
                    <c:v>0.037</c:v>
                  </c:pt>
                  <c:pt idx="20">
                    <c:v>0.032</c:v>
                  </c:pt>
                  <c:pt idx="21">
                    <c:v>0.022</c:v>
                  </c:pt>
                  <c:pt idx="22">
                    <c:v>0.022</c:v>
                  </c:pt>
                  <c:pt idx="23">
                    <c:v>0.035</c:v>
                  </c:pt>
                </c:numCache>
              </c:numRef>
            </c:minus>
            <c:spPr>
              <a:ln w="12700">
                <a:solidFill>
                  <a:srgbClr val="0070C0"/>
                </a:solidFill>
              </a:ln>
            </c:spPr>
          </c:errBars>
          <c:xVal>
            <c:numRef>
              <c:f>'BMI-FlexAbsorb-70psi'!$A$4:$A$34</c:f>
              <c:numCache>
                <c:formatCode>General</c:formatCode>
                <c:ptCount val="31"/>
                <c:pt idx="0">
                  <c:v>1.47</c:v>
                </c:pt>
                <c:pt idx="1">
                  <c:v>2.39</c:v>
                </c:pt>
                <c:pt idx="2">
                  <c:v>5.25</c:v>
                </c:pt>
                <c:pt idx="3">
                  <c:v>8.719999999999998</c:v>
                </c:pt>
                <c:pt idx="4">
                  <c:v>13.84</c:v>
                </c:pt>
                <c:pt idx="5">
                  <c:v>19.68</c:v>
                </c:pt>
                <c:pt idx="6">
                  <c:v>25.5</c:v>
                </c:pt>
                <c:pt idx="7">
                  <c:v>33.95</c:v>
                </c:pt>
                <c:pt idx="8">
                  <c:v>37.04</c:v>
                </c:pt>
                <c:pt idx="9">
                  <c:v>42.75</c:v>
                </c:pt>
                <c:pt idx="10">
                  <c:v>48.27</c:v>
                </c:pt>
                <c:pt idx="11">
                  <c:v>53.9</c:v>
                </c:pt>
                <c:pt idx="12">
                  <c:v>59.58</c:v>
                </c:pt>
                <c:pt idx="13">
                  <c:v>65.0</c:v>
                </c:pt>
                <c:pt idx="14">
                  <c:v>71.52</c:v>
                </c:pt>
                <c:pt idx="15">
                  <c:v>76.7</c:v>
                </c:pt>
                <c:pt idx="16">
                  <c:v>82.42</c:v>
                </c:pt>
                <c:pt idx="17">
                  <c:v>88.3</c:v>
                </c:pt>
                <c:pt idx="18">
                  <c:v>94.35</c:v>
                </c:pt>
                <c:pt idx="19">
                  <c:v>99.69</c:v>
                </c:pt>
                <c:pt idx="20">
                  <c:v>104.73</c:v>
                </c:pt>
                <c:pt idx="21">
                  <c:v>110.3</c:v>
                </c:pt>
                <c:pt idx="22">
                  <c:v>115.93</c:v>
                </c:pt>
                <c:pt idx="23">
                  <c:v>122.96</c:v>
                </c:pt>
                <c:pt idx="30">
                  <c:v>138.54</c:v>
                </c:pt>
              </c:numCache>
            </c:numRef>
          </c:xVal>
          <c:yVal>
            <c:numRef>
              <c:f>'BMI-FlexAbsorb-70psi'!$B$4:$B$34</c:f>
              <c:numCache>
                <c:formatCode>General</c:formatCode>
                <c:ptCount val="31"/>
                <c:pt idx="0">
                  <c:v>0.168</c:v>
                </c:pt>
                <c:pt idx="1">
                  <c:v>0.1858</c:v>
                </c:pt>
                <c:pt idx="2">
                  <c:v>0.2491</c:v>
                </c:pt>
                <c:pt idx="3">
                  <c:v>0.3057</c:v>
                </c:pt>
                <c:pt idx="4">
                  <c:v>0.3876</c:v>
                </c:pt>
                <c:pt idx="5">
                  <c:v>0.4535</c:v>
                </c:pt>
                <c:pt idx="6">
                  <c:v>0.539</c:v>
                </c:pt>
                <c:pt idx="7">
                  <c:v>0.6346</c:v>
                </c:pt>
                <c:pt idx="8">
                  <c:v>0.611</c:v>
                </c:pt>
                <c:pt idx="9">
                  <c:v>0.6653</c:v>
                </c:pt>
                <c:pt idx="10">
                  <c:v>0.7125</c:v>
                </c:pt>
                <c:pt idx="11">
                  <c:v>0.7534</c:v>
                </c:pt>
                <c:pt idx="12">
                  <c:v>0.8159</c:v>
                </c:pt>
                <c:pt idx="13">
                  <c:v>0.8904</c:v>
                </c:pt>
                <c:pt idx="14">
                  <c:v>0.9617</c:v>
                </c:pt>
                <c:pt idx="15">
                  <c:v>1.0226</c:v>
                </c:pt>
                <c:pt idx="16">
                  <c:v>1.0742</c:v>
                </c:pt>
                <c:pt idx="17">
                  <c:v>1.1795</c:v>
                </c:pt>
                <c:pt idx="18">
                  <c:v>1.1961</c:v>
                </c:pt>
                <c:pt idx="19">
                  <c:v>1.2753</c:v>
                </c:pt>
                <c:pt idx="20">
                  <c:v>1.2992</c:v>
                </c:pt>
                <c:pt idx="21">
                  <c:v>1.2309</c:v>
                </c:pt>
                <c:pt idx="22">
                  <c:v>1.374</c:v>
                </c:pt>
                <c:pt idx="23">
                  <c:v>1.4123</c:v>
                </c:pt>
              </c:numCache>
            </c:numRef>
          </c:yVal>
          <c:smooth val="0"/>
        </c:ser>
        <c:ser>
          <c:idx val="1"/>
          <c:order val="2"/>
          <c:tx>
            <c:v>40% RH</c:v>
          </c:tx>
          <c:spPr>
            <a:ln w="28575">
              <a:noFill/>
            </a:ln>
          </c:spPr>
          <c:marker>
            <c:symbol val="square"/>
            <c:size val="5"/>
            <c:spPr>
              <a:solidFill>
                <a:srgbClr val="C00000">
                  <a:alpha val="50000"/>
                </a:srgbClr>
              </a:solidFill>
              <a:ln w="12700">
                <a:solidFill>
                  <a:sysClr val="windowText" lastClr="000000"/>
                </a:solidFill>
              </a:ln>
            </c:spPr>
          </c:marker>
          <c:errBars>
            <c:errDir val="y"/>
            <c:errBarType val="both"/>
            <c:errValType val="cust"/>
            <c:noEndCap val="0"/>
            <c:plus>
              <c:numRef>
                <c:f>'BMI-FlexAbsorb-70psi'!$I$4:$I$29</c:f>
                <c:numCache>
                  <c:formatCode>General</c:formatCode>
                  <c:ptCount val="26"/>
                  <c:pt idx="0">
                    <c:v>0.062</c:v>
                  </c:pt>
                  <c:pt idx="1">
                    <c:v>0.093</c:v>
                  </c:pt>
                  <c:pt idx="2">
                    <c:v>0.179</c:v>
                  </c:pt>
                  <c:pt idx="3">
                    <c:v>0.253</c:v>
                  </c:pt>
                  <c:pt idx="4">
                    <c:v>0.304</c:v>
                  </c:pt>
                  <c:pt idx="5">
                    <c:v>0.311</c:v>
                  </c:pt>
                  <c:pt idx="6">
                    <c:v>0.308</c:v>
                  </c:pt>
                  <c:pt idx="7">
                    <c:v>0.315</c:v>
                  </c:pt>
                  <c:pt idx="8">
                    <c:v>0.312</c:v>
                  </c:pt>
                  <c:pt idx="9">
                    <c:v>0.333</c:v>
                  </c:pt>
                  <c:pt idx="10">
                    <c:v>0.342</c:v>
                  </c:pt>
                  <c:pt idx="11">
                    <c:v>0.347</c:v>
                  </c:pt>
                  <c:pt idx="12">
                    <c:v>0.356</c:v>
                  </c:pt>
                  <c:pt idx="13">
                    <c:v>0.356</c:v>
                  </c:pt>
                  <c:pt idx="14">
                    <c:v>0.351</c:v>
                  </c:pt>
                  <c:pt idx="15">
                    <c:v>0.359</c:v>
                  </c:pt>
                  <c:pt idx="16">
                    <c:v>0.354</c:v>
                  </c:pt>
                  <c:pt idx="17">
                    <c:v>0.356</c:v>
                  </c:pt>
                  <c:pt idx="18">
                    <c:v>0.374</c:v>
                  </c:pt>
                  <c:pt idx="19">
                    <c:v>0.358</c:v>
                  </c:pt>
                  <c:pt idx="20">
                    <c:v>0.357</c:v>
                  </c:pt>
                  <c:pt idx="21">
                    <c:v>0.36</c:v>
                  </c:pt>
                  <c:pt idx="22">
                    <c:v>0.353</c:v>
                  </c:pt>
                  <c:pt idx="23">
                    <c:v>0.333</c:v>
                  </c:pt>
                </c:numCache>
              </c:numRef>
            </c:plus>
            <c:minus>
              <c:numRef>
                <c:f>'BMI-FlexAbsorb-70psi'!$I$4:$I$29</c:f>
                <c:numCache>
                  <c:formatCode>General</c:formatCode>
                  <c:ptCount val="26"/>
                  <c:pt idx="0">
                    <c:v>0.062</c:v>
                  </c:pt>
                  <c:pt idx="1">
                    <c:v>0.093</c:v>
                  </c:pt>
                  <c:pt idx="2">
                    <c:v>0.179</c:v>
                  </c:pt>
                  <c:pt idx="3">
                    <c:v>0.253</c:v>
                  </c:pt>
                  <c:pt idx="4">
                    <c:v>0.304</c:v>
                  </c:pt>
                  <c:pt idx="5">
                    <c:v>0.311</c:v>
                  </c:pt>
                  <c:pt idx="6">
                    <c:v>0.308</c:v>
                  </c:pt>
                  <c:pt idx="7">
                    <c:v>0.315</c:v>
                  </c:pt>
                  <c:pt idx="8">
                    <c:v>0.312</c:v>
                  </c:pt>
                  <c:pt idx="9">
                    <c:v>0.333</c:v>
                  </c:pt>
                  <c:pt idx="10">
                    <c:v>0.342</c:v>
                  </c:pt>
                  <c:pt idx="11">
                    <c:v>0.347</c:v>
                  </c:pt>
                  <c:pt idx="12">
                    <c:v>0.356</c:v>
                  </c:pt>
                  <c:pt idx="13">
                    <c:v>0.356</c:v>
                  </c:pt>
                  <c:pt idx="14">
                    <c:v>0.351</c:v>
                  </c:pt>
                  <c:pt idx="15">
                    <c:v>0.359</c:v>
                  </c:pt>
                  <c:pt idx="16">
                    <c:v>0.354</c:v>
                  </c:pt>
                  <c:pt idx="17">
                    <c:v>0.356</c:v>
                  </c:pt>
                  <c:pt idx="18">
                    <c:v>0.374</c:v>
                  </c:pt>
                  <c:pt idx="19">
                    <c:v>0.358</c:v>
                  </c:pt>
                  <c:pt idx="20">
                    <c:v>0.357</c:v>
                  </c:pt>
                  <c:pt idx="21">
                    <c:v>0.36</c:v>
                  </c:pt>
                  <c:pt idx="22">
                    <c:v>0.353</c:v>
                  </c:pt>
                  <c:pt idx="23">
                    <c:v>0.333</c:v>
                  </c:pt>
                </c:numCache>
              </c:numRef>
            </c:minus>
            <c:spPr>
              <a:ln w="12700">
                <a:solidFill>
                  <a:srgbClr val="C00000"/>
                </a:solidFill>
              </a:ln>
            </c:spPr>
          </c:errBars>
          <c:xVal>
            <c:numRef>
              <c:f>'BMI-FlexAbsorb-70psi'!$G$4:$G$34</c:f>
              <c:numCache>
                <c:formatCode>General</c:formatCode>
                <c:ptCount val="31"/>
                <c:pt idx="0">
                  <c:v>1.51</c:v>
                </c:pt>
                <c:pt idx="1">
                  <c:v>2.42</c:v>
                </c:pt>
                <c:pt idx="2">
                  <c:v>5.26</c:v>
                </c:pt>
                <c:pt idx="3">
                  <c:v>8.73</c:v>
                </c:pt>
                <c:pt idx="4">
                  <c:v>13.85</c:v>
                </c:pt>
                <c:pt idx="5">
                  <c:v>19.68</c:v>
                </c:pt>
                <c:pt idx="6">
                  <c:v>25.51</c:v>
                </c:pt>
                <c:pt idx="7">
                  <c:v>33.96</c:v>
                </c:pt>
                <c:pt idx="8">
                  <c:v>37.04</c:v>
                </c:pt>
                <c:pt idx="9">
                  <c:v>42.75</c:v>
                </c:pt>
                <c:pt idx="10">
                  <c:v>48.28</c:v>
                </c:pt>
                <c:pt idx="11">
                  <c:v>53.9</c:v>
                </c:pt>
                <c:pt idx="12">
                  <c:v>59.59</c:v>
                </c:pt>
                <c:pt idx="13">
                  <c:v>65.0</c:v>
                </c:pt>
                <c:pt idx="14">
                  <c:v>71.53</c:v>
                </c:pt>
                <c:pt idx="15">
                  <c:v>76.7</c:v>
                </c:pt>
                <c:pt idx="16">
                  <c:v>82.42</c:v>
                </c:pt>
                <c:pt idx="17">
                  <c:v>88.3</c:v>
                </c:pt>
                <c:pt idx="18">
                  <c:v>94.35</c:v>
                </c:pt>
                <c:pt idx="19">
                  <c:v>99.69</c:v>
                </c:pt>
                <c:pt idx="20">
                  <c:v>104.73</c:v>
                </c:pt>
                <c:pt idx="21">
                  <c:v>110.3</c:v>
                </c:pt>
                <c:pt idx="22">
                  <c:v>115.93</c:v>
                </c:pt>
                <c:pt idx="23">
                  <c:v>122.96</c:v>
                </c:pt>
              </c:numCache>
            </c:numRef>
          </c:xVal>
          <c:yVal>
            <c:numRef>
              <c:f>'BMI-FlexAbsorb-70psi'!$H$4:$H$34</c:f>
              <c:numCache>
                <c:formatCode>General</c:formatCode>
                <c:ptCount val="31"/>
                <c:pt idx="0">
                  <c:v>0.3673</c:v>
                </c:pt>
                <c:pt idx="1">
                  <c:v>0.4727</c:v>
                </c:pt>
                <c:pt idx="2">
                  <c:v>0.7667</c:v>
                </c:pt>
                <c:pt idx="3">
                  <c:v>1.0615</c:v>
                </c:pt>
                <c:pt idx="4">
                  <c:v>1.321</c:v>
                </c:pt>
                <c:pt idx="5">
                  <c:v>1.4611</c:v>
                </c:pt>
                <c:pt idx="6">
                  <c:v>1.617</c:v>
                </c:pt>
                <c:pt idx="7">
                  <c:v>1.7612</c:v>
                </c:pt>
                <c:pt idx="8">
                  <c:v>1.7579</c:v>
                </c:pt>
                <c:pt idx="9">
                  <c:v>1.8105</c:v>
                </c:pt>
                <c:pt idx="10">
                  <c:v>1.8419</c:v>
                </c:pt>
                <c:pt idx="11">
                  <c:v>1.8797</c:v>
                </c:pt>
                <c:pt idx="12">
                  <c:v>1.9769</c:v>
                </c:pt>
                <c:pt idx="13">
                  <c:v>2.0774</c:v>
                </c:pt>
                <c:pt idx="14">
                  <c:v>2.1136</c:v>
                </c:pt>
                <c:pt idx="15">
                  <c:v>2.1532</c:v>
                </c:pt>
                <c:pt idx="16">
                  <c:v>2.178</c:v>
                </c:pt>
                <c:pt idx="17">
                  <c:v>2.272</c:v>
                </c:pt>
                <c:pt idx="18">
                  <c:v>2.2613</c:v>
                </c:pt>
                <c:pt idx="19">
                  <c:v>2.2966</c:v>
                </c:pt>
                <c:pt idx="20">
                  <c:v>2.337</c:v>
                </c:pt>
                <c:pt idx="21">
                  <c:v>2.3296</c:v>
                </c:pt>
                <c:pt idx="22">
                  <c:v>2.378299999999998</c:v>
                </c:pt>
                <c:pt idx="23">
                  <c:v>2.3643</c:v>
                </c:pt>
              </c:numCache>
            </c:numRef>
          </c:yVal>
          <c:smooth val="0"/>
        </c:ser>
        <c:ser>
          <c:idx val="2"/>
          <c:order val="3"/>
          <c:tx>
            <c:v>70% RH</c:v>
          </c:tx>
          <c:spPr>
            <a:ln w="28575">
              <a:noFill/>
            </a:ln>
          </c:spPr>
          <c:marker>
            <c:symbol val="square"/>
            <c:size val="5"/>
            <c:spPr>
              <a:solidFill>
                <a:srgbClr val="00B050">
                  <a:alpha val="50000"/>
                </a:srgbClr>
              </a:solidFill>
              <a:ln w="12700">
                <a:solidFill>
                  <a:sysClr val="windowText" lastClr="000000"/>
                </a:solidFill>
              </a:ln>
            </c:spPr>
          </c:marker>
          <c:errBars>
            <c:errDir val="y"/>
            <c:errBarType val="both"/>
            <c:errValType val="cust"/>
            <c:noEndCap val="0"/>
            <c:plus>
              <c:numRef>
                <c:f>'BMI-FlexAbsorb-70psi'!$O$4:$O$29</c:f>
                <c:numCache>
                  <c:formatCode>General</c:formatCode>
                  <c:ptCount val="26"/>
                  <c:pt idx="0">
                    <c:v>0.088</c:v>
                  </c:pt>
                  <c:pt idx="1">
                    <c:v>0.109</c:v>
                  </c:pt>
                  <c:pt idx="2">
                    <c:v>0.192</c:v>
                  </c:pt>
                  <c:pt idx="3">
                    <c:v>0.27</c:v>
                  </c:pt>
                  <c:pt idx="4">
                    <c:v>0.354</c:v>
                  </c:pt>
                  <c:pt idx="5">
                    <c:v>0.383</c:v>
                  </c:pt>
                  <c:pt idx="6">
                    <c:v>0.366</c:v>
                  </c:pt>
                  <c:pt idx="7">
                    <c:v>0.344</c:v>
                  </c:pt>
                  <c:pt idx="8">
                    <c:v>0.363</c:v>
                  </c:pt>
                  <c:pt idx="9">
                    <c:v>0.387</c:v>
                  </c:pt>
                  <c:pt idx="10">
                    <c:v>0.422</c:v>
                  </c:pt>
                  <c:pt idx="11">
                    <c:v>0.446</c:v>
                  </c:pt>
                  <c:pt idx="12">
                    <c:v>0.456</c:v>
                  </c:pt>
                  <c:pt idx="13">
                    <c:v>0.494</c:v>
                  </c:pt>
                  <c:pt idx="14">
                    <c:v>0.497</c:v>
                  </c:pt>
                  <c:pt idx="15">
                    <c:v>0.5</c:v>
                  </c:pt>
                  <c:pt idx="16">
                    <c:v>0.478</c:v>
                  </c:pt>
                  <c:pt idx="17">
                    <c:v>0.493</c:v>
                  </c:pt>
                  <c:pt idx="18">
                    <c:v>0.485</c:v>
                  </c:pt>
                  <c:pt idx="19">
                    <c:v>0.495</c:v>
                  </c:pt>
                  <c:pt idx="20">
                    <c:v>0.5</c:v>
                  </c:pt>
                  <c:pt idx="21">
                    <c:v>0.493</c:v>
                  </c:pt>
                  <c:pt idx="22">
                    <c:v>0.505</c:v>
                  </c:pt>
                  <c:pt idx="23">
                    <c:v>0.487</c:v>
                  </c:pt>
                </c:numCache>
              </c:numRef>
            </c:plus>
            <c:minus>
              <c:numRef>
                <c:f>'BMI-FlexAbsorb-70psi'!$O$4:$O$29</c:f>
                <c:numCache>
                  <c:formatCode>General</c:formatCode>
                  <c:ptCount val="26"/>
                  <c:pt idx="0">
                    <c:v>0.088</c:v>
                  </c:pt>
                  <c:pt idx="1">
                    <c:v>0.109</c:v>
                  </c:pt>
                  <c:pt idx="2">
                    <c:v>0.192</c:v>
                  </c:pt>
                  <c:pt idx="3">
                    <c:v>0.27</c:v>
                  </c:pt>
                  <c:pt idx="4">
                    <c:v>0.354</c:v>
                  </c:pt>
                  <c:pt idx="5">
                    <c:v>0.383</c:v>
                  </c:pt>
                  <c:pt idx="6">
                    <c:v>0.366</c:v>
                  </c:pt>
                  <c:pt idx="7">
                    <c:v>0.344</c:v>
                  </c:pt>
                  <c:pt idx="8">
                    <c:v>0.363</c:v>
                  </c:pt>
                  <c:pt idx="9">
                    <c:v>0.387</c:v>
                  </c:pt>
                  <c:pt idx="10">
                    <c:v>0.422</c:v>
                  </c:pt>
                  <c:pt idx="11">
                    <c:v>0.446</c:v>
                  </c:pt>
                  <c:pt idx="12">
                    <c:v>0.456</c:v>
                  </c:pt>
                  <c:pt idx="13">
                    <c:v>0.494</c:v>
                  </c:pt>
                  <c:pt idx="14">
                    <c:v>0.497</c:v>
                  </c:pt>
                  <c:pt idx="15">
                    <c:v>0.5</c:v>
                  </c:pt>
                  <c:pt idx="16">
                    <c:v>0.478</c:v>
                  </c:pt>
                  <c:pt idx="17">
                    <c:v>0.493</c:v>
                  </c:pt>
                  <c:pt idx="18">
                    <c:v>0.485</c:v>
                  </c:pt>
                  <c:pt idx="19">
                    <c:v>0.495</c:v>
                  </c:pt>
                  <c:pt idx="20">
                    <c:v>0.5</c:v>
                  </c:pt>
                  <c:pt idx="21">
                    <c:v>0.493</c:v>
                  </c:pt>
                  <c:pt idx="22">
                    <c:v>0.505</c:v>
                  </c:pt>
                  <c:pt idx="23">
                    <c:v>0.487</c:v>
                  </c:pt>
                </c:numCache>
              </c:numRef>
            </c:minus>
            <c:spPr>
              <a:ln w="12700">
                <a:solidFill>
                  <a:srgbClr val="00B050"/>
                </a:solidFill>
              </a:ln>
            </c:spPr>
          </c:errBars>
          <c:xVal>
            <c:numRef>
              <c:f>'BMI-FlexAbsorb-70psi'!$M$4:$M$34</c:f>
              <c:numCache>
                <c:formatCode>General</c:formatCode>
                <c:ptCount val="31"/>
                <c:pt idx="0">
                  <c:v>1.57</c:v>
                </c:pt>
                <c:pt idx="1">
                  <c:v>2.45</c:v>
                </c:pt>
                <c:pt idx="2">
                  <c:v>5.27</c:v>
                </c:pt>
                <c:pt idx="3">
                  <c:v>8.74</c:v>
                </c:pt>
                <c:pt idx="4">
                  <c:v>13.85</c:v>
                </c:pt>
                <c:pt idx="5">
                  <c:v>19.68</c:v>
                </c:pt>
                <c:pt idx="6">
                  <c:v>25.51</c:v>
                </c:pt>
                <c:pt idx="7">
                  <c:v>33.96</c:v>
                </c:pt>
                <c:pt idx="8">
                  <c:v>37.04</c:v>
                </c:pt>
                <c:pt idx="9">
                  <c:v>42.75</c:v>
                </c:pt>
                <c:pt idx="10">
                  <c:v>48.28</c:v>
                </c:pt>
                <c:pt idx="11">
                  <c:v>53.9</c:v>
                </c:pt>
                <c:pt idx="12">
                  <c:v>59.59</c:v>
                </c:pt>
                <c:pt idx="13">
                  <c:v>65.0</c:v>
                </c:pt>
                <c:pt idx="14">
                  <c:v>71.53</c:v>
                </c:pt>
                <c:pt idx="15">
                  <c:v>76.7</c:v>
                </c:pt>
                <c:pt idx="16">
                  <c:v>82.42</c:v>
                </c:pt>
                <c:pt idx="17">
                  <c:v>88.3</c:v>
                </c:pt>
                <c:pt idx="18">
                  <c:v>94.35</c:v>
                </c:pt>
                <c:pt idx="19">
                  <c:v>99.69</c:v>
                </c:pt>
                <c:pt idx="20">
                  <c:v>104.73</c:v>
                </c:pt>
                <c:pt idx="21">
                  <c:v>110.3</c:v>
                </c:pt>
                <c:pt idx="22">
                  <c:v>115.93</c:v>
                </c:pt>
                <c:pt idx="23">
                  <c:v>122.96</c:v>
                </c:pt>
              </c:numCache>
            </c:numRef>
          </c:xVal>
          <c:yVal>
            <c:numRef>
              <c:f>'BMI-FlexAbsorb-70psi'!$N$4:$N$34</c:f>
              <c:numCache>
                <c:formatCode>General</c:formatCode>
                <c:ptCount val="31"/>
                <c:pt idx="0">
                  <c:v>0.6333</c:v>
                </c:pt>
                <c:pt idx="1">
                  <c:v>0.8471</c:v>
                </c:pt>
                <c:pt idx="2">
                  <c:v>1.5235</c:v>
                </c:pt>
                <c:pt idx="3">
                  <c:v>2.1534</c:v>
                </c:pt>
                <c:pt idx="4">
                  <c:v>2.6793</c:v>
                </c:pt>
                <c:pt idx="5">
                  <c:v>2.8885</c:v>
                </c:pt>
                <c:pt idx="6">
                  <c:v>3.0387</c:v>
                </c:pt>
                <c:pt idx="7">
                  <c:v>3.2306</c:v>
                </c:pt>
                <c:pt idx="8">
                  <c:v>3.3199</c:v>
                </c:pt>
                <c:pt idx="9">
                  <c:v>3.5146</c:v>
                </c:pt>
                <c:pt idx="10">
                  <c:v>3.6977</c:v>
                </c:pt>
                <c:pt idx="11">
                  <c:v>3.765</c:v>
                </c:pt>
                <c:pt idx="12">
                  <c:v>3.8355</c:v>
                </c:pt>
                <c:pt idx="13">
                  <c:v>3.878099999999998</c:v>
                </c:pt>
                <c:pt idx="14">
                  <c:v>3.8942</c:v>
                </c:pt>
                <c:pt idx="15">
                  <c:v>3.9272</c:v>
                </c:pt>
                <c:pt idx="16">
                  <c:v>3.9388</c:v>
                </c:pt>
                <c:pt idx="17">
                  <c:v>3.9592</c:v>
                </c:pt>
                <c:pt idx="18">
                  <c:v>3.958299999999999</c:v>
                </c:pt>
                <c:pt idx="19">
                  <c:v>3.9798</c:v>
                </c:pt>
                <c:pt idx="20">
                  <c:v>3.9886</c:v>
                </c:pt>
                <c:pt idx="21">
                  <c:v>4.0081</c:v>
                </c:pt>
                <c:pt idx="22">
                  <c:v>4.0095</c:v>
                </c:pt>
                <c:pt idx="23">
                  <c:v>4.0156</c:v>
                </c:pt>
              </c:numCache>
            </c:numRef>
          </c:yVal>
          <c:smooth val="0"/>
        </c:ser>
        <c:ser>
          <c:idx val="3"/>
          <c:order val="4"/>
          <c:tx>
            <c:v>99% RH</c:v>
          </c:tx>
          <c:spPr>
            <a:ln w="28575">
              <a:noFill/>
            </a:ln>
          </c:spPr>
          <c:marker>
            <c:symbol val="square"/>
            <c:size val="5"/>
            <c:spPr>
              <a:solidFill>
                <a:srgbClr val="7030A0">
                  <a:alpha val="50000"/>
                </a:srgbClr>
              </a:solidFill>
              <a:ln w="12700">
                <a:solidFill>
                  <a:sysClr val="windowText" lastClr="000000"/>
                </a:solidFill>
              </a:ln>
            </c:spPr>
          </c:marker>
          <c:errBars>
            <c:errDir val="y"/>
            <c:errBarType val="both"/>
            <c:errValType val="cust"/>
            <c:noEndCap val="0"/>
            <c:plus>
              <c:numRef>
                <c:f>'BMI-FlexAbsorb-70psi'!$U$4:$U$29</c:f>
                <c:numCache>
                  <c:formatCode>General</c:formatCode>
                  <c:ptCount val="26"/>
                  <c:pt idx="0">
                    <c:v>0.023</c:v>
                  </c:pt>
                  <c:pt idx="1">
                    <c:v>0.03</c:v>
                  </c:pt>
                  <c:pt idx="2">
                    <c:v>0.046</c:v>
                  </c:pt>
                  <c:pt idx="3">
                    <c:v>0.076</c:v>
                  </c:pt>
                  <c:pt idx="4">
                    <c:v>0.084</c:v>
                  </c:pt>
                  <c:pt idx="5">
                    <c:v>0.105</c:v>
                  </c:pt>
                  <c:pt idx="6">
                    <c:v>0.125</c:v>
                  </c:pt>
                  <c:pt idx="7">
                    <c:v>0.117</c:v>
                  </c:pt>
                  <c:pt idx="8">
                    <c:v>0.124</c:v>
                  </c:pt>
                  <c:pt idx="9">
                    <c:v>0.147</c:v>
                  </c:pt>
                  <c:pt idx="10">
                    <c:v>0.168</c:v>
                  </c:pt>
                  <c:pt idx="11">
                    <c:v>0.198</c:v>
                  </c:pt>
                  <c:pt idx="12">
                    <c:v>0.228</c:v>
                  </c:pt>
                  <c:pt idx="13">
                    <c:v>0.25</c:v>
                  </c:pt>
                  <c:pt idx="14">
                    <c:v>0.229</c:v>
                  </c:pt>
                  <c:pt idx="15">
                    <c:v>0.255</c:v>
                  </c:pt>
                  <c:pt idx="16">
                    <c:v>0.253</c:v>
                  </c:pt>
                  <c:pt idx="17">
                    <c:v>0.241</c:v>
                  </c:pt>
                  <c:pt idx="18">
                    <c:v>0.264</c:v>
                  </c:pt>
                  <c:pt idx="19">
                    <c:v>0.265</c:v>
                  </c:pt>
                  <c:pt idx="20">
                    <c:v>0.254</c:v>
                  </c:pt>
                  <c:pt idx="21">
                    <c:v>0.272</c:v>
                  </c:pt>
                  <c:pt idx="22">
                    <c:v>0.259</c:v>
                  </c:pt>
                  <c:pt idx="23">
                    <c:v>0.265</c:v>
                  </c:pt>
                </c:numCache>
              </c:numRef>
            </c:plus>
            <c:minus>
              <c:numRef>
                <c:f>'BMI-FlexAbsorb-70psi'!$U$4:$U$29</c:f>
                <c:numCache>
                  <c:formatCode>General</c:formatCode>
                  <c:ptCount val="26"/>
                  <c:pt idx="0">
                    <c:v>0.023</c:v>
                  </c:pt>
                  <c:pt idx="1">
                    <c:v>0.03</c:v>
                  </c:pt>
                  <c:pt idx="2">
                    <c:v>0.046</c:v>
                  </c:pt>
                  <c:pt idx="3">
                    <c:v>0.076</c:v>
                  </c:pt>
                  <c:pt idx="4">
                    <c:v>0.084</c:v>
                  </c:pt>
                  <c:pt idx="5">
                    <c:v>0.105</c:v>
                  </c:pt>
                  <c:pt idx="6">
                    <c:v>0.125</c:v>
                  </c:pt>
                  <c:pt idx="7">
                    <c:v>0.117</c:v>
                  </c:pt>
                  <c:pt idx="8">
                    <c:v>0.124</c:v>
                  </c:pt>
                  <c:pt idx="9">
                    <c:v>0.147</c:v>
                  </c:pt>
                  <c:pt idx="10">
                    <c:v>0.168</c:v>
                  </c:pt>
                  <c:pt idx="11">
                    <c:v>0.198</c:v>
                  </c:pt>
                  <c:pt idx="12">
                    <c:v>0.228</c:v>
                  </c:pt>
                  <c:pt idx="13">
                    <c:v>0.25</c:v>
                  </c:pt>
                  <c:pt idx="14">
                    <c:v>0.229</c:v>
                  </c:pt>
                  <c:pt idx="15">
                    <c:v>0.255</c:v>
                  </c:pt>
                  <c:pt idx="16">
                    <c:v>0.253</c:v>
                  </c:pt>
                  <c:pt idx="17">
                    <c:v>0.241</c:v>
                  </c:pt>
                  <c:pt idx="18">
                    <c:v>0.264</c:v>
                  </c:pt>
                  <c:pt idx="19">
                    <c:v>0.265</c:v>
                  </c:pt>
                  <c:pt idx="20">
                    <c:v>0.254</c:v>
                  </c:pt>
                  <c:pt idx="21">
                    <c:v>0.272</c:v>
                  </c:pt>
                  <c:pt idx="22">
                    <c:v>0.259</c:v>
                  </c:pt>
                  <c:pt idx="23">
                    <c:v>0.265</c:v>
                  </c:pt>
                </c:numCache>
              </c:numRef>
            </c:minus>
            <c:spPr>
              <a:ln w="12700">
                <a:solidFill>
                  <a:srgbClr val="7030A0"/>
                </a:solidFill>
              </a:ln>
            </c:spPr>
          </c:errBars>
          <c:xVal>
            <c:numRef>
              <c:f>'BMI-FlexAbsorb-70psi'!$S$4:$S$34</c:f>
              <c:numCache>
                <c:formatCode>General</c:formatCode>
                <c:ptCount val="31"/>
                <c:pt idx="0">
                  <c:v>1.61</c:v>
                </c:pt>
                <c:pt idx="1">
                  <c:v>2.47</c:v>
                </c:pt>
                <c:pt idx="2">
                  <c:v>5.28</c:v>
                </c:pt>
                <c:pt idx="3">
                  <c:v>8.75</c:v>
                </c:pt>
                <c:pt idx="4">
                  <c:v>13.86</c:v>
                </c:pt>
                <c:pt idx="5">
                  <c:v>19.69</c:v>
                </c:pt>
                <c:pt idx="6">
                  <c:v>25.51</c:v>
                </c:pt>
                <c:pt idx="7">
                  <c:v>33.96</c:v>
                </c:pt>
                <c:pt idx="8">
                  <c:v>37.04</c:v>
                </c:pt>
                <c:pt idx="9">
                  <c:v>42.75</c:v>
                </c:pt>
                <c:pt idx="10">
                  <c:v>48.28</c:v>
                </c:pt>
                <c:pt idx="11">
                  <c:v>53.9</c:v>
                </c:pt>
                <c:pt idx="12">
                  <c:v>59.59</c:v>
                </c:pt>
                <c:pt idx="13">
                  <c:v>65.0</c:v>
                </c:pt>
                <c:pt idx="14">
                  <c:v>71.53</c:v>
                </c:pt>
                <c:pt idx="15">
                  <c:v>76.71</c:v>
                </c:pt>
                <c:pt idx="16">
                  <c:v>82.42</c:v>
                </c:pt>
                <c:pt idx="17">
                  <c:v>88.31</c:v>
                </c:pt>
                <c:pt idx="18">
                  <c:v>94.35</c:v>
                </c:pt>
                <c:pt idx="19">
                  <c:v>99.69</c:v>
                </c:pt>
                <c:pt idx="20">
                  <c:v>104.73</c:v>
                </c:pt>
                <c:pt idx="21">
                  <c:v>110.3</c:v>
                </c:pt>
                <c:pt idx="22">
                  <c:v>115.93</c:v>
                </c:pt>
                <c:pt idx="23">
                  <c:v>122.96</c:v>
                </c:pt>
              </c:numCache>
            </c:numRef>
          </c:xVal>
          <c:yVal>
            <c:numRef>
              <c:f>'BMI-FlexAbsorb-70psi'!$T$4:$T$34</c:f>
              <c:numCache>
                <c:formatCode>General</c:formatCode>
                <c:ptCount val="31"/>
                <c:pt idx="0">
                  <c:v>0.7319</c:v>
                </c:pt>
                <c:pt idx="1">
                  <c:v>0.9476</c:v>
                </c:pt>
                <c:pt idx="2">
                  <c:v>1.6452</c:v>
                </c:pt>
                <c:pt idx="3">
                  <c:v>2.2962</c:v>
                </c:pt>
                <c:pt idx="4">
                  <c:v>2.8321</c:v>
                </c:pt>
                <c:pt idx="5">
                  <c:v>3.039499999999999</c:v>
                </c:pt>
                <c:pt idx="6">
                  <c:v>3.1932</c:v>
                </c:pt>
                <c:pt idx="7">
                  <c:v>3.4204</c:v>
                </c:pt>
                <c:pt idx="8">
                  <c:v>3.4841</c:v>
                </c:pt>
                <c:pt idx="9">
                  <c:v>3.6843</c:v>
                </c:pt>
                <c:pt idx="10">
                  <c:v>3.8833</c:v>
                </c:pt>
                <c:pt idx="11">
                  <c:v>3.9885</c:v>
                </c:pt>
                <c:pt idx="12">
                  <c:v>4.0627</c:v>
                </c:pt>
                <c:pt idx="13">
                  <c:v>4.1107</c:v>
                </c:pt>
                <c:pt idx="14">
                  <c:v>4.1393</c:v>
                </c:pt>
                <c:pt idx="15">
                  <c:v>4.160599999999989</c:v>
                </c:pt>
                <c:pt idx="16">
                  <c:v>4.1753</c:v>
                </c:pt>
                <c:pt idx="17">
                  <c:v>4.2029</c:v>
                </c:pt>
                <c:pt idx="18">
                  <c:v>4.2006</c:v>
                </c:pt>
                <c:pt idx="19">
                  <c:v>4.2366</c:v>
                </c:pt>
                <c:pt idx="20">
                  <c:v>4.2455</c:v>
                </c:pt>
                <c:pt idx="21">
                  <c:v>4.2585</c:v>
                </c:pt>
                <c:pt idx="22">
                  <c:v>4.2201</c:v>
                </c:pt>
                <c:pt idx="23">
                  <c:v>4.2218</c:v>
                </c:pt>
              </c:numCache>
            </c:numRef>
          </c:yVal>
          <c:smooth val="0"/>
        </c:ser>
        <c:dLbls>
          <c:showLegendKey val="0"/>
          <c:showVal val="0"/>
          <c:showCatName val="0"/>
          <c:showSerName val="0"/>
          <c:showPercent val="0"/>
          <c:showBubbleSize val="0"/>
        </c:dLbls>
        <c:axId val="513779112"/>
        <c:axId val="513785032"/>
      </c:scatterChart>
      <c:valAx>
        <c:axId val="513779112"/>
        <c:scaling>
          <c:orientation val="minMax"/>
          <c:max val="19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513785032"/>
        <c:crosses val="autoZero"/>
        <c:crossBetween val="midCat"/>
        <c:minorUnit val="12.5"/>
      </c:valAx>
      <c:valAx>
        <c:axId val="513785032"/>
        <c:scaling>
          <c:orientation val="minMax"/>
          <c:max val="11.0"/>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513779112"/>
        <c:crosses val="autoZero"/>
        <c:crossBetween val="midCat"/>
        <c:majorUnit val="2.0"/>
        <c:minorUnit val="0.5"/>
      </c:valAx>
      <c:spPr>
        <a:ln w="19050">
          <a:solidFill>
            <a:sysClr val="windowText" lastClr="000000"/>
          </a:solidFill>
        </a:ln>
      </c:spPr>
    </c:plotArea>
    <c:legend>
      <c:legendPos val="r"/>
      <c:legendEntry>
        <c:idx val="0"/>
        <c:delete val="1"/>
      </c:legendEntry>
      <c:layout>
        <c:manualLayout>
          <c:xMode val="edge"/>
          <c:yMode val="edge"/>
          <c:x val="0.435395960599404"/>
          <c:y val="0.0448622821666502"/>
          <c:w val="0.469882392188525"/>
          <c:h val="0.0964219950276208"/>
        </c:manualLayout>
      </c:layout>
      <c:overlay val="1"/>
      <c:spPr>
        <a:solidFill>
          <a:schemeClr val="bg1"/>
        </a:solidFill>
      </c:spPr>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4324356685478"/>
          <c:y val="0.0333333333333333"/>
          <c:w val="0.759957604491145"/>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circle"/>
            <c:size val="5"/>
            <c:spPr>
              <a:solidFill>
                <a:srgbClr val="0070C0">
                  <a:alpha val="50000"/>
                </a:srgbClr>
              </a:solidFill>
              <a:ln w="12700">
                <a:solidFill>
                  <a:schemeClr val="tx1"/>
                </a:solidFill>
              </a:ln>
            </c:spPr>
          </c:marker>
          <c:errBars>
            <c:errDir val="y"/>
            <c:errBarType val="both"/>
            <c:errValType val="cust"/>
            <c:noEndCap val="0"/>
            <c:plus>
              <c:numRef>
                <c:f>'TQ-FlexAbsorb-10psi'!$C$4:$C$29</c:f>
                <c:numCache>
                  <c:formatCode>General</c:formatCode>
                  <c:ptCount val="26"/>
                  <c:pt idx="0">
                    <c:v>0.053</c:v>
                  </c:pt>
                  <c:pt idx="1">
                    <c:v>0.066</c:v>
                  </c:pt>
                  <c:pt idx="2">
                    <c:v>0.097</c:v>
                  </c:pt>
                  <c:pt idx="3">
                    <c:v>0.113</c:v>
                  </c:pt>
                  <c:pt idx="4">
                    <c:v>0.12</c:v>
                  </c:pt>
                  <c:pt idx="5">
                    <c:v>0.118</c:v>
                  </c:pt>
                  <c:pt idx="6">
                    <c:v>0.132</c:v>
                  </c:pt>
                  <c:pt idx="7">
                    <c:v>0.114</c:v>
                  </c:pt>
                  <c:pt idx="8">
                    <c:v>0.119</c:v>
                  </c:pt>
                  <c:pt idx="9">
                    <c:v>0.101</c:v>
                  </c:pt>
                  <c:pt idx="10">
                    <c:v>0.108</c:v>
                  </c:pt>
                  <c:pt idx="11">
                    <c:v>0.097</c:v>
                  </c:pt>
                  <c:pt idx="12">
                    <c:v>0.107</c:v>
                  </c:pt>
                  <c:pt idx="13">
                    <c:v>0.123</c:v>
                  </c:pt>
                  <c:pt idx="14">
                    <c:v>0.11</c:v>
                  </c:pt>
                  <c:pt idx="15">
                    <c:v>0.122</c:v>
                  </c:pt>
                  <c:pt idx="16">
                    <c:v>0.117</c:v>
                  </c:pt>
                  <c:pt idx="17">
                    <c:v>0.118</c:v>
                  </c:pt>
                  <c:pt idx="18">
                    <c:v>0.108</c:v>
                  </c:pt>
                  <c:pt idx="19">
                    <c:v>0.121</c:v>
                  </c:pt>
                  <c:pt idx="20">
                    <c:v>0.115</c:v>
                  </c:pt>
                  <c:pt idx="21">
                    <c:v>0.124</c:v>
                  </c:pt>
                  <c:pt idx="22">
                    <c:v>0.116</c:v>
                  </c:pt>
                  <c:pt idx="23">
                    <c:v>0.118</c:v>
                  </c:pt>
                </c:numCache>
              </c:numRef>
            </c:plus>
            <c:minus>
              <c:numRef>
                <c:f>'TQ-FlexAbsorb-10psi'!$C$4:$C$29</c:f>
                <c:numCache>
                  <c:formatCode>General</c:formatCode>
                  <c:ptCount val="26"/>
                  <c:pt idx="0">
                    <c:v>0.053</c:v>
                  </c:pt>
                  <c:pt idx="1">
                    <c:v>0.066</c:v>
                  </c:pt>
                  <c:pt idx="2">
                    <c:v>0.097</c:v>
                  </c:pt>
                  <c:pt idx="3">
                    <c:v>0.113</c:v>
                  </c:pt>
                  <c:pt idx="4">
                    <c:v>0.12</c:v>
                  </c:pt>
                  <c:pt idx="5">
                    <c:v>0.118</c:v>
                  </c:pt>
                  <c:pt idx="6">
                    <c:v>0.132</c:v>
                  </c:pt>
                  <c:pt idx="7">
                    <c:v>0.114</c:v>
                  </c:pt>
                  <c:pt idx="8">
                    <c:v>0.119</c:v>
                  </c:pt>
                  <c:pt idx="9">
                    <c:v>0.101</c:v>
                  </c:pt>
                  <c:pt idx="10">
                    <c:v>0.108</c:v>
                  </c:pt>
                  <c:pt idx="11">
                    <c:v>0.097</c:v>
                  </c:pt>
                  <c:pt idx="12">
                    <c:v>0.107</c:v>
                  </c:pt>
                  <c:pt idx="13">
                    <c:v>0.123</c:v>
                  </c:pt>
                  <c:pt idx="14">
                    <c:v>0.11</c:v>
                  </c:pt>
                  <c:pt idx="15">
                    <c:v>0.122</c:v>
                  </c:pt>
                  <c:pt idx="16">
                    <c:v>0.117</c:v>
                  </c:pt>
                  <c:pt idx="17">
                    <c:v>0.118</c:v>
                  </c:pt>
                  <c:pt idx="18">
                    <c:v>0.108</c:v>
                  </c:pt>
                  <c:pt idx="19">
                    <c:v>0.121</c:v>
                  </c:pt>
                  <c:pt idx="20">
                    <c:v>0.115</c:v>
                  </c:pt>
                  <c:pt idx="21">
                    <c:v>0.124</c:v>
                  </c:pt>
                  <c:pt idx="22">
                    <c:v>0.116</c:v>
                  </c:pt>
                  <c:pt idx="23">
                    <c:v>0.118</c:v>
                  </c:pt>
                </c:numCache>
              </c:numRef>
            </c:minus>
            <c:spPr>
              <a:ln w="12700">
                <a:solidFill>
                  <a:srgbClr val="0070C0"/>
                </a:solidFill>
              </a:ln>
            </c:spPr>
          </c:errBars>
          <c:xVal>
            <c:numRef>
              <c:f>'TQ-FlexAbsorb-10psi'!$A$4:$A$34</c:f>
              <c:numCache>
                <c:formatCode>General</c:formatCode>
                <c:ptCount val="31"/>
                <c:pt idx="0">
                  <c:v>1.32</c:v>
                </c:pt>
                <c:pt idx="1">
                  <c:v>2.28</c:v>
                </c:pt>
                <c:pt idx="2">
                  <c:v>5.23</c:v>
                </c:pt>
                <c:pt idx="3">
                  <c:v>9.92</c:v>
                </c:pt>
                <c:pt idx="4">
                  <c:v>13.87</c:v>
                </c:pt>
                <c:pt idx="5">
                  <c:v>20.18</c:v>
                </c:pt>
                <c:pt idx="6">
                  <c:v>28.62</c:v>
                </c:pt>
                <c:pt idx="7">
                  <c:v>34.29</c:v>
                </c:pt>
                <c:pt idx="8">
                  <c:v>40.73000000000001</c:v>
                </c:pt>
                <c:pt idx="9">
                  <c:v>45.17</c:v>
                </c:pt>
                <c:pt idx="10">
                  <c:v>50.7</c:v>
                </c:pt>
                <c:pt idx="11">
                  <c:v>57.13</c:v>
                </c:pt>
                <c:pt idx="12">
                  <c:v>62.38</c:v>
                </c:pt>
                <c:pt idx="13">
                  <c:v>68.59</c:v>
                </c:pt>
                <c:pt idx="14">
                  <c:v>73.64</c:v>
                </c:pt>
                <c:pt idx="15">
                  <c:v>79.91</c:v>
                </c:pt>
                <c:pt idx="16">
                  <c:v>85.27</c:v>
                </c:pt>
                <c:pt idx="17">
                  <c:v>91.9</c:v>
                </c:pt>
                <c:pt idx="18">
                  <c:v>97.13</c:v>
                </c:pt>
                <c:pt idx="19">
                  <c:v>102.99</c:v>
                </c:pt>
                <c:pt idx="20">
                  <c:v>108.67</c:v>
                </c:pt>
                <c:pt idx="21">
                  <c:v>113.62</c:v>
                </c:pt>
                <c:pt idx="22">
                  <c:v>119.29</c:v>
                </c:pt>
                <c:pt idx="23">
                  <c:v>122.85</c:v>
                </c:pt>
              </c:numCache>
            </c:numRef>
          </c:xVal>
          <c:yVal>
            <c:numRef>
              <c:f>'TQ-FlexAbsorb-10psi'!$B$4:$B$34</c:f>
              <c:numCache>
                <c:formatCode>General</c:formatCode>
                <c:ptCount val="31"/>
                <c:pt idx="0">
                  <c:v>0.1078</c:v>
                </c:pt>
                <c:pt idx="1">
                  <c:v>0.1293</c:v>
                </c:pt>
                <c:pt idx="2">
                  <c:v>0.1676</c:v>
                </c:pt>
                <c:pt idx="3">
                  <c:v>0.221</c:v>
                </c:pt>
                <c:pt idx="4">
                  <c:v>0.2552</c:v>
                </c:pt>
                <c:pt idx="5">
                  <c:v>0.2896</c:v>
                </c:pt>
                <c:pt idx="6">
                  <c:v>0.278</c:v>
                </c:pt>
                <c:pt idx="7">
                  <c:v>0.3058</c:v>
                </c:pt>
                <c:pt idx="8">
                  <c:v>0.3381</c:v>
                </c:pt>
                <c:pt idx="9">
                  <c:v>0.3463</c:v>
                </c:pt>
                <c:pt idx="10">
                  <c:v>0.357</c:v>
                </c:pt>
                <c:pt idx="11">
                  <c:v>0.3803</c:v>
                </c:pt>
                <c:pt idx="12">
                  <c:v>0.3906</c:v>
                </c:pt>
                <c:pt idx="13">
                  <c:v>0.434</c:v>
                </c:pt>
                <c:pt idx="14">
                  <c:v>0.4655</c:v>
                </c:pt>
                <c:pt idx="15">
                  <c:v>0.5151</c:v>
                </c:pt>
                <c:pt idx="16">
                  <c:v>0.5221</c:v>
                </c:pt>
                <c:pt idx="17">
                  <c:v>0.5432</c:v>
                </c:pt>
                <c:pt idx="18">
                  <c:v>0.5751</c:v>
                </c:pt>
                <c:pt idx="19">
                  <c:v>0.6165</c:v>
                </c:pt>
                <c:pt idx="20">
                  <c:v>0.6169</c:v>
                </c:pt>
                <c:pt idx="21">
                  <c:v>0.6317</c:v>
                </c:pt>
                <c:pt idx="22">
                  <c:v>0.6063</c:v>
                </c:pt>
                <c:pt idx="23">
                  <c:v>0.6281</c:v>
                </c:pt>
              </c:numCache>
            </c:numRef>
          </c:yVal>
          <c:smooth val="0"/>
        </c:ser>
        <c:ser>
          <c:idx val="1"/>
          <c:order val="2"/>
          <c:tx>
            <c:v>40% RH</c:v>
          </c:tx>
          <c:spPr>
            <a:ln w="28575">
              <a:noFill/>
            </a:ln>
          </c:spPr>
          <c:marker>
            <c:symbol val="circle"/>
            <c:size val="5"/>
            <c:spPr>
              <a:solidFill>
                <a:srgbClr val="C00000">
                  <a:alpha val="50000"/>
                </a:srgbClr>
              </a:solidFill>
              <a:ln w="12700">
                <a:solidFill>
                  <a:sysClr val="windowText" lastClr="000000"/>
                </a:solidFill>
              </a:ln>
            </c:spPr>
          </c:marker>
          <c:errBars>
            <c:errDir val="y"/>
            <c:errBarType val="both"/>
            <c:errValType val="cust"/>
            <c:noEndCap val="0"/>
            <c:plus>
              <c:numRef>
                <c:f>'TQ-FlexAbsorb-10psi'!$I$4:$I$29</c:f>
                <c:numCache>
                  <c:formatCode>General</c:formatCode>
                  <c:ptCount val="26"/>
                  <c:pt idx="0">
                    <c:v>0.062</c:v>
                  </c:pt>
                  <c:pt idx="1">
                    <c:v>0.075</c:v>
                  </c:pt>
                  <c:pt idx="2">
                    <c:v>0.106</c:v>
                  </c:pt>
                  <c:pt idx="3">
                    <c:v>0.138</c:v>
                  </c:pt>
                  <c:pt idx="4">
                    <c:v>0.151</c:v>
                  </c:pt>
                  <c:pt idx="5">
                    <c:v>0.155</c:v>
                  </c:pt>
                  <c:pt idx="6">
                    <c:v>0.143</c:v>
                  </c:pt>
                  <c:pt idx="7">
                    <c:v>0.136</c:v>
                  </c:pt>
                  <c:pt idx="8">
                    <c:v>0.147</c:v>
                  </c:pt>
                  <c:pt idx="9">
                    <c:v>0.154</c:v>
                  </c:pt>
                  <c:pt idx="10">
                    <c:v>0.153</c:v>
                  </c:pt>
                  <c:pt idx="11">
                    <c:v>0.149</c:v>
                  </c:pt>
                  <c:pt idx="12">
                    <c:v>0.145</c:v>
                  </c:pt>
                  <c:pt idx="13">
                    <c:v>0.156</c:v>
                  </c:pt>
                  <c:pt idx="14">
                    <c:v>0.152</c:v>
                  </c:pt>
                  <c:pt idx="15">
                    <c:v>0.161</c:v>
                  </c:pt>
                  <c:pt idx="16">
                    <c:v>0.145</c:v>
                  </c:pt>
                  <c:pt idx="17">
                    <c:v>0.143</c:v>
                  </c:pt>
                  <c:pt idx="18">
                    <c:v>0.157</c:v>
                  </c:pt>
                  <c:pt idx="19">
                    <c:v>0.156</c:v>
                  </c:pt>
                  <c:pt idx="20">
                    <c:v>0.159</c:v>
                  </c:pt>
                  <c:pt idx="21">
                    <c:v>0.144</c:v>
                  </c:pt>
                  <c:pt idx="22">
                    <c:v>0.165</c:v>
                  </c:pt>
                  <c:pt idx="23">
                    <c:v>0.158</c:v>
                  </c:pt>
                </c:numCache>
              </c:numRef>
            </c:plus>
            <c:minus>
              <c:numRef>
                <c:f>'TQ-FlexAbsorb-10psi'!$I$4:$I$29</c:f>
                <c:numCache>
                  <c:formatCode>General</c:formatCode>
                  <c:ptCount val="26"/>
                  <c:pt idx="0">
                    <c:v>0.062</c:v>
                  </c:pt>
                  <c:pt idx="1">
                    <c:v>0.075</c:v>
                  </c:pt>
                  <c:pt idx="2">
                    <c:v>0.106</c:v>
                  </c:pt>
                  <c:pt idx="3">
                    <c:v>0.138</c:v>
                  </c:pt>
                  <c:pt idx="4">
                    <c:v>0.151</c:v>
                  </c:pt>
                  <c:pt idx="5">
                    <c:v>0.155</c:v>
                  </c:pt>
                  <c:pt idx="6">
                    <c:v>0.143</c:v>
                  </c:pt>
                  <c:pt idx="7">
                    <c:v>0.136</c:v>
                  </c:pt>
                  <c:pt idx="8">
                    <c:v>0.147</c:v>
                  </c:pt>
                  <c:pt idx="9">
                    <c:v>0.154</c:v>
                  </c:pt>
                  <c:pt idx="10">
                    <c:v>0.153</c:v>
                  </c:pt>
                  <c:pt idx="11">
                    <c:v>0.149</c:v>
                  </c:pt>
                  <c:pt idx="12">
                    <c:v>0.145</c:v>
                  </c:pt>
                  <c:pt idx="13">
                    <c:v>0.156</c:v>
                  </c:pt>
                  <c:pt idx="14">
                    <c:v>0.152</c:v>
                  </c:pt>
                  <c:pt idx="15">
                    <c:v>0.161</c:v>
                  </c:pt>
                  <c:pt idx="16">
                    <c:v>0.145</c:v>
                  </c:pt>
                  <c:pt idx="17">
                    <c:v>0.143</c:v>
                  </c:pt>
                  <c:pt idx="18">
                    <c:v>0.157</c:v>
                  </c:pt>
                  <c:pt idx="19">
                    <c:v>0.156</c:v>
                  </c:pt>
                  <c:pt idx="20">
                    <c:v>0.159</c:v>
                  </c:pt>
                  <c:pt idx="21">
                    <c:v>0.144</c:v>
                  </c:pt>
                  <c:pt idx="22">
                    <c:v>0.165</c:v>
                  </c:pt>
                  <c:pt idx="23">
                    <c:v>0.158</c:v>
                  </c:pt>
                </c:numCache>
              </c:numRef>
            </c:minus>
            <c:spPr>
              <a:ln w="12700">
                <a:solidFill>
                  <a:srgbClr val="C00000"/>
                </a:solidFill>
              </a:ln>
            </c:spPr>
          </c:errBars>
          <c:xVal>
            <c:numRef>
              <c:f>'TQ-FlexAbsorb-10psi'!$G$4:$G$34</c:f>
              <c:numCache>
                <c:formatCode>General</c:formatCode>
                <c:ptCount val="31"/>
                <c:pt idx="0">
                  <c:v>1.37</c:v>
                </c:pt>
                <c:pt idx="1">
                  <c:v>2.319999999999998</c:v>
                </c:pt>
                <c:pt idx="2">
                  <c:v>5.24</c:v>
                </c:pt>
                <c:pt idx="3">
                  <c:v>9.93</c:v>
                </c:pt>
                <c:pt idx="4">
                  <c:v>13.88</c:v>
                </c:pt>
                <c:pt idx="5">
                  <c:v>20.19</c:v>
                </c:pt>
                <c:pt idx="6">
                  <c:v>28.62</c:v>
                </c:pt>
                <c:pt idx="7">
                  <c:v>34.29</c:v>
                </c:pt>
                <c:pt idx="8">
                  <c:v>40.73000000000001</c:v>
                </c:pt>
                <c:pt idx="9">
                  <c:v>45.17</c:v>
                </c:pt>
                <c:pt idx="10">
                  <c:v>50.7</c:v>
                </c:pt>
                <c:pt idx="11">
                  <c:v>57.14</c:v>
                </c:pt>
                <c:pt idx="12">
                  <c:v>62.38</c:v>
                </c:pt>
                <c:pt idx="13">
                  <c:v>68.59</c:v>
                </c:pt>
                <c:pt idx="14">
                  <c:v>73.64</c:v>
                </c:pt>
                <c:pt idx="15">
                  <c:v>79.91</c:v>
                </c:pt>
                <c:pt idx="16">
                  <c:v>85.27</c:v>
                </c:pt>
                <c:pt idx="17">
                  <c:v>91.9</c:v>
                </c:pt>
                <c:pt idx="18">
                  <c:v>97.13</c:v>
                </c:pt>
                <c:pt idx="19">
                  <c:v>102.99</c:v>
                </c:pt>
                <c:pt idx="20">
                  <c:v>108.67</c:v>
                </c:pt>
                <c:pt idx="21">
                  <c:v>113.62</c:v>
                </c:pt>
                <c:pt idx="22">
                  <c:v>119.29</c:v>
                </c:pt>
                <c:pt idx="23">
                  <c:v>122.85</c:v>
                </c:pt>
              </c:numCache>
            </c:numRef>
          </c:xVal>
          <c:yVal>
            <c:numRef>
              <c:f>'TQ-FlexAbsorb-10psi'!$H$4:$H$34</c:f>
              <c:numCache>
                <c:formatCode>General</c:formatCode>
                <c:ptCount val="31"/>
                <c:pt idx="0">
                  <c:v>0.1624</c:v>
                </c:pt>
                <c:pt idx="1">
                  <c:v>0.1955</c:v>
                </c:pt>
                <c:pt idx="2">
                  <c:v>0.2636</c:v>
                </c:pt>
                <c:pt idx="3">
                  <c:v>0.3764</c:v>
                </c:pt>
                <c:pt idx="4">
                  <c:v>0.4037</c:v>
                </c:pt>
                <c:pt idx="5">
                  <c:v>0.4394</c:v>
                </c:pt>
                <c:pt idx="6">
                  <c:v>0.4457</c:v>
                </c:pt>
                <c:pt idx="7">
                  <c:v>0.4648</c:v>
                </c:pt>
                <c:pt idx="8">
                  <c:v>0.482</c:v>
                </c:pt>
                <c:pt idx="9">
                  <c:v>0.5055</c:v>
                </c:pt>
                <c:pt idx="10">
                  <c:v>0.5113</c:v>
                </c:pt>
                <c:pt idx="11">
                  <c:v>0.5475</c:v>
                </c:pt>
                <c:pt idx="12">
                  <c:v>0.5444</c:v>
                </c:pt>
                <c:pt idx="13">
                  <c:v>0.5794</c:v>
                </c:pt>
                <c:pt idx="14">
                  <c:v>0.5851</c:v>
                </c:pt>
                <c:pt idx="15">
                  <c:v>0.6367</c:v>
                </c:pt>
                <c:pt idx="16">
                  <c:v>0.6309</c:v>
                </c:pt>
                <c:pt idx="17">
                  <c:v>0.648</c:v>
                </c:pt>
                <c:pt idx="18">
                  <c:v>0.6569</c:v>
                </c:pt>
                <c:pt idx="19">
                  <c:v>0.6964</c:v>
                </c:pt>
                <c:pt idx="20">
                  <c:v>0.713</c:v>
                </c:pt>
                <c:pt idx="21">
                  <c:v>0.765</c:v>
                </c:pt>
                <c:pt idx="22">
                  <c:v>0.7448</c:v>
                </c:pt>
                <c:pt idx="23">
                  <c:v>0.7613</c:v>
                </c:pt>
              </c:numCache>
            </c:numRef>
          </c:yVal>
          <c:smooth val="0"/>
        </c:ser>
        <c:ser>
          <c:idx val="2"/>
          <c:order val="3"/>
          <c:tx>
            <c:v>70% RH</c:v>
          </c:tx>
          <c:spPr>
            <a:ln w="28575">
              <a:noFill/>
            </a:ln>
          </c:spPr>
          <c:marker>
            <c:symbol val="circle"/>
            <c:size val="5"/>
            <c:spPr>
              <a:solidFill>
                <a:srgbClr val="00B050">
                  <a:alpha val="50000"/>
                </a:srgbClr>
              </a:solidFill>
              <a:ln w="12700">
                <a:solidFill>
                  <a:sysClr val="windowText" lastClr="000000"/>
                </a:solidFill>
              </a:ln>
            </c:spPr>
          </c:marker>
          <c:errBars>
            <c:errDir val="y"/>
            <c:errBarType val="both"/>
            <c:errValType val="cust"/>
            <c:noEndCap val="0"/>
            <c:plus>
              <c:numRef>
                <c:f>'TQ-FlexAbsorb-10psi'!$O$4:$O$29</c:f>
                <c:numCache>
                  <c:formatCode>General</c:formatCode>
                  <c:ptCount val="26"/>
                  <c:pt idx="0">
                    <c:v>0.074</c:v>
                  </c:pt>
                  <c:pt idx="1">
                    <c:v>0.087</c:v>
                  </c:pt>
                  <c:pt idx="2">
                    <c:v>0.126</c:v>
                  </c:pt>
                  <c:pt idx="3">
                    <c:v>0.189</c:v>
                  </c:pt>
                  <c:pt idx="4">
                    <c:v>0.21</c:v>
                  </c:pt>
                  <c:pt idx="5">
                    <c:v>0.221</c:v>
                  </c:pt>
                  <c:pt idx="6">
                    <c:v>0.232</c:v>
                  </c:pt>
                  <c:pt idx="7">
                    <c:v>0.226</c:v>
                  </c:pt>
                  <c:pt idx="8">
                    <c:v>0.22</c:v>
                  </c:pt>
                  <c:pt idx="9">
                    <c:v>0.243</c:v>
                  </c:pt>
                  <c:pt idx="10">
                    <c:v>0.225</c:v>
                  </c:pt>
                  <c:pt idx="11">
                    <c:v>0.229</c:v>
                  </c:pt>
                  <c:pt idx="12">
                    <c:v>0.233</c:v>
                  </c:pt>
                  <c:pt idx="13">
                    <c:v>0.235</c:v>
                  </c:pt>
                  <c:pt idx="14">
                    <c:v>0.229</c:v>
                  </c:pt>
                  <c:pt idx="15">
                    <c:v>0.246</c:v>
                  </c:pt>
                  <c:pt idx="16">
                    <c:v>0.239</c:v>
                  </c:pt>
                  <c:pt idx="17">
                    <c:v>0.221</c:v>
                  </c:pt>
                  <c:pt idx="18">
                    <c:v>0.242</c:v>
                  </c:pt>
                  <c:pt idx="19">
                    <c:v>0.241</c:v>
                  </c:pt>
                  <c:pt idx="20">
                    <c:v>0.234</c:v>
                  </c:pt>
                  <c:pt idx="21">
                    <c:v>0.252</c:v>
                  </c:pt>
                  <c:pt idx="22">
                    <c:v>0.24</c:v>
                  </c:pt>
                  <c:pt idx="23">
                    <c:v>0.233</c:v>
                  </c:pt>
                </c:numCache>
              </c:numRef>
            </c:plus>
            <c:minus>
              <c:numRef>
                <c:f>'TQ-FlexAbsorb-10psi'!$O$4:$O$29</c:f>
                <c:numCache>
                  <c:formatCode>General</c:formatCode>
                  <c:ptCount val="26"/>
                  <c:pt idx="0">
                    <c:v>0.074</c:v>
                  </c:pt>
                  <c:pt idx="1">
                    <c:v>0.087</c:v>
                  </c:pt>
                  <c:pt idx="2">
                    <c:v>0.126</c:v>
                  </c:pt>
                  <c:pt idx="3">
                    <c:v>0.189</c:v>
                  </c:pt>
                  <c:pt idx="4">
                    <c:v>0.21</c:v>
                  </c:pt>
                  <c:pt idx="5">
                    <c:v>0.221</c:v>
                  </c:pt>
                  <c:pt idx="6">
                    <c:v>0.232</c:v>
                  </c:pt>
                  <c:pt idx="7">
                    <c:v>0.226</c:v>
                  </c:pt>
                  <c:pt idx="8">
                    <c:v>0.22</c:v>
                  </c:pt>
                  <c:pt idx="9">
                    <c:v>0.243</c:v>
                  </c:pt>
                  <c:pt idx="10">
                    <c:v>0.225</c:v>
                  </c:pt>
                  <c:pt idx="11">
                    <c:v>0.229</c:v>
                  </c:pt>
                  <c:pt idx="12">
                    <c:v>0.233</c:v>
                  </c:pt>
                  <c:pt idx="13">
                    <c:v>0.235</c:v>
                  </c:pt>
                  <c:pt idx="14">
                    <c:v>0.229</c:v>
                  </c:pt>
                  <c:pt idx="15">
                    <c:v>0.246</c:v>
                  </c:pt>
                  <c:pt idx="16">
                    <c:v>0.239</c:v>
                  </c:pt>
                  <c:pt idx="17">
                    <c:v>0.221</c:v>
                  </c:pt>
                  <c:pt idx="18">
                    <c:v>0.242</c:v>
                  </c:pt>
                  <c:pt idx="19">
                    <c:v>0.241</c:v>
                  </c:pt>
                  <c:pt idx="20">
                    <c:v>0.234</c:v>
                  </c:pt>
                  <c:pt idx="21">
                    <c:v>0.252</c:v>
                  </c:pt>
                  <c:pt idx="22">
                    <c:v>0.24</c:v>
                  </c:pt>
                  <c:pt idx="23">
                    <c:v>0.233</c:v>
                  </c:pt>
                </c:numCache>
              </c:numRef>
            </c:minus>
            <c:spPr>
              <a:ln w="12700">
                <a:solidFill>
                  <a:srgbClr val="00B050"/>
                </a:solidFill>
              </a:ln>
            </c:spPr>
          </c:errBars>
          <c:xVal>
            <c:numRef>
              <c:f>'TQ-FlexAbsorb-10psi'!$M$4:$M$34</c:f>
              <c:numCache>
                <c:formatCode>General</c:formatCode>
                <c:ptCount val="31"/>
                <c:pt idx="0">
                  <c:v>1.41</c:v>
                </c:pt>
                <c:pt idx="1">
                  <c:v>2.34</c:v>
                </c:pt>
                <c:pt idx="2">
                  <c:v>5.25</c:v>
                </c:pt>
                <c:pt idx="3">
                  <c:v>9.93</c:v>
                </c:pt>
                <c:pt idx="4">
                  <c:v>13.88</c:v>
                </c:pt>
                <c:pt idx="5">
                  <c:v>20.19</c:v>
                </c:pt>
                <c:pt idx="6">
                  <c:v>28.62</c:v>
                </c:pt>
                <c:pt idx="7">
                  <c:v>34.30000000000001</c:v>
                </c:pt>
                <c:pt idx="8">
                  <c:v>40.74</c:v>
                </c:pt>
                <c:pt idx="9">
                  <c:v>45.17</c:v>
                </c:pt>
                <c:pt idx="10">
                  <c:v>50.7</c:v>
                </c:pt>
                <c:pt idx="11">
                  <c:v>57.14</c:v>
                </c:pt>
                <c:pt idx="12">
                  <c:v>62.38</c:v>
                </c:pt>
                <c:pt idx="13">
                  <c:v>68.59</c:v>
                </c:pt>
                <c:pt idx="14">
                  <c:v>73.64</c:v>
                </c:pt>
                <c:pt idx="15">
                  <c:v>79.91</c:v>
                </c:pt>
                <c:pt idx="16">
                  <c:v>85.27</c:v>
                </c:pt>
                <c:pt idx="17">
                  <c:v>91.9</c:v>
                </c:pt>
                <c:pt idx="18">
                  <c:v>97.13</c:v>
                </c:pt>
                <c:pt idx="19">
                  <c:v>102.99</c:v>
                </c:pt>
                <c:pt idx="20">
                  <c:v>108.67</c:v>
                </c:pt>
                <c:pt idx="21">
                  <c:v>113.62</c:v>
                </c:pt>
                <c:pt idx="22">
                  <c:v>119.29</c:v>
                </c:pt>
                <c:pt idx="23">
                  <c:v>122.85</c:v>
                </c:pt>
              </c:numCache>
            </c:numRef>
          </c:xVal>
          <c:yVal>
            <c:numRef>
              <c:f>'TQ-FlexAbsorb-10psi'!$N$4:$N$34</c:f>
              <c:numCache>
                <c:formatCode>General</c:formatCode>
                <c:ptCount val="31"/>
                <c:pt idx="0">
                  <c:v>0.244</c:v>
                </c:pt>
                <c:pt idx="1">
                  <c:v>0.2976</c:v>
                </c:pt>
                <c:pt idx="2">
                  <c:v>0.4387</c:v>
                </c:pt>
                <c:pt idx="3">
                  <c:v>0.6463</c:v>
                </c:pt>
                <c:pt idx="4">
                  <c:v>0.7315</c:v>
                </c:pt>
                <c:pt idx="5">
                  <c:v>0.7918</c:v>
                </c:pt>
                <c:pt idx="6">
                  <c:v>0.7991</c:v>
                </c:pt>
                <c:pt idx="7">
                  <c:v>0.8076</c:v>
                </c:pt>
                <c:pt idx="8">
                  <c:v>0.823</c:v>
                </c:pt>
                <c:pt idx="9">
                  <c:v>0.9221</c:v>
                </c:pt>
                <c:pt idx="10">
                  <c:v>0.9698</c:v>
                </c:pt>
                <c:pt idx="11">
                  <c:v>1.0096</c:v>
                </c:pt>
                <c:pt idx="12">
                  <c:v>1.0394</c:v>
                </c:pt>
                <c:pt idx="13">
                  <c:v>1.0805</c:v>
                </c:pt>
                <c:pt idx="14">
                  <c:v>1.0937</c:v>
                </c:pt>
                <c:pt idx="15">
                  <c:v>1.1209</c:v>
                </c:pt>
                <c:pt idx="16">
                  <c:v>1.1189</c:v>
                </c:pt>
                <c:pt idx="17">
                  <c:v>1.1267</c:v>
                </c:pt>
                <c:pt idx="18">
                  <c:v>1.1659</c:v>
                </c:pt>
                <c:pt idx="19">
                  <c:v>1.1631</c:v>
                </c:pt>
                <c:pt idx="20">
                  <c:v>1.1828</c:v>
                </c:pt>
                <c:pt idx="21">
                  <c:v>1.2193</c:v>
                </c:pt>
                <c:pt idx="22">
                  <c:v>1.2095</c:v>
                </c:pt>
                <c:pt idx="23">
                  <c:v>1.189</c:v>
                </c:pt>
              </c:numCache>
            </c:numRef>
          </c:yVal>
          <c:smooth val="0"/>
        </c:ser>
        <c:ser>
          <c:idx val="3"/>
          <c:order val="4"/>
          <c:tx>
            <c:v>99% RH</c:v>
          </c:tx>
          <c:spPr>
            <a:ln w="28575">
              <a:noFill/>
            </a:ln>
          </c:spPr>
          <c:marker>
            <c:symbol val="circle"/>
            <c:size val="5"/>
            <c:spPr>
              <a:solidFill>
                <a:srgbClr val="7030A0">
                  <a:alpha val="50000"/>
                </a:srgbClr>
              </a:solidFill>
              <a:ln w="12700">
                <a:solidFill>
                  <a:sysClr val="windowText" lastClr="000000"/>
                </a:solidFill>
              </a:ln>
            </c:spPr>
          </c:marker>
          <c:errBars>
            <c:errDir val="y"/>
            <c:errBarType val="both"/>
            <c:errValType val="cust"/>
            <c:noEndCap val="0"/>
            <c:plus>
              <c:numRef>
                <c:f>'TQ-FlexAbsorb-10psi'!$U$4:$U$29</c:f>
                <c:numCache>
                  <c:formatCode>General</c:formatCode>
                  <c:ptCount val="26"/>
                  <c:pt idx="0">
                    <c:v>0.067</c:v>
                  </c:pt>
                  <c:pt idx="1">
                    <c:v>0.08</c:v>
                  </c:pt>
                  <c:pt idx="2">
                    <c:v>0.167</c:v>
                  </c:pt>
                  <c:pt idx="3">
                    <c:v>0.284</c:v>
                  </c:pt>
                  <c:pt idx="4">
                    <c:v>0.357</c:v>
                  </c:pt>
                  <c:pt idx="5">
                    <c:v>0.399</c:v>
                  </c:pt>
                  <c:pt idx="6">
                    <c:v>0.397</c:v>
                  </c:pt>
                  <c:pt idx="7">
                    <c:v>0.416</c:v>
                  </c:pt>
                  <c:pt idx="8">
                    <c:v>0.441</c:v>
                  </c:pt>
                  <c:pt idx="9">
                    <c:v>0.429</c:v>
                  </c:pt>
                  <c:pt idx="10">
                    <c:v>0.443</c:v>
                  </c:pt>
                  <c:pt idx="11">
                    <c:v>0.439</c:v>
                  </c:pt>
                  <c:pt idx="12">
                    <c:v>0.414</c:v>
                  </c:pt>
                  <c:pt idx="13">
                    <c:v>0.432</c:v>
                  </c:pt>
                  <c:pt idx="14">
                    <c:v>0.44</c:v>
                  </c:pt>
                  <c:pt idx="15">
                    <c:v>0.451</c:v>
                  </c:pt>
                  <c:pt idx="16">
                    <c:v>0.443</c:v>
                  </c:pt>
                  <c:pt idx="17">
                    <c:v>0.449</c:v>
                  </c:pt>
                  <c:pt idx="18">
                    <c:v>0.435</c:v>
                  </c:pt>
                  <c:pt idx="19">
                    <c:v>0.451</c:v>
                  </c:pt>
                  <c:pt idx="20">
                    <c:v>0.449</c:v>
                  </c:pt>
                  <c:pt idx="21">
                    <c:v>0.446</c:v>
                  </c:pt>
                  <c:pt idx="22">
                    <c:v>0.463</c:v>
                  </c:pt>
                  <c:pt idx="23">
                    <c:v>0.446</c:v>
                  </c:pt>
                </c:numCache>
              </c:numRef>
            </c:plus>
            <c:minus>
              <c:numRef>
                <c:f>'TQ-FlexAbsorb-10psi'!$U$4:$U$29</c:f>
                <c:numCache>
                  <c:formatCode>General</c:formatCode>
                  <c:ptCount val="26"/>
                  <c:pt idx="0">
                    <c:v>0.067</c:v>
                  </c:pt>
                  <c:pt idx="1">
                    <c:v>0.08</c:v>
                  </c:pt>
                  <c:pt idx="2">
                    <c:v>0.167</c:v>
                  </c:pt>
                  <c:pt idx="3">
                    <c:v>0.284</c:v>
                  </c:pt>
                  <c:pt idx="4">
                    <c:v>0.357</c:v>
                  </c:pt>
                  <c:pt idx="5">
                    <c:v>0.399</c:v>
                  </c:pt>
                  <c:pt idx="6">
                    <c:v>0.397</c:v>
                  </c:pt>
                  <c:pt idx="7">
                    <c:v>0.416</c:v>
                  </c:pt>
                  <c:pt idx="8">
                    <c:v>0.441</c:v>
                  </c:pt>
                  <c:pt idx="9">
                    <c:v>0.429</c:v>
                  </c:pt>
                  <c:pt idx="10">
                    <c:v>0.443</c:v>
                  </c:pt>
                  <c:pt idx="11">
                    <c:v>0.439</c:v>
                  </c:pt>
                  <c:pt idx="12">
                    <c:v>0.414</c:v>
                  </c:pt>
                  <c:pt idx="13">
                    <c:v>0.432</c:v>
                  </c:pt>
                  <c:pt idx="14">
                    <c:v>0.44</c:v>
                  </c:pt>
                  <c:pt idx="15">
                    <c:v>0.451</c:v>
                  </c:pt>
                  <c:pt idx="16">
                    <c:v>0.443</c:v>
                  </c:pt>
                  <c:pt idx="17">
                    <c:v>0.449</c:v>
                  </c:pt>
                  <c:pt idx="18">
                    <c:v>0.435</c:v>
                  </c:pt>
                  <c:pt idx="19">
                    <c:v>0.451</c:v>
                  </c:pt>
                  <c:pt idx="20">
                    <c:v>0.449</c:v>
                  </c:pt>
                  <c:pt idx="21">
                    <c:v>0.446</c:v>
                  </c:pt>
                  <c:pt idx="22">
                    <c:v>0.463</c:v>
                  </c:pt>
                  <c:pt idx="23">
                    <c:v>0.446</c:v>
                  </c:pt>
                </c:numCache>
              </c:numRef>
            </c:minus>
            <c:spPr>
              <a:ln w="12700">
                <a:solidFill>
                  <a:srgbClr val="7030A0"/>
                </a:solidFill>
              </a:ln>
            </c:spPr>
          </c:errBars>
          <c:xVal>
            <c:numRef>
              <c:f>'TQ-FlexAbsorb-10psi'!$S$4:$S$34</c:f>
              <c:numCache>
                <c:formatCode>General</c:formatCode>
                <c:ptCount val="31"/>
                <c:pt idx="0">
                  <c:v>1.46</c:v>
                </c:pt>
                <c:pt idx="1">
                  <c:v>2.37</c:v>
                </c:pt>
                <c:pt idx="2">
                  <c:v>5.27</c:v>
                </c:pt>
                <c:pt idx="3">
                  <c:v>9.94</c:v>
                </c:pt>
                <c:pt idx="4">
                  <c:v>13.89</c:v>
                </c:pt>
                <c:pt idx="5">
                  <c:v>20.19</c:v>
                </c:pt>
                <c:pt idx="6">
                  <c:v>28.63</c:v>
                </c:pt>
                <c:pt idx="7">
                  <c:v>34.30000000000001</c:v>
                </c:pt>
                <c:pt idx="8">
                  <c:v>40.74</c:v>
                </c:pt>
                <c:pt idx="9">
                  <c:v>45.17</c:v>
                </c:pt>
                <c:pt idx="10">
                  <c:v>50.7</c:v>
                </c:pt>
                <c:pt idx="11">
                  <c:v>57.14</c:v>
                </c:pt>
                <c:pt idx="12">
                  <c:v>62.38</c:v>
                </c:pt>
                <c:pt idx="13">
                  <c:v>68.59</c:v>
                </c:pt>
                <c:pt idx="14">
                  <c:v>73.65</c:v>
                </c:pt>
                <c:pt idx="15">
                  <c:v>79.91</c:v>
                </c:pt>
                <c:pt idx="16">
                  <c:v>85.27</c:v>
                </c:pt>
                <c:pt idx="17">
                  <c:v>91.9</c:v>
                </c:pt>
                <c:pt idx="18">
                  <c:v>97.13</c:v>
                </c:pt>
                <c:pt idx="19">
                  <c:v>102.99</c:v>
                </c:pt>
                <c:pt idx="20">
                  <c:v>108.67</c:v>
                </c:pt>
                <c:pt idx="21">
                  <c:v>113.62</c:v>
                </c:pt>
                <c:pt idx="22">
                  <c:v>119.29</c:v>
                </c:pt>
                <c:pt idx="23">
                  <c:v>122.85</c:v>
                </c:pt>
              </c:numCache>
            </c:numRef>
          </c:xVal>
          <c:yVal>
            <c:numRef>
              <c:f>'TQ-FlexAbsorb-10psi'!$T$4:$T$34</c:f>
              <c:numCache>
                <c:formatCode>General</c:formatCode>
                <c:ptCount val="31"/>
                <c:pt idx="0">
                  <c:v>0.3657</c:v>
                </c:pt>
                <c:pt idx="1">
                  <c:v>0.4478</c:v>
                </c:pt>
                <c:pt idx="2">
                  <c:v>0.7069</c:v>
                </c:pt>
                <c:pt idx="3">
                  <c:v>1.0087</c:v>
                </c:pt>
                <c:pt idx="4">
                  <c:v>1.1649</c:v>
                </c:pt>
                <c:pt idx="5">
                  <c:v>1.2474</c:v>
                </c:pt>
                <c:pt idx="6">
                  <c:v>1.2511</c:v>
                </c:pt>
                <c:pt idx="7">
                  <c:v>1.2725</c:v>
                </c:pt>
                <c:pt idx="8">
                  <c:v>1.3059</c:v>
                </c:pt>
                <c:pt idx="9">
                  <c:v>1.3232</c:v>
                </c:pt>
                <c:pt idx="10">
                  <c:v>1.3378</c:v>
                </c:pt>
                <c:pt idx="11">
                  <c:v>1.383</c:v>
                </c:pt>
                <c:pt idx="12">
                  <c:v>1.3555</c:v>
                </c:pt>
                <c:pt idx="13">
                  <c:v>1.4217</c:v>
                </c:pt>
                <c:pt idx="14">
                  <c:v>1.4064</c:v>
                </c:pt>
                <c:pt idx="15">
                  <c:v>1.4474</c:v>
                </c:pt>
                <c:pt idx="16">
                  <c:v>1.4637</c:v>
                </c:pt>
                <c:pt idx="17">
                  <c:v>1.4829</c:v>
                </c:pt>
                <c:pt idx="18">
                  <c:v>1.5764</c:v>
                </c:pt>
                <c:pt idx="19">
                  <c:v>1.6323</c:v>
                </c:pt>
                <c:pt idx="20">
                  <c:v>1.6239</c:v>
                </c:pt>
                <c:pt idx="21">
                  <c:v>1.6578</c:v>
                </c:pt>
                <c:pt idx="22">
                  <c:v>1.6339</c:v>
                </c:pt>
                <c:pt idx="23">
                  <c:v>1.6396</c:v>
                </c:pt>
              </c:numCache>
            </c:numRef>
          </c:yVal>
          <c:smooth val="0"/>
        </c:ser>
        <c:dLbls>
          <c:showLegendKey val="0"/>
          <c:showVal val="0"/>
          <c:showCatName val="0"/>
          <c:showSerName val="0"/>
          <c:showPercent val="0"/>
          <c:showBubbleSize val="0"/>
        </c:dLbls>
        <c:axId val="513641928"/>
        <c:axId val="513647832"/>
      </c:scatterChart>
      <c:valAx>
        <c:axId val="513641928"/>
        <c:scaling>
          <c:orientation val="minMax"/>
          <c:max val="19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513647832"/>
        <c:crosses val="autoZero"/>
        <c:crossBetween val="midCat"/>
        <c:minorUnit val="12.5"/>
      </c:valAx>
      <c:valAx>
        <c:axId val="513647832"/>
        <c:scaling>
          <c:orientation val="minMax"/>
          <c:max val="2.5"/>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513641928"/>
        <c:crosses val="autoZero"/>
        <c:crossBetween val="midCat"/>
        <c:majorUnit val="1.0"/>
        <c:minorUnit val="0.25"/>
      </c:valAx>
      <c:spPr>
        <a:ln w="19050">
          <a:solidFill>
            <a:sysClr val="windowText" lastClr="000000"/>
          </a:solidFill>
        </a:ln>
      </c:spPr>
    </c:plotArea>
    <c:legend>
      <c:legendPos val="r"/>
      <c:legendEntry>
        <c:idx val="0"/>
        <c:delete val="1"/>
      </c:legendEntry>
      <c:layout>
        <c:manualLayout>
          <c:xMode val="edge"/>
          <c:yMode val="edge"/>
          <c:x val="0.435999154766671"/>
          <c:y val="0.0428219714903814"/>
          <c:w val="0.470635556148702"/>
          <c:h val="0.100057179485312"/>
        </c:manualLayout>
      </c:layout>
      <c:overlay val="1"/>
      <c:spPr>
        <a:solidFill>
          <a:schemeClr val="bg1"/>
        </a:solidFill>
      </c:spPr>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4309458480601"/>
          <c:y val="0.0333333333333333"/>
          <c:w val="0.75997228425077"/>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circle"/>
            <c:size val="5"/>
            <c:spPr>
              <a:solidFill>
                <a:srgbClr val="0070C0">
                  <a:alpha val="50000"/>
                </a:srgbClr>
              </a:solidFill>
              <a:ln w="12700">
                <a:solidFill>
                  <a:schemeClr val="tx1"/>
                </a:solidFill>
              </a:ln>
            </c:spPr>
          </c:marker>
          <c:errBars>
            <c:errDir val="y"/>
            <c:errBarType val="both"/>
            <c:errValType val="cust"/>
            <c:noEndCap val="0"/>
            <c:plus>
              <c:numRef>
                <c:f>'TQ-FlexAbsorb-30psi'!$C$4:$C$29</c:f>
                <c:numCache>
                  <c:formatCode>General</c:formatCode>
                  <c:ptCount val="26"/>
                  <c:pt idx="0">
                    <c:v>0.027</c:v>
                  </c:pt>
                  <c:pt idx="1">
                    <c:v>0.029</c:v>
                  </c:pt>
                  <c:pt idx="2">
                    <c:v>0.029</c:v>
                  </c:pt>
                  <c:pt idx="3">
                    <c:v>0.031</c:v>
                  </c:pt>
                  <c:pt idx="4">
                    <c:v>0.038</c:v>
                  </c:pt>
                  <c:pt idx="5">
                    <c:v>0.032</c:v>
                  </c:pt>
                  <c:pt idx="6">
                    <c:v>0.032</c:v>
                  </c:pt>
                  <c:pt idx="7">
                    <c:v>0.03</c:v>
                  </c:pt>
                  <c:pt idx="8">
                    <c:v>0.024</c:v>
                  </c:pt>
                  <c:pt idx="9">
                    <c:v>0.041</c:v>
                  </c:pt>
                  <c:pt idx="10">
                    <c:v>0.032</c:v>
                  </c:pt>
                  <c:pt idx="11">
                    <c:v>0.03</c:v>
                  </c:pt>
                  <c:pt idx="12">
                    <c:v>0.033</c:v>
                  </c:pt>
                  <c:pt idx="13">
                    <c:v>0.034</c:v>
                  </c:pt>
                  <c:pt idx="14">
                    <c:v>0.031</c:v>
                  </c:pt>
                  <c:pt idx="15">
                    <c:v>0.029</c:v>
                  </c:pt>
                  <c:pt idx="16">
                    <c:v>0.03</c:v>
                  </c:pt>
                  <c:pt idx="17">
                    <c:v>0.023</c:v>
                  </c:pt>
                  <c:pt idx="18">
                    <c:v>0.058</c:v>
                  </c:pt>
                  <c:pt idx="19">
                    <c:v>0.029</c:v>
                  </c:pt>
                  <c:pt idx="20">
                    <c:v>0.031</c:v>
                  </c:pt>
                  <c:pt idx="21">
                    <c:v>0.033</c:v>
                  </c:pt>
                  <c:pt idx="22">
                    <c:v>0.032</c:v>
                  </c:pt>
                  <c:pt idx="23">
                    <c:v>0.03</c:v>
                  </c:pt>
                </c:numCache>
              </c:numRef>
            </c:plus>
            <c:minus>
              <c:numRef>
                <c:f>'TQ-FlexAbsorb-30psi'!$C$4:$C$29</c:f>
                <c:numCache>
                  <c:formatCode>General</c:formatCode>
                  <c:ptCount val="26"/>
                  <c:pt idx="0">
                    <c:v>0.027</c:v>
                  </c:pt>
                  <c:pt idx="1">
                    <c:v>0.029</c:v>
                  </c:pt>
                  <c:pt idx="2">
                    <c:v>0.029</c:v>
                  </c:pt>
                  <c:pt idx="3">
                    <c:v>0.031</c:v>
                  </c:pt>
                  <c:pt idx="4">
                    <c:v>0.038</c:v>
                  </c:pt>
                  <c:pt idx="5">
                    <c:v>0.032</c:v>
                  </c:pt>
                  <c:pt idx="6">
                    <c:v>0.032</c:v>
                  </c:pt>
                  <c:pt idx="7">
                    <c:v>0.03</c:v>
                  </c:pt>
                  <c:pt idx="8">
                    <c:v>0.024</c:v>
                  </c:pt>
                  <c:pt idx="9">
                    <c:v>0.041</c:v>
                  </c:pt>
                  <c:pt idx="10">
                    <c:v>0.032</c:v>
                  </c:pt>
                  <c:pt idx="11">
                    <c:v>0.03</c:v>
                  </c:pt>
                  <c:pt idx="12">
                    <c:v>0.033</c:v>
                  </c:pt>
                  <c:pt idx="13">
                    <c:v>0.034</c:v>
                  </c:pt>
                  <c:pt idx="14">
                    <c:v>0.031</c:v>
                  </c:pt>
                  <c:pt idx="15">
                    <c:v>0.029</c:v>
                  </c:pt>
                  <c:pt idx="16">
                    <c:v>0.03</c:v>
                  </c:pt>
                  <c:pt idx="17">
                    <c:v>0.023</c:v>
                  </c:pt>
                  <c:pt idx="18">
                    <c:v>0.058</c:v>
                  </c:pt>
                  <c:pt idx="19">
                    <c:v>0.029</c:v>
                  </c:pt>
                  <c:pt idx="20">
                    <c:v>0.031</c:v>
                  </c:pt>
                  <c:pt idx="21">
                    <c:v>0.033</c:v>
                  </c:pt>
                  <c:pt idx="22">
                    <c:v>0.032</c:v>
                  </c:pt>
                  <c:pt idx="23">
                    <c:v>0.03</c:v>
                  </c:pt>
                </c:numCache>
              </c:numRef>
            </c:minus>
            <c:spPr>
              <a:ln w="12700">
                <a:solidFill>
                  <a:srgbClr val="0070C0"/>
                </a:solidFill>
              </a:ln>
            </c:spPr>
          </c:errBars>
          <c:xVal>
            <c:numRef>
              <c:f>'TQ-FlexAbsorb-30psi'!$A$4:$A$34</c:f>
              <c:numCache>
                <c:formatCode>General</c:formatCode>
                <c:ptCount val="31"/>
                <c:pt idx="0">
                  <c:v>1.34</c:v>
                </c:pt>
                <c:pt idx="1">
                  <c:v>2.3</c:v>
                </c:pt>
                <c:pt idx="2">
                  <c:v>5.23</c:v>
                </c:pt>
                <c:pt idx="3">
                  <c:v>9.92</c:v>
                </c:pt>
                <c:pt idx="4">
                  <c:v>13.88</c:v>
                </c:pt>
                <c:pt idx="5">
                  <c:v>20.18</c:v>
                </c:pt>
                <c:pt idx="6">
                  <c:v>28.62</c:v>
                </c:pt>
                <c:pt idx="7">
                  <c:v>34.29</c:v>
                </c:pt>
                <c:pt idx="8">
                  <c:v>40.74</c:v>
                </c:pt>
                <c:pt idx="9">
                  <c:v>45.17</c:v>
                </c:pt>
                <c:pt idx="10">
                  <c:v>50.7</c:v>
                </c:pt>
                <c:pt idx="11">
                  <c:v>57.14</c:v>
                </c:pt>
                <c:pt idx="12">
                  <c:v>62.38</c:v>
                </c:pt>
                <c:pt idx="13">
                  <c:v>68.59</c:v>
                </c:pt>
                <c:pt idx="14">
                  <c:v>73.64</c:v>
                </c:pt>
                <c:pt idx="15">
                  <c:v>79.91</c:v>
                </c:pt>
                <c:pt idx="16">
                  <c:v>85.27</c:v>
                </c:pt>
                <c:pt idx="17">
                  <c:v>91.9</c:v>
                </c:pt>
                <c:pt idx="18">
                  <c:v>97.13</c:v>
                </c:pt>
                <c:pt idx="19">
                  <c:v>102.99</c:v>
                </c:pt>
                <c:pt idx="20">
                  <c:v>108.67</c:v>
                </c:pt>
                <c:pt idx="21">
                  <c:v>113.62</c:v>
                </c:pt>
                <c:pt idx="22">
                  <c:v>119.29</c:v>
                </c:pt>
                <c:pt idx="23">
                  <c:v>122.86</c:v>
                </c:pt>
              </c:numCache>
            </c:numRef>
          </c:xVal>
          <c:yVal>
            <c:numRef>
              <c:f>'TQ-FlexAbsorb-30psi'!$B$4:$B$34</c:f>
              <c:numCache>
                <c:formatCode>General</c:formatCode>
                <c:ptCount val="31"/>
                <c:pt idx="0">
                  <c:v>0.0816</c:v>
                </c:pt>
                <c:pt idx="1">
                  <c:v>0.0919</c:v>
                </c:pt>
                <c:pt idx="2">
                  <c:v>0.1076</c:v>
                </c:pt>
                <c:pt idx="3">
                  <c:v>0.1507</c:v>
                </c:pt>
                <c:pt idx="4">
                  <c:v>0.1697</c:v>
                </c:pt>
                <c:pt idx="5">
                  <c:v>0.2236</c:v>
                </c:pt>
                <c:pt idx="6">
                  <c:v>0.2142</c:v>
                </c:pt>
                <c:pt idx="7">
                  <c:v>0.2318</c:v>
                </c:pt>
                <c:pt idx="8">
                  <c:v>0.2695</c:v>
                </c:pt>
                <c:pt idx="9">
                  <c:v>0.2782</c:v>
                </c:pt>
                <c:pt idx="10">
                  <c:v>0.2823</c:v>
                </c:pt>
                <c:pt idx="11">
                  <c:v>0.2985</c:v>
                </c:pt>
                <c:pt idx="12">
                  <c:v>0.307</c:v>
                </c:pt>
                <c:pt idx="13">
                  <c:v>0.3288</c:v>
                </c:pt>
                <c:pt idx="14">
                  <c:v>0.3453</c:v>
                </c:pt>
                <c:pt idx="15">
                  <c:v>0.3874</c:v>
                </c:pt>
                <c:pt idx="16">
                  <c:v>0.4231</c:v>
                </c:pt>
                <c:pt idx="17">
                  <c:v>0.4776</c:v>
                </c:pt>
                <c:pt idx="18">
                  <c:v>0.5076</c:v>
                </c:pt>
                <c:pt idx="19">
                  <c:v>0.5012</c:v>
                </c:pt>
                <c:pt idx="20">
                  <c:v>0.4969</c:v>
                </c:pt>
                <c:pt idx="21">
                  <c:v>0.5507</c:v>
                </c:pt>
                <c:pt idx="22">
                  <c:v>0.5417</c:v>
                </c:pt>
                <c:pt idx="23">
                  <c:v>0.5364</c:v>
                </c:pt>
              </c:numCache>
            </c:numRef>
          </c:yVal>
          <c:smooth val="0"/>
        </c:ser>
        <c:ser>
          <c:idx val="1"/>
          <c:order val="2"/>
          <c:tx>
            <c:v>40% RH</c:v>
          </c:tx>
          <c:spPr>
            <a:ln w="28575">
              <a:noFill/>
            </a:ln>
          </c:spPr>
          <c:marker>
            <c:symbol val="circle"/>
            <c:size val="5"/>
            <c:spPr>
              <a:solidFill>
                <a:srgbClr val="C00000">
                  <a:alpha val="50000"/>
                </a:srgbClr>
              </a:solidFill>
              <a:ln w="12700">
                <a:solidFill>
                  <a:sysClr val="windowText" lastClr="000000"/>
                </a:solidFill>
              </a:ln>
            </c:spPr>
          </c:marker>
          <c:errBars>
            <c:errDir val="y"/>
            <c:errBarType val="both"/>
            <c:errValType val="cust"/>
            <c:noEndCap val="0"/>
            <c:plus>
              <c:numRef>
                <c:f>'TQ-FlexAbsorb-30psi'!$I$4:$I$29</c:f>
                <c:numCache>
                  <c:formatCode>General</c:formatCode>
                  <c:ptCount val="26"/>
                  <c:pt idx="0">
                    <c:v>0.036</c:v>
                  </c:pt>
                  <c:pt idx="1">
                    <c:v>0.039</c:v>
                  </c:pt>
                  <c:pt idx="2">
                    <c:v>0.041</c:v>
                  </c:pt>
                  <c:pt idx="3">
                    <c:v>0.034</c:v>
                  </c:pt>
                  <c:pt idx="4">
                    <c:v>0.036</c:v>
                  </c:pt>
                  <c:pt idx="5">
                    <c:v>0.041</c:v>
                  </c:pt>
                  <c:pt idx="6">
                    <c:v>0.046</c:v>
                  </c:pt>
                  <c:pt idx="7">
                    <c:v>0.052</c:v>
                  </c:pt>
                  <c:pt idx="8">
                    <c:v>0.045</c:v>
                  </c:pt>
                  <c:pt idx="9">
                    <c:v>0.047</c:v>
                  </c:pt>
                  <c:pt idx="10">
                    <c:v>0.047</c:v>
                  </c:pt>
                  <c:pt idx="11">
                    <c:v>0.03</c:v>
                  </c:pt>
                  <c:pt idx="12">
                    <c:v>0.042</c:v>
                  </c:pt>
                  <c:pt idx="13">
                    <c:v>0.037</c:v>
                  </c:pt>
                  <c:pt idx="14">
                    <c:v>0.044</c:v>
                  </c:pt>
                  <c:pt idx="15">
                    <c:v>0.039</c:v>
                  </c:pt>
                  <c:pt idx="16">
                    <c:v>0.052</c:v>
                  </c:pt>
                  <c:pt idx="17">
                    <c:v>0.047</c:v>
                  </c:pt>
                  <c:pt idx="18">
                    <c:v>0.047</c:v>
                  </c:pt>
                  <c:pt idx="19">
                    <c:v>0.044</c:v>
                  </c:pt>
                  <c:pt idx="20">
                    <c:v>0.042</c:v>
                  </c:pt>
                  <c:pt idx="21">
                    <c:v>0.046</c:v>
                  </c:pt>
                  <c:pt idx="22">
                    <c:v>0.032</c:v>
                  </c:pt>
                  <c:pt idx="23">
                    <c:v>0.041</c:v>
                  </c:pt>
                </c:numCache>
              </c:numRef>
            </c:plus>
            <c:minus>
              <c:numRef>
                <c:f>'TQ-FlexAbsorb-30psi'!$I$4:$I$29</c:f>
                <c:numCache>
                  <c:formatCode>General</c:formatCode>
                  <c:ptCount val="26"/>
                  <c:pt idx="0">
                    <c:v>0.036</c:v>
                  </c:pt>
                  <c:pt idx="1">
                    <c:v>0.039</c:v>
                  </c:pt>
                  <c:pt idx="2">
                    <c:v>0.041</c:v>
                  </c:pt>
                  <c:pt idx="3">
                    <c:v>0.034</c:v>
                  </c:pt>
                  <c:pt idx="4">
                    <c:v>0.036</c:v>
                  </c:pt>
                  <c:pt idx="5">
                    <c:v>0.041</c:v>
                  </c:pt>
                  <c:pt idx="6">
                    <c:v>0.046</c:v>
                  </c:pt>
                  <c:pt idx="7">
                    <c:v>0.052</c:v>
                  </c:pt>
                  <c:pt idx="8">
                    <c:v>0.045</c:v>
                  </c:pt>
                  <c:pt idx="9">
                    <c:v>0.047</c:v>
                  </c:pt>
                  <c:pt idx="10">
                    <c:v>0.047</c:v>
                  </c:pt>
                  <c:pt idx="11">
                    <c:v>0.03</c:v>
                  </c:pt>
                  <c:pt idx="12">
                    <c:v>0.042</c:v>
                  </c:pt>
                  <c:pt idx="13">
                    <c:v>0.037</c:v>
                  </c:pt>
                  <c:pt idx="14">
                    <c:v>0.044</c:v>
                  </c:pt>
                  <c:pt idx="15">
                    <c:v>0.039</c:v>
                  </c:pt>
                  <c:pt idx="16">
                    <c:v>0.052</c:v>
                  </c:pt>
                  <c:pt idx="17">
                    <c:v>0.047</c:v>
                  </c:pt>
                  <c:pt idx="18">
                    <c:v>0.047</c:v>
                  </c:pt>
                  <c:pt idx="19">
                    <c:v>0.044</c:v>
                  </c:pt>
                  <c:pt idx="20">
                    <c:v>0.042</c:v>
                  </c:pt>
                  <c:pt idx="21">
                    <c:v>0.046</c:v>
                  </c:pt>
                  <c:pt idx="22">
                    <c:v>0.032</c:v>
                  </c:pt>
                  <c:pt idx="23">
                    <c:v>0.041</c:v>
                  </c:pt>
                </c:numCache>
              </c:numRef>
            </c:minus>
            <c:spPr>
              <a:ln w="12700">
                <a:solidFill>
                  <a:srgbClr val="C00000"/>
                </a:solidFill>
              </a:ln>
            </c:spPr>
          </c:errBars>
          <c:xVal>
            <c:numRef>
              <c:f>'TQ-FlexAbsorb-30psi'!$G$4:$G$34</c:f>
              <c:numCache>
                <c:formatCode>General</c:formatCode>
                <c:ptCount val="31"/>
                <c:pt idx="0">
                  <c:v>1.38</c:v>
                </c:pt>
                <c:pt idx="1">
                  <c:v>2.33</c:v>
                </c:pt>
                <c:pt idx="2">
                  <c:v>5.24</c:v>
                </c:pt>
                <c:pt idx="3">
                  <c:v>9.93</c:v>
                </c:pt>
                <c:pt idx="4">
                  <c:v>13.88</c:v>
                </c:pt>
                <c:pt idx="5">
                  <c:v>20.19</c:v>
                </c:pt>
                <c:pt idx="6">
                  <c:v>28.62</c:v>
                </c:pt>
                <c:pt idx="7">
                  <c:v>34.30000000000001</c:v>
                </c:pt>
                <c:pt idx="8">
                  <c:v>40.74</c:v>
                </c:pt>
                <c:pt idx="9">
                  <c:v>45.17</c:v>
                </c:pt>
                <c:pt idx="10">
                  <c:v>50.7</c:v>
                </c:pt>
                <c:pt idx="11">
                  <c:v>57.14</c:v>
                </c:pt>
                <c:pt idx="12">
                  <c:v>62.38</c:v>
                </c:pt>
                <c:pt idx="13">
                  <c:v>68.59</c:v>
                </c:pt>
                <c:pt idx="14">
                  <c:v>73.64</c:v>
                </c:pt>
                <c:pt idx="15">
                  <c:v>79.91</c:v>
                </c:pt>
                <c:pt idx="16">
                  <c:v>85.27</c:v>
                </c:pt>
                <c:pt idx="17">
                  <c:v>91.9</c:v>
                </c:pt>
                <c:pt idx="18">
                  <c:v>97.13</c:v>
                </c:pt>
                <c:pt idx="19">
                  <c:v>102.99</c:v>
                </c:pt>
                <c:pt idx="20">
                  <c:v>108.67</c:v>
                </c:pt>
                <c:pt idx="21">
                  <c:v>113.62</c:v>
                </c:pt>
                <c:pt idx="22">
                  <c:v>119.29</c:v>
                </c:pt>
                <c:pt idx="23">
                  <c:v>122.86</c:v>
                </c:pt>
              </c:numCache>
            </c:numRef>
          </c:xVal>
          <c:yVal>
            <c:numRef>
              <c:f>'TQ-FlexAbsorb-30psi'!$H$4:$H$34</c:f>
              <c:numCache>
                <c:formatCode>General</c:formatCode>
                <c:ptCount val="31"/>
                <c:pt idx="0">
                  <c:v>0.1317</c:v>
                </c:pt>
                <c:pt idx="1">
                  <c:v>0.1459</c:v>
                </c:pt>
                <c:pt idx="2">
                  <c:v>0.1793</c:v>
                </c:pt>
                <c:pt idx="3">
                  <c:v>0.252</c:v>
                </c:pt>
                <c:pt idx="4">
                  <c:v>0.2886</c:v>
                </c:pt>
                <c:pt idx="5">
                  <c:v>0.3231</c:v>
                </c:pt>
                <c:pt idx="6">
                  <c:v>0.3293</c:v>
                </c:pt>
                <c:pt idx="7">
                  <c:v>0.3742</c:v>
                </c:pt>
                <c:pt idx="8">
                  <c:v>0.3801</c:v>
                </c:pt>
                <c:pt idx="9">
                  <c:v>0.3858</c:v>
                </c:pt>
                <c:pt idx="10">
                  <c:v>0.3875</c:v>
                </c:pt>
                <c:pt idx="11">
                  <c:v>0.4305</c:v>
                </c:pt>
                <c:pt idx="12">
                  <c:v>0.4231</c:v>
                </c:pt>
                <c:pt idx="13">
                  <c:v>0.4509</c:v>
                </c:pt>
                <c:pt idx="14">
                  <c:v>0.4638</c:v>
                </c:pt>
                <c:pt idx="15">
                  <c:v>0.5095</c:v>
                </c:pt>
                <c:pt idx="16">
                  <c:v>0.527</c:v>
                </c:pt>
                <c:pt idx="17">
                  <c:v>0.5636</c:v>
                </c:pt>
                <c:pt idx="18">
                  <c:v>0.5629</c:v>
                </c:pt>
                <c:pt idx="19">
                  <c:v>0.5888</c:v>
                </c:pt>
                <c:pt idx="20">
                  <c:v>0.5819</c:v>
                </c:pt>
                <c:pt idx="21">
                  <c:v>0.6186</c:v>
                </c:pt>
                <c:pt idx="22">
                  <c:v>0.6118</c:v>
                </c:pt>
                <c:pt idx="23">
                  <c:v>0.6145</c:v>
                </c:pt>
              </c:numCache>
            </c:numRef>
          </c:yVal>
          <c:smooth val="0"/>
        </c:ser>
        <c:ser>
          <c:idx val="2"/>
          <c:order val="3"/>
          <c:tx>
            <c:v>70% RH</c:v>
          </c:tx>
          <c:spPr>
            <a:ln w="28575">
              <a:noFill/>
            </a:ln>
          </c:spPr>
          <c:marker>
            <c:symbol val="circle"/>
            <c:size val="5"/>
            <c:spPr>
              <a:solidFill>
                <a:srgbClr val="00B050">
                  <a:alpha val="50000"/>
                </a:srgbClr>
              </a:solidFill>
              <a:ln w="12700">
                <a:solidFill>
                  <a:sysClr val="windowText" lastClr="000000"/>
                </a:solidFill>
              </a:ln>
            </c:spPr>
          </c:marker>
          <c:errBars>
            <c:errDir val="y"/>
            <c:errBarType val="both"/>
            <c:errValType val="cust"/>
            <c:noEndCap val="0"/>
            <c:plus>
              <c:numRef>
                <c:f>'TQ-FlexAbsorb-30psi'!$O$4:$O$29</c:f>
                <c:numCache>
                  <c:formatCode>General</c:formatCode>
                  <c:ptCount val="26"/>
                  <c:pt idx="0">
                    <c:v>0.027</c:v>
                  </c:pt>
                  <c:pt idx="1">
                    <c:v>0.03</c:v>
                  </c:pt>
                  <c:pt idx="2">
                    <c:v>0.041</c:v>
                  </c:pt>
                  <c:pt idx="3">
                    <c:v>0.06</c:v>
                  </c:pt>
                  <c:pt idx="4">
                    <c:v>0.06</c:v>
                  </c:pt>
                  <c:pt idx="5">
                    <c:v>0.066</c:v>
                  </c:pt>
                  <c:pt idx="6">
                    <c:v>0.068</c:v>
                  </c:pt>
                  <c:pt idx="7">
                    <c:v>0.067</c:v>
                  </c:pt>
                  <c:pt idx="8">
                    <c:v>0.072</c:v>
                  </c:pt>
                  <c:pt idx="9">
                    <c:v>0.061</c:v>
                  </c:pt>
                  <c:pt idx="10">
                    <c:v>0.063</c:v>
                  </c:pt>
                  <c:pt idx="11">
                    <c:v>0.073</c:v>
                  </c:pt>
                  <c:pt idx="12">
                    <c:v>0.071</c:v>
                  </c:pt>
                  <c:pt idx="13">
                    <c:v>0.058</c:v>
                  </c:pt>
                  <c:pt idx="14">
                    <c:v>0.067</c:v>
                  </c:pt>
                  <c:pt idx="15">
                    <c:v>0.066</c:v>
                  </c:pt>
                  <c:pt idx="16">
                    <c:v>0.072</c:v>
                  </c:pt>
                  <c:pt idx="17">
                    <c:v>0.057</c:v>
                  </c:pt>
                  <c:pt idx="18">
                    <c:v>0.071</c:v>
                  </c:pt>
                  <c:pt idx="19">
                    <c:v>0.06</c:v>
                  </c:pt>
                  <c:pt idx="20">
                    <c:v>0.068</c:v>
                  </c:pt>
                  <c:pt idx="21">
                    <c:v>0.081</c:v>
                  </c:pt>
                  <c:pt idx="22">
                    <c:v>0.073</c:v>
                  </c:pt>
                  <c:pt idx="23">
                    <c:v>0.081</c:v>
                  </c:pt>
                </c:numCache>
              </c:numRef>
            </c:plus>
            <c:minus>
              <c:numRef>
                <c:f>'TQ-FlexAbsorb-30psi'!$O$4:$O$29</c:f>
                <c:numCache>
                  <c:formatCode>General</c:formatCode>
                  <c:ptCount val="26"/>
                  <c:pt idx="0">
                    <c:v>0.027</c:v>
                  </c:pt>
                  <c:pt idx="1">
                    <c:v>0.03</c:v>
                  </c:pt>
                  <c:pt idx="2">
                    <c:v>0.041</c:v>
                  </c:pt>
                  <c:pt idx="3">
                    <c:v>0.06</c:v>
                  </c:pt>
                  <c:pt idx="4">
                    <c:v>0.06</c:v>
                  </c:pt>
                  <c:pt idx="5">
                    <c:v>0.066</c:v>
                  </c:pt>
                  <c:pt idx="6">
                    <c:v>0.068</c:v>
                  </c:pt>
                  <c:pt idx="7">
                    <c:v>0.067</c:v>
                  </c:pt>
                  <c:pt idx="8">
                    <c:v>0.072</c:v>
                  </c:pt>
                  <c:pt idx="9">
                    <c:v>0.061</c:v>
                  </c:pt>
                  <c:pt idx="10">
                    <c:v>0.063</c:v>
                  </c:pt>
                  <c:pt idx="11">
                    <c:v>0.073</c:v>
                  </c:pt>
                  <c:pt idx="12">
                    <c:v>0.071</c:v>
                  </c:pt>
                  <c:pt idx="13">
                    <c:v>0.058</c:v>
                  </c:pt>
                  <c:pt idx="14">
                    <c:v>0.067</c:v>
                  </c:pt>
                  <c:pt idx="15">
                    <c:v>0.066</c:v>
                  </c:pt>
                  <c:pt idx="16">
                    <c:v>0.072</c:v>
                  </c:pt>
                  <c:pt idx="17">
                    <c:v>0.057</c:v>
                  </c:pt>
                  <c:pt idx="18">
                    <c:v>0.071</c:v>
                  </c:pt>
                  <c:pt idx="19">
                    <c:v>0.06</c:v>
                  </c:pt>
                  <c:pt idx="20">
                    <c:v>0.068</c:v>
                  </c:pt>
                  <c:pt idx="21">
                    <c:v>0.081</c:v>
                  </c:pt>
                  <c:pt idx="22">
                    <c:v>0.073</c:v>
                  </c:pt>
                  <c:pt idx="23">
                    <c:v>0.081</c:v>
                  </c:pt>
                </c:numCache>
              </c:numRef>
            </c:minus>
            <c:spPr>
              <a:ln w="12700">
                <a:solidFill>
                  <a:srgbClr val="00B050"/>
                </a:solidFill>
              </a:ln>
            </c:spPr>
          </c:errBars>
          <c:xVal>
            <c:numRef>
              <c:f>'TQ-FlexAbsorb-30psi'!$M$4:$M$34</c:f>
              <c:numCache>
                <c:formatCode>General</c:formatCode>
                <c:ptCount val="31"/>
                <c:pt idx="0">
                  <c:v>1.43</c:v>
                </c:pt>
                <c:pt idx="1">
                  <c:v>2.35</c:v>
                </c:pt>
                <c:pt idx="2">
                  <c:v>5.25</c:v>
                </c:pt>
                <c:pt idx="3">
                  <c:v>9.93</c:v>
                </c:pt>
                <c:pt idx="4">
                  <c:v>13.89</c:v>
                </c:pt>
                <c:pt idx="5">
                  <c:v>20.19</c:v>
                </c:pt>
                <c:pt idx="6">
                  <c:v>28.62</c:v>
                </c:pt>
                <c:pt idx="7">
                  <c:v>34.30000000000001</c:v>
                </c:pt>
                <c:pt idx="8">
                  <c:v>40.74</c:v>
                </c:pt>
                <c:pt idx="9">
                  <c:v>45.17</c:v>
                </c:pt>
                <c:pt idx="10">
                  <c:v>50.7</c:v>
                </c:pt>
                <c:pt idx="11">
                  <c:v>57.14</c:v>
                </c:pt>
                <c:pt idx="12">
                  <c:v>62.38</c:v>
                </c:pt>
                <c:pt idx="13">
                  <c:v>68.59</c:v>
                </c:pt>
                <c:pt idx="14">
                  <c:v>73.64</c:v>
                </c:pt>
                <c:pt idx="15">
                  <c:v>79.91</c:v>
                </c:pt>
                <c:pt idx="16">
                  <c:v>85.27</c:v>
                </c:pt>
                <c:pt idx="17">
                  <c:v>91.9</c:v>
                </c:pt>
                <c:pt idx="18">
                  <c:v>97.13</c:v>
                </c:pt>
                <c:pt idx="19">
                  <c:v>102.99</c:v>
                </c:pt>
                <c:pt idx="20">
                  <c:v>108.67</c:v>
                </c:pt>
                <c:pt idx="21">
                  <c:v>113.62</c:v>
                </c:pt>
                <c:pt idx="22">
                  <c:v>119.29</c:v>
                </c:pt>
                <c:pt idx="23">
                  <c:v>122.86</c:v>
                </c:pt>
              </c:numCache>
            </c:numRef>
          </c:xVal>
          <c:yVal>
            <c:numRef>
              <c:f>'TQ-FlexAbsorb-30psi'!$N$4:$N$34</c:f>
              <c:numCache>
                <c:formatCode>General</c:formatCode>
                <c:ptCount val="31"/>
                <c:pt idx="0">
                  <c:v>0.1529</c:v>
                </c:pt>
                <c:pt idx="1">
                  <c:v>0.1908</c:v>
                </c:pt>
                <c:pt idx="2">
                  <c:v>0.2652</c:v>
                </c:pt>
                <c:pt idx="3">
                  <c:v>0.3831</c:v>
                </c:pt>
                <c:pt idx="4">
                  <c:v>0.423</c:v>
                </c:pt>
                <c:pt idx="5">
                  <c:v>0.4685</c:v>
                </c:pt>
                <c:pt idx="6">
                  <c:v>0.4568</c:v>
                </c:pt>
                <c:pt idx="7">
                  <c:v>0.482</c:v>
                </c:pt>
                <c:pt idx="8">
                  <c:v>0.5226</c:v>
                </c:pt>
                <c:pt idx="9">
                  <c:v>0.5379</c:v>
                </c:pt>
                <c:pt idx="10">
                  <c:v>0.538</c:v>
                </c:pt>
                <c:pt idx="11">
                  <c:v>0.5863</c:v>
                </c:pt>
                <c:pt idx="12">
                  <c:v>0.5857</c:v>
                </c:pt>
                <c:pt idx="13">
                  <c:v>0.6401</c:v>
                </c:pt>
                <c:pt idx="14">
                  <c:v>0.6816</c:v>
                </c:pt>
                <c:pt idx="15">
                  <c:v>0.7054</c:v>
                </c:pt>
                <c:pt idx="16">
                  <c:v>0.7125</c:v>
                </c:pt>
                <c:pt idx="17">
                  <c:v>0.7158</c:v>
                </c:pt>
                <c:pt idx="18">
                  <c:v>0.7502</c:v>
                </c:pt>
                <c:pt idx="19">
                  <c:v>0.7803</c:v>
                </c:pt>
                <c:pt idx="20">
                  <c:v>0.7775</c:v>
                </c:pt>
                <c:pt idx="21">
                  <c:v>0.8204</c:v>
                </c:pt>
                <c:pt idx="22">
                  <c:v>0.8238</c:v>
                </c:pt>
                <c:pt idx="23">
                  <c:v>0.8283</c:v>
                </c:pt>
              </c:numCache>
            </c:numRef>
          </c:yVal>
          <c:smooth val="0"/>
        </c:ser>
        <c:ser>
          <c:idx val="3"/>
          <c:order val="4"/>
          <c:tx>
            <c:v>99% RH</c:v>
          </c:tx>
          <c:spPr>
            <a:ln w="28575">
              <a:noFill/>
            </a:ln>
          </c:spPr>
          <c:marker>
            <c:symbol val="circle"/>
            <c:size val="5"/>
            <c:spPr>
              <a:solidFill>
                <a:srgbClr val="7030A0">
                  <a:alpha val="50000"/>
                </a:srgbClr>
              </a:solidFill>
              <a:ln w="12700">
                <a:solidFill>
                  <a:sysClr val="windowText" lastClr="000000"/>
                </a:solidFill>
              </a:ln>
            </c:spPr>
          </c:marker>
          <c:errBars>
            <c:errDir val="y"/>
            <c:errBarType val="both"/>
            <c:errValType val="cust"/>
            <c:noEndCap val="0"/>
            <c:plus>
              <c:numRef>
                <c:f>'TQ-FlexAbsorb-30psi'!$U$4:$U$29</c:f>
                <c:numCache>
                  <c:formatCode>General</c:formatCode>
                  <c:ptCount val="26"/>
                  <c:pt idx="0">
                    <c:v>0.041</c:v>
                  </c:pt>
                  <c:pt idx="1">
                    <c:v>0.031</c:v>
                  </c:pt>
                  <c:pt idx="2">
                    <c:v>0.049</c:v>
                  </c:pt>
                  <c:pt idx="3">
                    <c:v>0.108</c:v>
                  </c:pt>
                  <c:pt idx="4">
                    <c:v>0.11</c:v>
                  </c:pt>
                  <c:pt idx="5">
                    <c:v>0.116</c:v>
                  </c:pt>
                  <c:pt idx="6">
                    <c:v>0.106</c:v>
                  </c:pt>
                  <c:pt idx="7">
                    <c:v>0.098</c:v>
                  </c:pt>
                  <c:pt idx="8">
                    <c:v>0.119</c:v>
                  </c:pt>
                  <c:pt idx="9">
                    <c:v>0.129</c:v>
                  </c:pt>
                  <c:pt idx="10">
                    <c:v>0.13</c:v>
                  </c:pt>
                  <c:pt idx="11">
                    <c:v>0.127</c:v>
                  </c:pt>
                  <c:pt idx="12">
                    <c:v>0.12</c:v>
                  </c:pt>
                  <c:pt idx="13">
                    <c:v>0.124</c:v>
                  </c:pt>
                  <c:pt idx="14">
                    <c:v>0.124</c:v>
                  </c:pt>
                  <c:pt idx="15">
                    <c:v>0.129</c:v>
                  </c:pt>
                  <c:pt idx="16">
                    <c:v>0.116</c:v>
                  </c:pt>
                  <c:pt idx="17">
                    <c:v>0.112</c:v>
                  </c:pt>
                  <c:pt idx="18">
                    <c:v>0.1</c:v>
                  </c:pt>
                  <c:pt idx="19">
                    <c:v>0.137</c:v>
                  </c:pt>
                  <c:pt idx="20">
                    <c:v>0.121</c:v>
                  </c:pt>
                  <c:pt idx="21">
                    <c:v>0.112</c:v>
                  </c:pt>
                  <c:pt idx="22">
                    <c:v>0.12</c:v>
                  </c:pt>
                  <c:pt idx="23">
                    <c:v>0.123</c:v>
                  </c:pt>
                </c:numCache>
              </c:numRef>
            </c:plus>
            <c:minus>
              <c:numRef>
                <c:f>'TQ-FlexAbsorb-30psi'!$U$4:$U$29</c:f>
                <c:numCache>
                  <c:formatCode>General</c:formatCode>
                  <c:ptCount val="26"/>
                  <c:pt idx="0">
                    <c:v>0.041</c:v>
                  </c:pt>
                  <c:pt idx="1">
                    <c:v>0.031</c:v>
                  </c:pt>
                  <c:pt idx="2">
                    <c:v>0.049</c:v>
                  </c:pt>
                  <c:pt idx="3">
                    <c:v>0.108</c:v>
                  </c:pt>
                  <c:pt idx="4">
                    <c:v>0.11</c:v>
                  </c:pt>
                  <c:pt idx="5">
                    <c:v>0.116</c:v>
                  </c:pt>
                  <c:pt idx="6">
                    <c:v>0.106</c:v>
                  </c:pt>
                  <c:pt idx="7">
                    <c:v>0.098</c:v>
                  </c:pt>
                  <c:pt idx="8">
                    <c:v>0.119</c:v>
                  </c:pt>
                  <c:pt idx="9">
                    <c:v>0.129</c:v>
                  </c:pt>
                  <c:pt idx="10">
                    <c:v>0.13</c:v>
                  </c:pt>
                  <c:pt idx="11">
                    <c:v>0.127</c:v>
                  </c:pt>
                  <c:pt idx="12">
                    <c:v>0.12</c:v>
                  </c:pt>
                  <c:pt idx="13">
                    <c:v>0.124</c:v>
                  </c:pt>
                  <c:pt idx="14">
                    <c:v>0.124</c:v>
                  </c:pt>
                  <c:pt idx="15">
                    <c:v>0.129</c:v>
                  </c:pt>
                  <c:pt idx="16">
                    <c:v>0.116</c:v>
                  </c:pt>
                  <c:pt idx="17">
                    <c:v>0.112</c:v>
                  </c:pt>
                  <c:pt idx="18">
                    <c:v>0.1</c:v>
                  </c:pt>
                  <c:pt idx="19">
                    <c:v>0.137</c:v>
                  </c:pt>
                  <c:pt idx="20">
                    <c:v>0.121</c:v>
                  </c:pt>
                  <c:pt idx="21">
                    <c:v>0.112</c:v>
                  </c:pt>
                  <c:pt idx="22">
                    <c:v>0.12</c:v>
                  </c:pt>
                  <c:pt idx="23">
                    <c:v>0.123</c:v>
                  </c:pt>
                </c:numCache>
              </c:numRef>
            </c:minus>
            <c:spPr>
              <a:ln w="12700">
                <a:solidFill>
                  <a:srgbClr val="7030A0"/>
                </a:solidFill>
              </a:ln>
            </c:spPr>
          </c:errBars>
          <c:xVal>
            <c:numRef>
              <c:f>'TQ-FlexAbsorb-30psi'!$S$4:$S$34</c:f>
              <c:numCache>
                <c:formatCode>General</c:formatCode>
                <c:ptCount val="31"/>
                <c:pt idx="0">
                  <c:v>1.48</c:v>
                </c:pt>
                <c:pt idx="1">
                  <c:v>2.38</c:v>
                </c:pt>
                <c:pt idx="2">
                  <c:v>5.26</c:v>
                </c:pt>
                <c:pt idx="3">
                  <c:v>9.94</c:v>
                </c:pt>
                <c:pt idx="4">
                  <c:v>13.89</c:v>
                </c:pt>
                <c:pt idx="5">
                  <c:v>20.19</c:v>
                </c:pt>
                <c:pt idx="6">
                  <c:v>28.63</c:v>
                </c:pt>
                <c:pt idx="7">
                  <c:v>34.30000000000001</c:v>
                </c:pt>
                <c:pt idx="8">
                  <c:v>40.74</c:v>
                </c:pt>
                <c:pt idx="9">
                  <c:v>45.17</c:v>
                </c:pt>
                <c:pt idx="10">
                  <c:v>50.7</c:v>
                </c:pt>
                <c:pt idx="11">
                  <c:v>57.14</c:v>
                </c:pt>
                <c:pt idx="12">
                  <c:v>62.38</c:v>
                </c:pt>
                <c:pt idx="13">
                  <c:v>68.59</c:v>
                </c:pt>
                <c:pt idx="14">
                  <c:v>73.65</c:v>
                </c:pt>
                <c:pt idx="15">
                  <c:v>79.91</c:v>
                </c:pt>
                <c:pt idx="16">
                  <c:v>85.27</c:v>
                </c:pt>
                <c:pt idx="17">
                  <c:v>91.9</c:v>
                </c:pt>
                <c:pt idx="18">
                  <c:v>97.13</c:v>
                </c:pt>
                <c:pt idx="19">
                  <c:v>102.99</c:v>
                </c:pt>
                <c:pt idx="20">
                  <c:v>108.67</c:v>
                </c:pt>
                <c:pt idx="21">
                  <c:v>113.62</c:v>
                </c:pt>
                <c:pt idx="22">
                  <c:v>119.29</c:v>
                </c:pt>
                <c:pt idx="23">
                  <c:v>122.86</c:v>
                </c:pt>
              </c:numCache>
            </c:numRef>
          </c:xVal>
          <c:yVal>
            <c:numRef>
              <c:f>'TQ-FlexAbsorb-30psi'!$T$4:$T$34</c:f>
              <c:numCache>
                <c:formatCode>General</c:formatCode>
                <c:ptCount val="31"/>
                <c:pt idx="0">
                  <c:v>0.3092</c:v>
                </c:pt>
                <c:pt idx="1">
                  <c:v>0.3831</c:v>
                </c:pt>
                <c:pt idx="2">
                  <c:v>0.5734</c:v>
                </c:pt>
                <c:pt idx="3">
                  <c:v>0.822</c:v>
                </c:pt>
                <c:pt idx="4">
                  <c:v>0.9261</c:v>
                </c:pt>
                <c:pt idx="5">
                  <c:v>0.9806</c:v>
                </c:pt>
                <c:pt idx="6">
                  <c:v>0.9953</c:v>
                </c:pt>
                <c:pt idx="7">
                  <c:v>1.0476</c:v>
                </c:pt>
                <c:pt idx="8">
                  <c:v>1.101</c:v>
                </c:pt>
                <c:pt idx="9">
                  <c:v>1.1059</c:v>
                </c:pt>
                <c:pt idx="10">
                  <c:v>1.1161</c:v>
                </c:pt>
                <c:pt idx="11">
                  <c:v>1.1476</c:v>
                </c:pt>
                <c:pt idx="12">
                  <c:v>1.1309</c:v>
                </c:pt>
                <c:pt idx="13">
                  <c:v>1.167</c:v>
                </c:pt>
                <c:pt idx="14">
                  <c:v>1.1676</c:v>
                </c:pt>
                <c:pt idx="15">
                  <c:v>1.2259</c:v>
                </c:pt>
                <c:pt idx="16">
                  <c:v>1.2724</c:v>
                </c:pt>
                <c:pt idx="17">
                  <c:v>1.2775</c:v>
                </c:pt>
                <c:pt idx="18">
                  <c:v>1.2888</c:v>
                </c:pt>
                <c:pt idx="19">
                  <c:v>1.3127</c:v>
                </c:pt>
                <c:pt idx="20">
                  <c:v>1.3075</c:v>
                </c:pt>
                <c:pt idx="21">
                  <c:v>1.3586</c:v>
                </c:pt>
                <c:pt idx="22">
                  <c:v>1.3326</c:v>
                </c:pt>
                <c:pt idx="23">
                  <c:v>1.3197</c:v>
                </c:pt>
              </c:numCache>
            </c:numRef>
          </c:yVal>
          <c:smooth val="0"/>
        </c:ser>
        <c:dLbls>
          <c:showLegendKey val="0"/>
          <c:showVal val="0"/>
          <c:showCatName val="0"/>
          <c:showSerName val="0"/>
          <c:showPercent val="0"/>
          <c:showBubbleSize val="0"/>
        </c:dLbls>
        <c:axId val="513544088"/>
        <c:axId val="513524296"/>
      </c:scatterChart>
      <c:valAx>
        <c:axId val="513544088"/>
        <c:scaling>
          <c:orientation val="minMax"/>
          <c:max val="19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513524296"/>
        <c:crosses val="autoZero"/>
        <c:crossBetween val="midCat"/>
        <c:minorUnit val="12.5"/>
      </c:valAx>
      <c:valAx>
        <c:axId val="513524296"/>
        <c:scaling>
          <c:orientation val="minMax"/>
          <c:max val="2.5"/>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513544088"/>
        <c:crosses val="autoZero"/>
        <c:crossBetween val="midCat"/>
        <c:majorUnit val="1.0"/>
        <c:minorUnit val="0.25"/>
      </c:valAx>
      <c:spPr>
        <a:ln w="19050">
          <a:solidFill>
            <a:sysClr val="windowText" lastClr="000000"/>
          </a:solidFill>
        </a:ln>
      </c:spPr>
    </c:plotArea>
    <c:legend>
      <c:legendPos val="r"/>
      <c:legendEntry>
        <c:idx val="0"/>
        <c:delete val="1"/>
      </c:legendEntry>
      <c:layout>
        <c:manualLayout>
          <c:xMode val="edge"/>
          <c:yMode val="edge"/>
          <c:x val="0.435992111155597"/>
          <c:y val="0.0449346988425707"/>
          <c:w val="0.470635556148702"/>
          <c:h val="0.0965626752715115"/>
        </c:manualLayout>
      </c:layout>
      <c:overlay val="1"/>
      <c:spPr>
        <a:solidFill>
          <a:schemeClr val="bg1"/>
        </a:solidFill>
      </c:spPr>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4324356685478"/>
          <c:y val="0.0333333333333333"/>
          <c:w val="0.759957604491145"/>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circle"/>
            <c:size val="5"/>
            <c:spPr>
              <a:solidFill>
                <a:srgbClr val="0070C0">
                  <a:alpha val="50000"/>
                </a:srgbClr>
              </a:solidFill>
              <a:ln w="12700">
                <a:solidFill>
                  <a:schemeClr val="tx1"/>
                </a:solidFill>
              </a:ln>
            </c:spPr>
          </c:marker>
          <c:errBars>
            <c:errDir val="y"/>
            <c:errBarType val="both"/>
            <c:errValType val="cust"/>
            <c:noEndCap val="0"/>
            <c:plus>
              <c:numRef>
                <c:f>'TQ-FlexAbsorb-50psi'!$C$4:$C$29</c:f>
                <c:numCache>
                  <c:formatCode>General</c:formatCode>
                  <c:ptCount val="26"/>
                  <c:pt idx="0">
                    <c:v>0.022</c:v>
                  </c:pt>
                  <c:pt idx="1">
                    <c:v>0.019</c:v>
                  </c:pt>
                  <c:pt idx="2">
                    <c:v>0.024</c:v>
                  </c:pt>
                  <c:pt idx="3">
                    <c:v>0.027</c:v>
                  </c:pt>
                  <c:pt idx="4">
                    <c:v>0.016</c:v>
                  </c:pt>
                  <c:pt idx="5">
                    <c:v>0.021</c:v>
                  </c:pt>
                  <c:pt idx="6">
                    <c:v>0.025</c:v>
                  </c:pt>
                  <c:pt idx="7">
                    <c:v>0.015</c:v>
                  </c:pt>
                  <c:pt idx="8">
                    <c:v>0.02</c:v>
                  </c:pt>
                  <c:pt idx="9">
                    <c:v>0.03</c:v>
                  </c:pt>
                  <c:pt idx="10">
                    <c:v>0.027</c:v>
                  </c:pt>
                  <c:pt idx="11">
                    <c:v>0.033</c:v>
                  </c:pt>
                  <c:pt idx="12">
                    <c:v>0.02</c:v>
                  </c:pt>
                  <c:pt idx="13">
                    <c:v>0.014</c:v>
                  </c:pt>
                  <c:pt idx="14">
                    <c:v>0.028</c:v>
                  </c:pt>
                  <c:pt idx="15">
                    <c:v>0.016</c:v>
                  </c:pt>
                  <c:pt idx="16">
                    <c:v>0.021</c:v>
                  </c:pt>
                  <c:pt idx="17">
                    <c:v>0.017</c:v>
                  </c:pt>
                  <c:pt idx="18">
                    <c:v>0.012</c:v>
                  </c:pt>
                  <c:pt idx="19">
                    <c:v>0.018</c:v>
                  </c:pt>
                  <c:pt idx="20">
                    <c:v>0.02</c:v>
                  </c:pt>
                  <c:pt idx="21">
                    <c:v>0.024</c:v>
                  </c:pt>
                  <c:pt idx="22">
                    <c:v>0.015</c:v>
                  </c:pt>
                  <c:pt idx="23">
                    <c:v>0.02</c:v>
                  </c:pt>
                </c:numCache>
              </c:numRef>
            </c:plus>
            <c:minus>
              <c:numRef>
                <c:f>'TQ-FlexAbsorb-50psi'!$C$4:$C$29</c:f>
                <c:numCache>
                  <c:formatCode>General</c:formatCode>
                  <c:ptCount val="26"/>
                  <c:pt idx="0">
                    <c:v>0.022</c:v>
                  </c:pt>
                  <c:pt idx="1">
                    <c:v>0.019</c:v>
                  </c:pt>
                  <c:pt idx="2">
                    <c:v>0.024</c:v>
                  </c:pt>
                  <c:pt idx="3">
                    <c:v>0.027</c:v>
                  </c:pt>
                  <c:pt idx="4">
                    <c:v>0.016</c:v>
                  </c:pt>
                  <c:pt idx="5">
                    <c:v>0.021</c:v>
                  </c:pt>
                  <c:pt idx="6">
                    <c:v>0.025</c:v>
                  </c:pt>
                  <c:pt idx="7">
                    <c:v>0.015</c:v>
                  </c:pt>
                  <c:pt idx="8">
                    <c:v>0.02</c:v>
                  </c:pt>
                  <c:pt idx="9">
                    <c:v>0.03</c:v>
                  </c:pt>
                  <c:pt idx="10">
                    <c:v>0.027</c:v>
                  </c:pt>
                  <c:pt idx="11">
                    <c:v>0.033</c:v>
                  </c:pt>
                  <c:pt idx="12">
                    <c:v>0.02</c:v>
                  </c:pt>
                  <c:pt idx="13">
                    <c:v>0.014</c:v>
                  </c:pt>
                  <c:pt idx="14">
                    <c:v>0.028</c:v>
                  </c:pt>
                  <c:pt idx="15">
                    <c:v>0.016</c:v>
                  </c:pt>
                  <c:pt idx="16">
                    <c:v>0.021</c:v>
                  </c:pt>
                  <c:pt idx="17">
                    <c:v>0.017</c:v>
                  </c:pt>
                  <c:pt idx="18">
                    <c:v>0.012</c:v>
                  </c:pt>
                  <c:pt idx="19">
                    <c:v>0.018</c:v>
                  </c:pt>
                  <c:pt idx="20">
                    <c:v>0.02</c:v>
                  </c:pt>
                  <c:pt idx="21">
                    <c:v>0.024</c:v>
                  </c:pt>
                  <c:pt idx="22">
                    <c:v>0.015</c:v>
                  </c:pt>
                  <c:pt idx="23">
                    <c:v>0.02</c:v>
                  </c:pt>
                </c:numCache>
              </c:numRef>
            </c:minus>
            <c:spPr>
              <a:ln w="12700">
                <a:solidFill>
                  <a:srgbClr val="0070C0"/>
                </a:solidFill>
              </a:ln>
            </c:spPr>
          </c:errBars>
          <c:xVal>
            <c:numRef>
              <c:f>'TQ-FlexAbsorb-50psi'!$A$4:$A$34</c:f>
              <c:numCache>
                <c:formatCode>General</c:formatCode>
                <c:ptCount val="31"/>
                <c:pt idx="0">
                  <c:v>1.38</c:v>
                </c:pt>
                <c:pt idx="1">
                  <c:v>2.319999999999998</c:v>
                </c:pt>
                <c:pt idx="2">
                  <c:v>5.23</c:v>
                </c:pt>
                <c:pt idx="3">
                  <c:v>9.92</c:v>
                </c:pt>
                <c:pt idx="4">
                  <c:v>13.88</c:v>
                </c:pt>
                <c:pt idx="5">
                  <c:v>20.19</c:v>
                </c:pt>
                <c:pt idx="6">
                  <c:v>28.62</c:v>
                </c:pt>
                <c:pt idx="7">
                  <c:v>34.29</c:v>
                </c:pt>
                <c:pt idx="8">
                  <c:v>40.74</c:v>
                </c:pt>
                <c:pt idx="9">
                  <c:v>45.18</c:v>
                </c:pt>
                <c:pt idx="10">
                  <c:v>50.7</c:v>
                </c:pt>
                <c:pt idx="11">
                  <c:v>57.14</c:v>
                </c:pt>
                <c:pt idx="12">
                  <c:v>62.38</c:v>
                </c:pt>
                <c:pt idx="13">
                  <c:v>68.6</c:v>
                </c:pt>
                <c:pt idx="14">
                  <c:v>73.64</c:v>
                </c:pt>
                <c:pt idx="15">
                  <c:v>79.91</c:v>
                </c:pt>
                <c:pt idx="16">
                  <c:v>85.27</c:v>
                </c:pt>
                <c:pt idx="17">
                  <c:v>91.9</c:v>
                </c:pt>
                <c:pt idx="18">
                  <c:v>97.13</c:v>
                </c:pt>
                <c:pt idx="19">
                  <c:v>102.99</c:v>
                </c:pt>
                <c:pt idx="20">
                  <c:v>108.67</c:v>
                </c:pt>
                <c:pt idx="21">
                  <c:v>113.62</c:v>
                </c:pt>
                <c:pt idx="22">
                  <c:v>119.29</c:v>
                </c:pt>
                <c:pt idx="23">
                  <c:v>122.87</c:v>
                </c:pt>
              </c:numCache>
            </c:numRef>
          </c:xVal>
          <c:yVal>
            <c:numRef>
              <c:f>'TQ-FlexAbsorb-50psi'!$B$4:$B$34</c:f>
              <c:numCache>
                <c:formatCode>General</c:formatCode>
                <c:ptCount val="31"/>
                <c:pt idx="0">
                  <c:v>0.0926</c:v>
                </c:pt>
                <c:pt idx="1">
                  <c:v>0.0884</c:v>
                </c:pt>
                <c:pt idx="2">
                  <c:v>0.1056</c:v>
                </c:pt>
                <c:pt idx="3">
                  <c:v>0.1515</c:v>
                </c:pt>
                <c:pt idx="4">
                  <c:v>0.1652</c:v>
                </c:pt>
                <c:pt idx="5">
                  <c:v>0.1967</c:v>
                </c:pt>
                <c:pt idx="6">
                  <c:v>0.2169</c:v>
                </c:pt>
                <c:pt idx="7">
                  <c:v>0.25</c:v>
                </c:pt>
                <c:pt idx="8">
                  <c:v>0.2882</c:v>
                </c:pt>
                <c:pt idx="9">
                  <c:v>0.3011</c:v>
                </c:pt>
                <c:pt idx="10">
                  <c:v>0.3206</c:v>
                </c:pt>
                <c:pt idx="11">
                  <c:v>0.3544</c:v>
                </c:pt>
                <c:pt idx="12">
                  <c:v>0.347</c:v>
                </c:pt>
                <c:pt idx="13">
                  <c:v>0.373</c:v>
                </c:pt>
                <c:pt idx="14">
                  <c:v>0.3925</c:v>
                </c:pt>
                <c:pt idx="15">
                  <c:v>0.4095</c:v>
                </c:pt>
                <c:pt idx="16">
                  <c:v>0.4498</c:v>
                </c:pt>
                <c:pt idx="17">
                  <c:v>0.4497</c:v>
                </c:pt>
                <c:pt idx="18">
                  <c:v>0.4585</c:v>
                </c:pt>
                <c:pt idx="19">
                  <c:v>0.4699</c:v>
                </c:pt>
                <c:pt idx="20">
                  <c:v>0.4612</c:v>
                </c:pt>
                <c:pt idx="21">
                  <c:v>0.5059</c:v>
                </c:pt>
                <c:pt idx="22">
                  <c:v>0.5137</c:v>
                </c:pt>
                <c:pt idx="23">
                  <c:v>0.5058</c:v>
                </c:pt>
              </c:numCache>
            </c:numRef>
          </c:yVal>
          <c:smooth val="0"/>
        </c:ser>
        <c:ser>
          <c:idx val="1"/>
          <c:order val="2"/>
          <c:tx>
            <c:v>40% RH</c:v>
          </c:tx>
          <c:spPr>
            <a:ln w="28575">
              <a:noFill/>
            </a:ln>
          </c:spPr>
          <c:marker>
            <c:symbol val="circle"/>
            <c:size val="5"/>
            <c:spPr>
              <a:solidFill>
                <a:srgbClr val="C00000">
                  <a:alpha val="50000"/>
                </a:srgbClr>
              </a:solidFill>
              <a:ln w="12700">
                <a:solidFill>
                  <a:sysClr val="windowText" lastClr="000000"/>
                </a:solidFill>
              </a:ln>
            </c:spPr>
          </c:marker>
          <c:errBars>
            <c:errDir val="y"/>
            <c:errBarType val="both"/>
            <c:errValType val="cust"/>
            <c:noEndCap val="0"/>
            <c:plus>
              <c:numRef>
                <c:f>'TQ-FlexAbsorb-50psi'!$I$4:$I$29</c:f>
                <c:numCache>
                  <c:formatCode>General</c:formatCode>
                  <c:ptCount val="26"/>
                  <c:pt idx="0">
                    <c:v>0.013</c:v>
                  </c:pt>
                  <c:pt idx="1">
                    <c:v>0.019</c:v>
                  </c:pt>
                  <c:pt idx="2">
                    <c:v>0.023</c:v>
                  </c:pt>
                  <c:pt idx="3">
                    <c:v>0.025</c:v>
                  </c:pt>
                  <c:pt idx="4">
                    <c:v>0.031</c:v>
                  </c:pt>
                  <c:pt idx="5">
                    <c:v>0.032</c:v>
                  </c:pt>
                  <c:pt idx="6">
                    <c:v>0.051</c:v>
                  </c:pt>
                  <c:pt idx="7">
                    <c:v>0.028</c:v>
                  </c:pt>
                  <c:pt idx="8">
                    <c:v>0.022</c:v>
                  </c:pt>
                  <c:pt idx="9">
                    <c:v>0.032</c:v>
                  </c:pt>
                  <c:pt idx="10">
                    <c:v>0.018</c:v>
                  </c:pt>
                  <c:pt idx="11">
                    <c:v>0.036</c:v>
                  </c:pt>
                  <c:pt idx="12">
                    <c:v>0.028</c:v>
                  </c:pt>
                  <c:pt idx="13">
                    <c:v>0.027</c:v>
                  </c:pt>
                  <c:pt idx="14">
                    <c:v>0.03</c:v>
                  </c:pt>
                  <c:pt idx="15">
                    <c:v>0.024</c:v>
                  </c:pt>
                  <c:pt idx="16">
                    <c:v>0.027</c:v>
                  </c:pt>
                  <c:pt idx="17">
                    <c:v>0.042</c:v>
                  </c:pt>
                  <c:pt idx="18">
                    <c:v>0.031</c:v>
                  </c:pt>
                  <c:pt idx="19">
                    <c:v>0.038</c:v>
                  </c:pt>
                  <c:pt idx="20">
                    <c:v>0.024</c:v>
                  </c:pt>
                  <c:pt idx="21">
                    <c:v>0.036</c:v>
                  </c:pt>
                  <c:pt idx="22">
                    <c:v>0.04</c:v>
                  </c:pt>
                  <c:pt idx="23">
                    <c:v>0.021</c:v>
                  </c:pt>
                </c:numCache>
              </c:numRef>
            </c:plus>
            <c:minus>
              <c:numRef>
                <c:f>'TQ-FlexAbsorb-50psi'!$I$4:$I$29</c:f>
                <c:numCache>
                  <c:formatCode>General</c:formatCode>
                  <c:ptCount val="26"/>
                  <c:pt idx="0">
                    <c:v>0.013</c:v>
                  </c:pt>
                  <c:pt idx="1">
                    <c:v>0.019</c:v>
                  </c:pt>
                  <c:pt idx="2">
                    <c:v>0.023</c:v>
                  </c:pt>
                  <c:pt idx="3">
                    <c:v>0.025</c:v>
                  </c:pt>
                  <c:pt idx="4">
                    <c:v>0.031</c:v>
                  </c:pt>
                  <c:pt idx="5">
                    <c:v>0.032</c:v>
                  </c:pt>
                  <c:pt idx="6">
                    <c:v>0.051</c:v>
                  </c:pt>
                  <c:pt idx="7">
                    <c:v>0.028</c:v>
                  </c:pt>
                  <c:pt idx="8">
                    <c:v>0.022</c:v>
                  </c:pt>
                  <c:pt idx="9">
                    <c:v>0.032</c:v>
                  </c:pt>
                  <c:pt idx="10">
                    <c:v>0.018</c:v>
                  </c:pt>
                  <c:pt idx="11">
                    <c:v>0.036</c:v>
                  </c:pt>
                  <c:pt idx="12">
                    <c:v>0.028</c:v>
                  </c:pt>
                  <c:pt idx="13">
                    <c:v>0.027</c:v>
                  </c:pt>
                  <c:pt idx="14">
                    <c:v>0.03</c:v>
                  </c:pt>
                  <c:pt idx="15">
                    <c:v>0.024</c:v>
                  </c:pt>
                  <c:pt idx="16">
                    <c:v>0.027</c:v>
                  </c:pt>
                  <c:pt idx="17">
                    <c:v>0.042</c:v>
                  </c:pt>
                  <c:pt idx="18">
                    <c:v>0.031</c:v>
                  </c:pt>
                  <c:pt idx="19">
                    <c:v>0.038</c:v>
                  </c:pt>
                  <c:pt idx="20">
                    <c:v>0.024</c:v>
                  </c:pt>
                  <c:pt idx="21">
                    <c:v>0.036</c:v>
                  </c:pt>
                  <c:pt idx="22">
                    <c:v>0.04</c:v>
                  </c:pt>
                  <c:pt idx="23">
                    <c:v>0.021</c:v>
                  </c:pt>
                </c:numCache>
              </c:numRef>
            </c:minus>
            <c:spPr>
              <a:ln w="12700">
                <a:solidFill>
                  <a:srgbClr val="C00000"/>
                </a:solidFill>
              </a:ln>
            </c:spPr>
          </c:errBars>
          <c:xVal>
            <c:numRef>
              <c:f>'TQ-FlexAbsorb-50psi'!$G$4:$G$34</c:f>
              <c:numCache>
                <c:formatCode>General</c:formatCode>
                <c:ptCount val="31"/>
                <c:pt idx="0">
                  <c:v>1.42</c:v>
                </c:pt>
                <c:pt idx="1">
                  <c:v>2.34</c:v>
                </c:pt>
                <c:pt idx="2">
                  <c:v>5.24</c:v>
                </c:pt>
                <c:pt idx="3">
                  <c:v>9.93</c:v>
                </c:pt>
                <c:pt idx="4">
                  <c:v>13.88</c:v>
                </c:pt>
                <c:pt idx="5">
                  <c:v>20.19</c:v>
                </c:pt>
                <c:pt idx="6">
                  <c:v>28.62</c:v>
                </c:pt>
                <c:pt idx="7">
                  <c:v>34.30000000000001</c:v>
                </c:pt>
                <c:pt idx="8">
                  <c:v>40.74</c:v>
                </c:pt>
                <c:pt idx="9">
                  <c:v>45.19</c:v>
                </c:pt>
                <c:pt idx="10">
                  <c:v>50.7</c:v>
                </c:pt>
                <c:pt idx="11">
                  <c:v>57.15</c:v>
                </c:pt>
                <c:pt idx="12">
                  <c:v>62.38</c:v>
                </c:pt>
                <c:pt idx="13">
                  <c:v>68.6</c:v>
                </c:pt>
                <c:pt idx="14">
                  <c:v>73.64</c:v>
                </c:pt>
                <c:pt idx="15">
                  <c:v>79.91</c:v>
                </c:pt>
                <c:pt idx="16">
                  <c:v>85.27</c:v>
                </c:pt>
                <c:pt idx="17">
                  <c:v>91.9</c:v>
                </c:pt>
                <c:pt idx="18">
                  <c:v>97.13</c:v>
                </c:pt>
                <c:pt idx="19">
                  <c:v>102.99</c:v>
                </c:pt>
                <c:pt idx="20">
                  <c:v>108.67</c:v>
                </c:pt>
                <c:pt idx="21">
                  <c:v>113.62</c:v>
                </c:pt>
                <c:pt idx="22">
                  <c:v>119.29</c:v>
                </c:pt>
                <c:pt idx="23">
                  <c:v>122.87</c:v>
                </c:pt>
              </c:numCache>
            </c:numRef>
          </c:xVal>
          <c:yVal>
            <c:numRef>
              <c:f>'TQ-FlexAbsorb-50psi'!$H$4:$H$34</c:f>
              <c:numCache>
                <c:formatCode>General</c:formatCode>
                <c:ptCount val="31"/>
                <c:pt idx="0">
                  <c:v>0.0957</c:v>
                </c:pt>
                <c:pt idx="1">
                  <c:v>0.1106</c:v>
                </c:pt>
                <c:pt idx="2">
                  <c:v>0.1413</c:v>
                </c:pt>
                <c:pt idx="3">
                  <c:v>0.1827</c:v>
                </c:pt>
                <c:pt idx="4">
                  <c:v>0.222</c:v>
                </c:pt>
                <c:pt idx="5">
                  <c:v>0.2605</c:v>
                </c:pt>
                <c:pt idx="6">
                  <c:v>0.2549</c:v>
                </c:pt>
                <c:pt idx="7">
                  <c:v>0.2798</c:v>
                </c:pt>
                <c:pt idx="8">
                  <c:v>0.3163</c:v>
                </c:pt>
                <c:pt idx="9">
                  <c:v>0.3283</c:v>
                </c:pt>
                <c:pt idx="10">
                  <c:v>0.3391</c:v>
                </c:pt>
                <c:pt idx="11">
                  <c:v>0.3584</c:v>
                </c:pt>
                <c:pt idx="12">
                  <c:v>0.3684</c:v>
                </c:pt>
                <c:pt idx="13">
                  <c:v>0.3962</c:v>
                </c:pt>
                <c:pt idx="14">
                  <c:v>0.4119</c:v>
                </c:pt>
                <c:pt idx="15">
                  <c:v>0.4255</c:v>
                </c:pt>
                <c:pt idx="16">
                  <c:v>0.4604</c:v>
                </c:pt>
                <c:pt idx="17">
                  <c:v>0.4826</c:v>
                </c:pt>
                <c:pt idx="18">
                  <c:v>0.5026</c:v>
                </c:pt>
                <c:pt idx="19">
                  <c:v>0.5161</c:v>
                </c:pt>
                <c:pt idx="20">
                  <c:v>0.5083</c:v>
                </c:pt>
                <c:pt idx="21">
                  <c:v>0.5347</c:v>
                </c:pt>
                <c:pt idx="22">
                  <c:v>0.549</c:v>
                </c:pt>
                <c:pt idx="23">
                  <c:v>0.5391</c:v>
                </c:pt>
              </c:numCache>
            </c:numRef>
          </c:yVal>
          <c:smooth val="0"/>
        </c:ser>
        <c:ser>
          <c:idx val="2"/>
          <c:order val="3"/>
          <c:tx>
            <c:v>70% RH</c:v>
          </c:tx>
          <c:spPr>
            <a:ln w="28575">
              <a:noFill/>
            </a:ln>
          </c:spPr>
          <c:marker>
            <c:symbol val="circle"/>
            <c:size val="5"/>
            <c:spPr>
              <a:solidFill>
                <a:srgbClr val="00B050">
                  <a:alpha val="50000"/>
                </a:srgbClr>
              </a:solidFill>
              <a:ln w="12700">
                <a:solidFill>
                  <a:sysClr val="windowText" lastClr="000000"/>
                </a:solidFill>
              </a:ln>
            </c:spPr>
          </c:marker>
          <c:errBars>
            <c:errDir val="y"/>
            <c:errBarType val="both"/>
            <c:errValType val="cust"/>
            <c:noEndCap val="0"/>
            <c:plus>
              <c:numRef>
                <c:f>'TQ-FlexAbsorb-50psi'!$O$4:$O$29</c:f>
                <c:numCache>
                  <c:formatCode>General</c:formatCode>
                  <c:ptCount val="26"/>
                  <c:pt idx="0">
                    <c:v>0.039</c:v>
                  </c:pt>
                  <c:pt idx="1">
                    <c:v>0.041</c:v>
                  </c:pt>
                  <c:pt idx="2">
                    <c:v>0.057</c:v>
                  </c:pt>
                  <c:pt idx="3">
                    <c:v>0.076</c:v>
                  </c:pt>
                  <c:pt idx="4">
                    <c:v>0.063</c:v>
                  </c:pt>
                  <c:pt idx="5">
                    <c:v>0.056</c:v>
                  </c:pt>
                  <c:pt idx="6">
                    <c:v>0.082</c:v>
                  </c:pt>
                  <c:pt idx="7">
                    <c:v>0.092</c:v>
                  </c:pt>
                  <c:pt idx="8">
                    <c:v>0.074</c:v>
                  </c:pt>
                  <c:pt idx="9">
                    <c:v>0.068</c:v>
                  </c:pt>
                  <c:pt idx="10">
                    <c:v>0.073</c:v>
                  </c:pt>
                  <c:pt idx="11">
                    <c:v>0.07</c:v>
                  </c:pt>
                  <c:pt idx="12">
                    <c:v>0.086</c:v>
                  </c:pt>
                  <c:pt idx="13">
                    <c:v>0.062</c:v>
                  </c:pt>
                  <c:pt idx="14">
                    <c:v>0.074</c:v>
                  </c:pt>
                  <c:pt idx="15">
                    <c:v>0.072</c:v>
                  </c:pt>
                  <c:pt idx="16">
                    <c:v>0.073</c:v>
                  </c:pt>
                  <c:pt idx="17">
                    <c:v>0.077</c:v>
                  </c:pt>
                  <c:pt idx="18">
                    <c:v>0.079</c:v>
                  </c:pt>
                  <c:pt idx="19">
                    <c:v>0.069</c:v>
                  </c:pt>
                  <c:pt idx="20">
                    <c:v>0.083</c:v>
                  </c:pt>
                  <c:pt idx="21">
                    <c:v>0.085</c:v>
                  </c:pt>
                  <c:pt idx="22">
                    <c:v>0.091</c:v>
                  </c:pt>
                  <c:pt idx="23">
                    <c:v>0.07</c:v>
                  </c:pt>
                </c:numCache>
              </c:numRef>
            </c:plus>
            <c:minus>
              <c:numRef>
                <c:f>'TQ-FlexAbsorb-50psi'!$O$4:$O$29</c:f>
                <c:numCache>
                  <c:formatCode>General</c:formatCode>
                  <c:ptCount val="26"/>
                  <c:pt idx="0">
                    <c:v>0.039</c:v>
                  </c:pt>
                  <c:pt idx="1">
                    <c:v>0.041</c:v>
                  </c:pt>
                  <c:pt idx="2">
                    <c:v>0.057</c:v>
                  </c:pt>
                  <c:pt idx="3">
                    <c:v>0.076</c:v>
                  </c:pt>
                  <c:pt idx="4">
                    <c:v>0.063</c:v>
                  </c:pt>
                  <c:pt idx="5">
                    <c:v>0.056</c:v>
                  </c:pt>
                  <c:pt idx="6">
                    <c:v>0.082</c:v>
                  </c:pt>
                  <c:pt idx="7">
                    <c:v>0.092</c:v>
                  </c:pt>
                  <c:pt idx="8">
                    <c:v>0.074</c:v>
                  </c:pt>
                  <c:pt idx="9">
                    <c:v>0.068</c:v>
                  </c:pt>
                  <c:pt idx="10">
                    <c:v>0.073</c:v>
                  </c:pt>
                  <c:pt idx="11">
                    <c:v>0.07</c:v>
                  </c:pt>
                  <c:pt idx="12">
                    <c:v>0.086</c:v>
                  </c:pt>
                  <c:pt idx="13">
                    <c:v>0.062</c:v>
                  </c:pt>
                  <c:pt idx="14">
                    <c:v>0.074</c:v>
                  </c:pt>
                  <c:pt idx="15">
                    <c:v>0.072</c:v>
                  </c:pt>
                  <c:pt idx="16">
                    <c:v>0.073</c:v>
                  </c:pt>
                  <c:pt idx="17">
                    <c:v>0.077</c:v>
                  </c:pt>
                  <c:pt idx="18">
                    <c:v>0.079</c:v>
                  </c:pt>
                  <c:pt idx="19">
                    <c:v>0.069</c:v>
                  </c:pt>
                  <c:pt idx="20">
                    <c:v>0.083</c:v>
                  </c:pt>
                  <c:pt idx="21">
                    <c:v>0.085</c:v>
                  </c:pt>
                  <c:pt idx="22">
                    <c:v>0.091</c:v>
                  </c:pt>
                  <c:pt idx="23">
                    <c:v>0.07</c:v>
                  </c:pt>
                </c:numCache>
              </c:numRef>
            </c:minus>
            <c:spPr>
              <a:ln w="12700">
                <a:solidFill>
                  <a:srgbClr val="00B050"/>
                </a:solidFill>
              </a:ln>
            </c:spPr>
          </c:errBars>
          <c:xVal>
            <c:numRef>
              <c:f>'TQ-FlexAbsorb-50psi'!$M$4:$M$34</c:f>
              <c:numCache>
                <c:formatCode>General</c:formatCode>
                <c:ptCount val="31"/>
                <c:pt idx="0">
                  <c:v>1.47</c:v>
                </c:pt>
                <c:pt idx="1">
                  <c:v>2.37</c:v>
                </c:pt>
                <c:pt idx="2">
                  <c:v>5.26</c:v>
                </c:pt>
                <c:pt idx="3">
                  <c:v>9.93</c:v>
                </c:pt>
                <c:pt idx="4">
                  <c:v>13.89</c:v>
                </c:pt>
                <c:pt idx="5">
                  <c:v>20.19</c:v>
                </c:pt>
                <c:pt idx="6">
                  <c:v>28.63</c:v>
                </c:pt>
                <c:pt idx="7">
                  <c:v>34.30000000000001</c:v>
                </c:pt>
                <c:pt idx="8">
                  <c:v>40.74</c:v>
                </c:pt>
                <c:pt idx="9">
                  <c:v>45.19</c:v>
                </c:pt>
                <c:pt idx="10">
                  <c:v>50.71</c:v>
                </c:pt>
                <c:pt idx="11">
                  <c:v>57.15</c:v>
                </c:pt>
                <c:pt idx="12">
                  <c:v>62.38</c:v>
                </c:pt>
                <c:pt idx="13">
                  <c:v>68.6</c:v>
                </c:pt>
                <c:pt idx="14">
                  <c:v>73.65</c:v>
                </c:pt>
                <c:pt idx="15">
                  <c:v>79.91</c:v>
                </c:pt>
                <c:pt idx="16">
                  <c:v>85.27</c:v>
                </c:pt>
                <c:pt idx="17">
                  <c:v>91.9</c:v>
                </c:pt>
                <c:pt idx="18">
                  <c:v>97.13</c:v>
                </c:pt>
                <c:pt idx="19">
                  <c:v>102.99</c:v>
                </c:pt>
                <c:pt idx="20">
                  <c:v>108.67</c:v>
                </c:pt>
                <c:pt idx="21">
                  <c:v>113.62</c:v>
                </c:pt>
                <c:pt idx="22">
                  <c:v>119.29</c:v>
                </c:pt>
                <c:pt idx="23">
                  <c:v>122.87</c:v>
                </c:pt>
              </c:numCache>
            </c:numRef>
          </c:xVal>
          <c:yVal>
            <c:numRef>
              <c:f>'TQ-FlexAbsorb-50psi'!$N$4:$N$34</c:f>
              <c:numCache>
                <c:formatCode>General</c:formatCode>
                <c:ptCount val="31"/>
                <c:pt idx="0">
                  <c:v>0.1449</c:v>
                </c:pt>
                <c:pt idx="1">
                  <c:v>0.1821</c:v>
                </c:pt>
                <c:pt idx="2">
                  <c:v>0.2513</c:v>
                </c:pt>
                <c:pt idx="3">
                  <c:v>0.3605</c:v>
                </c:pt>
                <c:pt idx="4">
                  <c:v>0.3996</c:v>
                </c:pt>
                <c:pt idx="5">
                  <c:v>0.4289</c:v>
                </c:pt>
                <c:pt idx="6">
                  <c:v>0.4625</c:v>
                </c:pt>
                <c:pt idx="7">
                  <c:v>0.5142</c:v>
                </c:pt>
                <c:pt idx="8">
                  <c:v>0.5469</c:v>
                </c:pt>
                <c:pt idx="9">
                  <c:v>0.5709</c:v>
                </c:pt>
                <c:pt idx="10">
                  <c:v>0.5921</c:v>
                </c:pt>
                <c:pt idx="11">
                  <c:v>0.6058</c:v>
                </c:pt>
                <c:pt idx="12">
                  <c:v>0.6059</c:v>
                </c:pt>
                <c:pt idx="13">
                  <c:v>0.6458</c:v>
                </c:pt>
                <c:pt idx="14">
                  <c:v>0.6685</c:v>
                </c:pt>
                <c:pt idx="15">
                  <c:v>0.685</c:v>
                </c:pt>
                <c:pt idx="16">
                  <c:v>0.7091</c:v>
                </c:pt>
                <c:pt idx="17">
                  <c:v>0.6997</c:v>
                </c:pt>
                <c:pt idx="18">
                  <c:v>0.6831</c:v>
                </c:pt>
                <c:pt idx="19">
                  <c:v>0.7229</c:v>
                </c:pt>
                <c:pt idx="20">
                  <c:v>0.6997</c:v>
                </c:pt>
                <c:pt idx="21">
                  <c:v>0.7275</c:v>
                </c:pt>
                <c:pt idx="22">
                  <c:v>0.7391</c:v>
                </c:pt>
                <c:pt idx="23">
                  <c:v>0.7259</c:v>
                </c:pt>
              </c:numCache>
            </c:numRef>
          </c:yVal>
          <c:smooth val="0"/>
        </c:ser>
        <c:ser>
          <c:idx val="3"/>
          <c:order val="4"/>
          <c:tx>
            <c:v>99% RH</c:v>
          </c:tx>
          <c:spPr>
            <a:ln w="28575">
              <a:noFill/>
            </a:ln>
          </c:spPr>
          <c:marker>
            <c:symbol val="circle"/>
            <c:size val="5"/>
            <c:spPr>
              <a:solidFill>
                <a:srgbClr val="7030A0">
                  <a:alpha val="50000"/>
                </a:srgbClr>
              </a:solidFill>
              <a:ln w="12700">
                <a:solidFill>
                  <a:sysClr val="windowText" lastClr="000000"/>
                </a:solidFill>
              </a:ln>
            </c:spPr>
          </c:marker>
          <c:errBars>
            <c:errDir val="y"/>
            <c:errBarType val="both"/>
            <c:errValType val="cust"/>
            <c:noEndCap val="0"/>
            <c:plus>
              <c:numRef>
                <c:f>'TQ-FlexAbsorb-50psi'!$U$4:$U$29</c:f>
                <c:numCache>
                  <c:formatCode>General</c:formatCode>
                  <c:ptCount val="26"/>
                  <c:pt idx="0">
                    <c:v>0.033</c:v>
                  </c:pt>
                  <c:pt idx="1">
                    <c:v>0.045</c:v>
                  </c:pt>
                  <c:pt idx="2">
                    <c:v>0.079</c:v>
                  </c:pt>
                  <c:pt idx="3">
                    <c:v>0.149</c:v>
                  </c:pt>
                  <c:pt idx="4">
                    <c:v>0.169</c:v>
                  </c:pt>
                  <c:pt idx="5">
                    <c:v>0.172</c:v>
                  </c:pt>
                  <c:pt idx="6">
                    <c:v>0.182</c:v>
                  </c:pt>
                  <c:pt idx="7">
                    <c:v>0.182</c:v>
                  </c:pt>
                  <c:pt idx="8">
                    <c:v>0.185</c:v>
                  </c:pt>
                  <c:pt idx="9">
                    <c:v>0.186</c:v>
                  </c:pt>
                  <c:pt idx="10">
                    <c:v>0.196</c:v>
                  </c:pt>
                  <c:pt idx="11">
                    <c:v>0.196</c:v>
                  </c:pt>
                  <c:pt idx="12">
                    <c:v>0.186</c:v>
                  </c:pt>
                  <c:pt idx="13">
                    <c:v>0.182</c:v>
                  </c:pt>
                  <c:pt idx="14">
                    <c:v>0.171</c:v>
                  </c:pt>
                  <c:pt idx="15">
                    <c:v>0.186</c:v>
                  </c:pt>
                  <c:pt idx="16">
                    <c:v>0.206</c:v>
                  </c:pt>
                  <c:pt idx="17">
                    <c:v>0.181</c:v>
                  </c:pt>
                  <c:pt idx="18">
                    <c:v>0.193</c:v>
                  </c:pt>
                  <c:pt idx="19">
                    <c:v>0.179</c:v>
                  </c:pt>
                  <c:pt idx="20">
                    <c:v>0.194</c:v>
                  </c:pt>
                  <c:pt idx="21">
                    <c:v>0.181</c:v>
                  </c:pt>
                  <c:pt idx="22">
                    <c:v>0.174</c:v>
                  </c:pt>
                  <c:pt idx="23">
                    <c:v>0.185</c:v>
                  </c:pt>
                </c:numCache>
              </c:numRef>
            </c:plus>
            <c:minus>
              <c:numRef>
                <c:f>'TQ-FlexAbsorb-50psi'!$U$4:$U$29</c:f>
                <c:numCache>
                  <c:formatCode>General</c:formatCode>
                  <c:ptCount val="26"/>
                  <c:pt idx="0">
                    <c:v>0.033</c:v>
                  </c:pt>
                  <c:pt idx="1">
                    <c:v>0.045</c:v>
                  </c:pt>
                  <c:pt idx="2">
                    <c:v>0.079</c:v>
                  </c:pt>
                  <c:pt idx="3">
                    <c:v>0.149</c:v>
                  </c:pt>
                  <c:pt idx="4">
                    <c:v>0.169</c:v>
                  </c:pt>
                  <c:pt idx="5">
                    <c:v>0.172</c:v>
                  </c:pt>
                  <c:pt idx="6">
                    <c:v>0.182</c:v>
                  </c:pt>
                  <c:pt idx="7">
                    <c:v>0.182</c:v>
                  </c:pt>
                  <c:pt idx="8">
                    <c:v>0.185</c:v>
                  </c:pt>
                  <c:pt idx="9">
                    <c:v>0.186</c:v>
                  </c:pt>
                  <c:pt idx="10">
                    <c:v>0.196</c:v>
                  </c:pt>
                  <c:pt idx="11">
                    <c:v>0.196</c:v>
                  </c:pt>
                  <c:pt idx="12">
                    <c:v>0.186</c:v>
                  </c:pt>
                  <c:pt idx="13">
                    <c:v>0.182</c:v>
                  </c:pt>
                  <c:pt idx="14">
                    <c:v>0.171</c:v>
                  </c:pt>
                  <c:pt idx="15">
                    <c:v>0.186</c:v>
                  </c:pt>
                  <c:pt idx="16">
                    <c:v>0.206</c:v>
                  </c:pt>
                  <c:pt idx="17">
                    <c:v>0.181</c:v>
                  </c:pt>
                  <c:pt idx="18">
                    <c:v>0.193</c:v>
                  </c:pt>
                  <c:pt idx="19">
                    <c:v>0.179</c:v>
                  </c:pt>
                  <c:pt idx="20">
                    <c:v>0.194</c:v>
                  </c:pt>
                  <c:pt idx="21">
                    <c:v>0.181</c:v>
                  </c:pt>
                  <c:pt idx="22">
                    <c:v>0.174</c:v>
                  </c:pt>
                  <c:pt idx="23">
                    <c:v>0.185</c:v>
                  </c:pt>
                </c:numCache>
              </c:numRef>
            </c:minus>
            <c:spPr>
              <a:ln w="12700">
                <a:solidFill>
                  <a:srgbClr val="7030A0"/>
                </a:solidFill>
              </a:ln>
            </c:spPr>
          </c:errBars>
          <c:xVal>
            <c:numRef>
              <c:f>'TQ-FlexAbsorb-50psi'!$S$4:$S$34</c:f>
              <c:numCache>
                <c:formatCode>General</c:formatCode>
                <c:ptCount val="31"/>
                <c:pt idx="0">
                  <c:v>1.51</c:v>
                </c:pt>
                <c:pt idx="1">
                  <c:v>2.4</c:v>
                </c:pt>
                <c:pt idx="2">
                  <c:v>5.27</c:v>
                </c:pt>
                <c:pt idx="3">
                  <c:v>9.94</c:v>
                </c:pt>
                <c:pt idx="4">
                  <c:v>13.89</c:v>
                </c:pt>
                <c:pt idx="5">
                  <c:v>20.2</c:v>
                </c:pt>
                <c:pt idx="6">
                  <c:v>28.63</c:v>
                </c:pt>
                <c:pt idx="7">
                  <c:v>34.30000000000001</c:v>
                </c:pt>
                <c:pt idx="8">
                  <c:v>40.75</c:v>
                </c:pt>
                <c:pt idx="9">
                  <c:v>45.19</c:v>
                </c:pt>
                <c:pt idx="10">
                  <c:v>50.71</c:v>
                </c:pt>
                <c:pt idx="11">
                  <c:v>57.15</c:v>
                </c:pt>
                <c:pt idx="12">
                  <c:v>62.39</c:v>
                </c:pt>
                <c:pt idx="13">
                  <c:v>68.61</c:v>
                </c:pt>
                <c:pt idx="14">
                  <c:v>73.65</c:v>
                </c:pt>
                <c:pt idx="15">
                  <c:v>79.91</c:v>
                </c:pt>
                <c:pt idx="16">
                  <c:v>85.28</c:v>
                </c:pt>
                <c:pt idx="17">
                  <c:v>91.91</c:v>
                </c:pt>
                <c:pt idx="18">
                  <c:v>97.13</c:v>
                </c:pt>
                <c:pt idx="19">
                  <c:v>102.99</c:v>
                </c:pt>
                <c:pt idx="20">
                  <c:v>108.68</c:v>
                </c:pt>
                <c:pt idx="21">
                  <c:v>113.63</c:v>
                </c:pt>
                <c:pt idx="22">
                  <c:v>119.29</c:v>
                </c:pt>
                <c:pt idx="23">
                  <c:v>122.87</c:v>
                </c:pt>
              </c:numCache>
            </c:numRef>
          </c:xVal>
          <c:yVal>
            <c:numRef>
              <c:f>'TQ-FlexAbsorb-50psi'!$T$4:$T$34</c:f>
              <c:numCache>
                <c:formatCode>General</c:formatCode>
                <c:ptCount val="31"/>
                <c:pt idx="0">
                  <c:v>0.2337</c:v>
                </c:pt>
                <c:pt idx="1">
                  <c:v>0.2936</c:v>
                </c:pt>
                <c:pt idx="2">
                  <c:v>0.4869</c:v>
                </c:pt>
                <c:pt idx="3">
                  <c:v>0.6703</c:v>
                </c:pt>
                <c:pt idx="4">
                  <c:v>0.735</c:v>
                </c:pt>
                <c:pt idx="5">
                  <c:v>0.7986</c:v>
                </c:pt>
                <c:pt idx="6">
                  <c:v>0.813</c:v>
                </c:pt>
                <c:pt idx="7">
                  <c:v>0.8108</c:v>
                </c:pt>
                <c:pt idx="8">
                  <c:v>0.8394</c:v>
                </c:pt>
                <c:pt idx="9">
                  <c:v>0.8496</c:v>
                </c:pt>
                <c:pt idx="10">
                  <c:v>0.8796</c:v>
                </c:pt>
                <c:pt idx="11">
                  <c:v>0.899</c:v>
                </c:pt>
                <c:pt idx="12">
                  <c:v>0.9044</c:v>
                </c:pt>
                <c:pt idx="13">
                  <c:v>0.9568</c:v>
                </c:pt>
                <c:pt idx="14">
                  <c:v>0.9613</c:v>
                </c:pt>
                <c:pt idx="15">
                  <c:v>0.9874</c:v>
                </c:pt>
                <c:pt idx="16">
                  <c:v>1.0093</c:v>
                </c:pt>
                <c:pt idx="17">
                  <c:v>1.0025</c:v>
                </c:pt>
                <c:pt idx="18">
                  <c:v>0.9942</c:v>
                </c:pt>
                <c:pt idx="19">
                  <c:v>1.019</c:v>
                </c:pt>
                <c:pt idx="20">
                  <c:v>0.9973</c:v>
                </c:pt>
                <c:pt idx="21">
                  <c:v>1.0519</c:v>
                </c:pt>
                <c:pt idx="22">
                  <c:v>1.0864</c:v>
                </c:pt>
                <c:pt idx="23">
                  <c:v>1.0752</c:v>
                </c:pt>
              </c:numCache>
            </c:numRef>
          </c:yVal>
          <c:smooth val="0"/>
        </c:ser>
        <c:dLbls>
          <c:showLegendKey val="0"/>
          <c:showVal val="0"/>
          <c:showCatName val="0"/>
          <c:showSerName val="0"/>
          <c:showPercent val="0"/>
          <c:showBubbleSize val="0"/>
        </c:dLbls>
        <c:axId val="513407224"/>
        <c:axId val="513413144"/>
      </c:scatterChart>
      <c:valAx>
        <c:axId val="513407224"/>
        <c:scaling>
          <c:orientation val="minMax"/>
          <c:max val="19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513413144"/>
        <c:crosses val="autoZero"/>
        <c:crossBetween val="midCat"/>
        <c:minorUnit val="12.5"/>
      </c:valAx>
      <c:valAx>
        <c:axId val="513413144"/>
        <c:scaling>
          <c:orientation val="minMax"/>
          <c:max val="2.5"/>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513407224"/>
        <c:crosses val="autoZero"/>
        <c:crossBetween val="midCat"/>
        <c:majorUnit val="1.0"/>
        <c:minorUnit val="0.25"/>
      </c:valAx>
      <c:spPr>
        <a:ln w="19050">
          <a:solidFill>
            <a:sysClr val="windowText" lastClr="000000"/>
          </a:solidFill>
        </a:ln>
      </c:spPr>
    </c:plotArea>
    <c:legend>
      <c:legendPos val="r"/>
      <c:legendEntry>
        <c:idx val="0"/>
        <c:delete val="1"/>
      </c:legendEntry>
      <c:layout>
        <c:manualLayout>
          <c:xMode val="edge"/>
          <c:yMode val="edge"/>
          <c:x val="0.435999154766671"/>
          <c:y val="0.0448877223680373"/>
          <c:w val="0.470635556148702"/>
          <c:h val="0.0964683581219014"/>
        </c:manualLayout>
      </c:layout>
      <c:overlay val="1"/>
      <c:spPr>
        <a:solidFill>
          <a:schemeClr val="bg1"/>
        </a:solidFill>
      </c:spPr>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4309458480601"/>
          <c:y val="0.0333333333333333"/>
          <c:w val="0.75997228425077"/>
          <c:h val="0.797744604841061"/>
        </c:manualLayout>
      </c:layout>
      <c:scatterChart>
        <c:scatterStyle val="lineMarker"/>
        <c:varyColors val="0"/>
        <c:ser>
          <c:idx val="8"/>
          <c:order val="0"/>
          <c:spPr>
            <a:ln w="12700">
              <a:solidFill>
                <a:schemeClr val="bg1">
                  <a:lumMod val="50000"/>
                </a:schemeClr>
              </a:solidFill>
              <a:prstDash val="lgDash"/>
            </a:ln>
          </c:spPr>
          <c:marker>
            <c:symbol val="none"/>
          </c:marker>
          <c:xVal>
            <c:numRef>
              <c:f>('BMI-Absorption-10psi'!$C$51,'BMI-Absorption-10psi'!$C$51)</c:f>
              <c:numCache>
                <c:formatCode>General</c:formatCode>
                <c:ptCount val="2"/>
                <c:pt idx="0">
                  <c:v>93.594</c:v>
                </c:pt>
                <c:pt idx="1">
                  <c:v>93.594</c:v>
                </c:pt>
              </c:numCache>
            </c:numRef>
          </c:xVal>
          <c:yVal>
            <c:numLit>
              <c:formatCode>General</c:formatCode>
              <c:ptCount val="2"/>
              <c:pt idx="0">
                <c:v>0.0</c:v>
              </c:pt>
              <c:pt idx="1">
                <c:v>11.0</c:v>
              </c:pt>
            </c:numLit>
          </c:yVal>
          <c:smooth val="0"/>
        </c:ser>
        <c:ser>
          <c:idx val="0"/>
          <c:order val="1"/>
          <c:tx>
            <c:v>2% RH</c:v>
          </c:tx>
          <c:spPr>
            <a:ln w="28575">
              <a:noFill/>
            </a:ln>
          </c:spPr>
          <c:marker>
            <c:symbol val="circle"/>
            <c:size val="5"/>
            <c:spPr>
              <a:solidFill>
                <a:srgbClr val="0070C0">
                  <a:alpha val="50000"/>
                </a:srgbClr>
              </a:solidFill>
              <a:ln w="12700">
                <a:solidFill>
                  <a:schemeClr val="tx1"/>
                </a:solidFill>
              </a:ln>
            </c:spPr>
          </c:marker>
          <c:errBars>
            <c:errDir val="y"/>
            <c:errBarType val="both"/>
            <c:errValType val="cust"/>
            <c:noEndCap val="0"/>
            <c:plus>
              <c:numRef>
                <c:f>'TQ-FlexAbsorb-70psi'!$C$4:$C$29</c:f>
                <c:numCache>
                  <c:formatCode>General</c:formatCode>
                  <c:ptCount val="26"/>
                  <c:pt idx="0">
                    <c:v>0.015</c:v>
                  </c:pt>
                  <c:pt idx="1">
                    <c:v>0.017</c:v>
                  </c:pt>
                  <c:pt idx="2">
                    <c:v>0.017</c:v>
                  </c:pt>
                  <c:pt idx="3">
                    <c:v>0.018</c:v>
                  </c:pt>
                  <c:pt idx="4">
                    <c:v>0.021</c:v>
                  </c:pt>
                  <c:pt idx="5">
                    <c:v>0.025</c:v>
                  </c:pt>
                  <c:pt idx="6">
                    <c:v>0.022</c:v>
                  </c:pt>
                  <c:pt idx="7">
                    <c:v>0.019</c:v>
                  </c:pt>
                  <c:pt idx="8">
                    <c:v>0.017</c:v>
                  </c:pt>
                  <c:pt idx="9">
                    <c:v>0.013</c:v>
                  </c:pt>
                  <c:pt idx="10">
                    <c:v>0.024</c:v>
                  </c:pt>
                  <c:pt idx="11">
                    <c:v>0.022</c:v>
                  </c:pt>
                  <c:pt idx="12">
                    <c:v>0.031</c:v>
                  </c:pt>
                  <c:pt idx="13">
                    <c:v>0.045</c:v>
                  </c:pt>
                  <c:pt idx="14">
                    <c:v>0.023</c:v>
                  </c:pt>
                  <c:pt idx="15">
                    <c:v>0.109</c:v>
                  </c:pt>
                  <c:pt idx="16">
                    <c:v>0.039</c:v>
                  </c:pt>
                  <c:pt idx="17">
                    <c:v>0.034</c:v>
                  </c:pt>
                  <c:pt idx="18">
                    <c:v>0.012</c:v>
                  </c:pt>
                  <c:pt idx="19">
                    <c:v>0.03</c:v>
                  </c:pt>
                  <c:pt idx="20">
                    <c:v>0.029</c:v>
                  </c:pt>
                  <c:pt idx="21">
                    <c:v>0.027</c:v>
                  </c:pt>
                  <c:pt idx="22">
                    <c:v>0.013</c:v>
                  </c:pt>
                  <c:pt idx="23">
                    <c:v>0.016</c:v>
                  </c:pt>
                </c:numCache>
              </c:numRef>
            </c:plus>
            <c:minus>
              <c:numRef>
                <c:f>'TQ-FlexAbsorb-70psi'!$C$4:$C$29</c:f>
                <c:numCache>
                  <c:formatCode>General</c:formatCode>
                  <c:ptCount val="26"/>
                  <c:pt idx="0">
                    <c:v>0.015</c:v>
                  </c:pt>
                  <c:pt idx="1">
                    <c:v>0.017</c:v>
                  </c:pt>
                  <c:pt idx="2">
                    <c:v>0.017</c:v>
                  </c:pt>
                  <c:pt idx="3">
                    <c:v>0.018</c:v>
                  </c:pt>
                  <c:pt idx="4">
                    <c:v>0.021</c:v>
                  </c:pt>
                  <c:pt idx="5">
                    <c:v>0.025</c:v>
                  </c:pt>
                  <c:pt idx="6">
                    <c:v>0.022</c:v>
                  </c:pt>
                  <c:pt idx="7">
                    <c:v>0.019</c:v>
                  </c:pt>
                  <c:pt idx="8">
                    <c:v>0.017</c:v>
                  </c:pt>
                  <c:pt idx="9">
                    <c:v>0.013</c:v>
                  </c:pt>
                  <c:pt idx="10">
                    <c:v>0.024</c:v>
                  </c:pt>
                  <c:pt idx="11">
                    <c:v>0.022</c:v>
                  </c:pt>
                  <c:pt idx="12">
                    <c:v>0.031</c:v>
                  </c:pt>
                  <c:pt idx="13">
                    <c:v>0.045</c:v>
                  </c:pt>
                  <c:pt idx="14">
                    <c:v>0.023</c:v>
                  </c:pt>
                  <c:pt idx="15">
                    <c:v>0.109</c:v>
                  </c:pt>
                  <c:pt idx="16">
                    <c:v>0.039</c:v>
                  </c:pt>
                  <c:pt idx="17">
                    <c:v>0.034</c:v>
                  </c:pt>
                  <c:pt idx="18">
                    <c:v>0.012</c:v>
                  </c:pt>
                  <c:pt idx="19">
                    <c:v>0.03</c:v>
                  </c:pt>
                  <c:pt idx="20">
                    <c:v>0.029</c:v>
                  </c:pt>
                  <c:pt idx="21">
                    <c:v>0.027</c:v>
                  </c:pt>
                  <c:pt idx="22">
                    <c:v>0.013</c:v>
                  </c:pt>
                  <c:pt idx="23">
                    <c:v>0.016</c:v>
                  </c:pt>
                </c:numCache>
              </c:numRef>
            </c:minus>
            <c:spPr>
              <a:ln w="12700">
                <a:solidFill>
                  <a:srgbClr val="0070C0"/>
                </a:solidFill>
              </a:ln>
            </c:spPr>
          </c:errBars>
          <c:xVal>
            <c:numRef>
              <c:f>'TQ-FlexAbsorb-70psi'!$A$4:$A$34</c:f>
              <c:numCache>
                <c:formatCode>General</c:formatCode>
                <c:ptCount val="31"/>
                <c:pt idx="0">
                  <c:v>1.41</c:v>
                </c:pt>
                <c:pt idx="1">
                  <c:v>2.33</c:v>
                </c:pt>
                <c:pt idx="2">
                  <c:v>5.24</c:v>
                </c:pt>
                <c:pt idx="3">
                  <c:v>9.92</c:v>
                </c:pt>
                <c:pt idx="4">
                  <c:v>13.88</c:v>
                </c:pt>
                <c:pt idx="5">
                  <c:v>20.19</c:v>
                </c:pt>
                <c:pt idx="6">
                  <c:v>28.64</c:v>
                </c:pt>
                <c:pt idx="7">
                  <c:v>34.31</c:v>
                </c:pt>
                <c:pt idx="8">
                  <c:v>40.74</c:v>
                </c:pt>
                <c:pt idx="9">
                  <c:v>45.19</c:v>
                </c:pt>
                <c:pt idx="10">
                  <c:v>50.7</c:v>
                </c:pt>
                <c:pt idx="11">
                  <c:v>57.15</c:v>
                </c:pt>
                <c:pt idx="12">
                  <c:v>62.38</c:v>
                </c:pt>
                <c:pt idx="13">
                  <c:v>68.6</c:v>
                </c:pt>
                <c:pt idx="14">
                  <c:v>73.64</c:v>
                </c:pt>
                <c:pt idx="15">
                  <c:v>79.91</c:v>
                </c:pt>
                <c:pt idx="16">
                  <c:v>85.27</c:v>
                </c:pt>
                <c:pt idx="17">
                  <c:v>91.9</c:v>
                </c:pt>
                <c:pt idx="18">
                  <c:v>97.13</c:v>
                </c:pt>
                <c:pt idx="19">
                  <c:v>102.99</c:v>
                </c:pt>
                <c:pt idx="20">
                  <c:v>108.67</c:v>
                </c:pt>
                <c:pt idx="21">
                  <c:v>113.62</c:v>
                </c:pt>
                <c:pt idx="22">
                  <c:v>119.29</c:v>
                </c:pt>
                <c:pt idx="23">
                  <c:v>122.94</c:v>
                </c:pt>
              </c:numCache>
            </c:numRef>
          </c:xVal>
          <c:yVal>
            <c:numRef>
              <c:f>'TQ-FlexAbsorb-70psi'!$B$4:$B$34</c:f>
              <c:numCache>
                <c:formatCode>General</c:formatCode>
                <c:ptCount val="31"/>
                <c:pt idx="0">
                  <c:v>0.0804</c:v>
                </c:pt>
                <c:pt idx="1">
                  <c:v>0.0775</c:v>
                </c:pt>
                <c:pt idx="2">
                  <c:v>0.092</c:v>
                </c:pt>
                <c:pt idx="3">
                  <c:v>0.1267</c:v>
                </c:pt>
                <c:pt idx="4">
                  <c:v>0.1499</c:v>
                </c:pt>
                <c:pt idx="5">
                  <c:v>0.1846</c:v>
                </c:pt>
                <c:pt idx="6">
                  <c:v>0.1884</c:v>
                </c:pt>
                <c:pt idx="7">
                  <c:v>0.2145</c:v>
                </c:pt>
                <c:pt idx="8">
                  <c:v>0.2471</c:v>
                </c:pt>
                <c:pt idx="9">
                  <c:v>0.2347</c:v>
                </c:pt>
                <c:pt idx="10">
                  <c:v>0.2603</c:v>
                </c:pt>
                <c:pt idx="11">
                  <c:v>0.2839</c:v>
                </c:pt>
                <c:pt idx="12">
                  <c:v>0.2932</c:v>
                </c:pt>
                <c:pt idx="13">
                  <c:v>0.3222</c:v>
                </c:pt>
                <c:pt idx="14">
                  <c:v>0.3558</c:v>
                </c:pt>
                <c:pt idx="15">
                  <c:v>0.4073</c:v>
                </c:pt>
                <c:pt idx="16">
                  <c:v>0.4107</c:v>
                </c:pt>
                <c:pt idx="17">
                  <c:v>0.4137</c:v>
                </c:pt>
                <c:pt idx="18">
                  <c:v>0.4332</c:v>
                </c:pt>
                <c:pt idx="19">
                  <c:v>0.4471</c:v>
                </c:pt>
                <c:pt idx="20">
                  <c:v>0.439</c:v>
                </c:pt>
                <c:pt idx="21">
                  <c:v>0.4816</c:v>
                </c:pt>
                <c:pt idx="22">
                  <c:v>0.4941</c:v>
                </c:pt>
                <c:pt idx="23">
                  <c:v>0.4759</c:v>
                </c:pt>
              </c:numCache>
            </c:numRef>
          </c:yVal>
          <c:smooth val="0"/>
        </c:ser>
        <c:ser>
          <c:idx val="1"/>
          <c:order val="2"/>
          <c:tx>
            <c:v>40% RH</c:v>
          </c:tx>
          <c:spPr>
            <a:ln w="28575">
              <a:noFill/>
            </a:ln>
          </c:spPr>
          <c:marker>
            <c:symbol val="circle"/>
            <c:size val="5"/>
            <c:spPr>
              <a:solidFill>
                <a:srgbClr val="C00000">
                  <a:alpha val="50000"/>
                </a:srgbClr>
              </a:solidFill>
              <a:ln w="12700">
                <a:solidFill>
                  <a:sysClr val="windowText" lastClr="000000"/>
                </a:solidFill>
              </a:ln>
            </c:spPr>
          </c:marker>
          <c:errBars>
            <c:errDir val="y"/>
            <c:errBarType val="both"/>
            <c:errValType val="cust"/>
            <c:noEndCap val="0"/>
            <c:plus>
              <c:numRef>
                <c:f>'TQ-FlexAbsorb-70psi'!$I$4:$I$29</c:f>
                <c:numCache>
                  <c:formatCode>General</c:formatCode>
                  <c:ptCount val="26"/>
                  <c:pt idx="0">
                    <c:v>0.02</c:v>
                  </c:pt>
                  <c:pt idx="1">
                    <c:v>0.023</c:v>
                  </c:pt>
                  <c:pt idx="2">
                    <c:v>0.03</c:v>
                  </c:pt>
                  <c:pt idx="3">
                    <c:v>0.027</c:v>
                  </c:pt>
                  <c:pt idx="4">
                    <c:v>0.034</c:v>
                  </c:pt>
                  <c:pt idx="5">
                    <c:v>0.021</c:v>
                  </c:pt>
                  <c:pt idx="6">
                    <c:v>0.044</c:v>
                  </c:pt>
                  <c:pt idx="7">
                    <c:v>0.052</c:v>
                  </c:pt>
                  <c:pt idx="8">
                    <c:v>0.063</c:v>
                  </c:pt>
                  <c:pt idx="9">
                    <c:v>0.029</c:v>
                  </c:pt>
                  <c:pt idx="10">
                    <c:v>0.028</c:v>
                  </c:pt>
                  <c:pt idx="11">
                    <c:v>0.042</c:v>
                  </c:pt>
                  <c:pt idx="12">
                    <c:v>0.037</c:v>
                  </c:pt>
                  <c:pt idx="13">
                    <c:v>0.035</c:v>
                  </c:pt>
                  <c:pt idx="14">
                    <c:v>0.05</c:v>
                  </c:pt>
                  <c:pt idx="15">
                    <c:v>0.03</c:v>
                  </c:pt>
                  <c:pt idx="16">
                    <c:v>0.027</c:v>
                  </c:pt>
                  <c:pt idx="17">
                    <c:v>0.038</c:v>
                  </c:pt>
                  <c:pt idx="18">
                    <c:v>0.036</c:v>
                  </c:pt>
                  <c:pt idx="19">
                    <c:v>0.02</c:v>
                  </c:pt>
                  <c:pt idx="20">
                    <c:v>0.049</c:v>
                  </c:pt>
                  <c:pt idx="21">
                    <c:v>0.044</c:v>
                  </c:pt>
                  <c:pt idx="22">
                    <c:v>0.042</c:v>
                  </c:pt>
                  <c:pt idx="23">
                    <c:v>0.024</c:v>
                  </c:pt>
                </c:numCache>
              </c:numRef>
            </c:plus>
            <c:minus>
              <c:numRef>
                <c:f>'TQ-FlexAbsorb-70psi'!$I$4:$I$29</c:f>
                <c:numCache>
                  <c:formatCode>General</c:formatCode>
                  <c:ptCount val="26"/>
                  <c:pt idx="0">
                    <c:v>0.02</c:v>
                  </c:pt>
                  <c:pt idx="1">
                    <c:v>0.023</c:v>
                  </c:pt>
                  <c:pt idx="2">
                    <c:v>0.03</c:v>
                  </c:pt>
                  <c:pt idx="3">
                    <c:v>0.027</c:v>
                  </c:pt>
                  <c:pt idx="4">
                    <c:v>0.034</c:v>
                  </c:pt>
                  <c:pt idx="5">
                    <c:v>0.021</c:v>
                  </c:pt>
                  <c:pt idx="6">
                    <c:v>0.044</c:v>
                  </c:pt>
                  <c:pt idx="7">
                    <c:v>0.052</c:v>
                  </c:pt>
                  <c:pt idx="8">
                    <c:v>0.063</c:v>
                  </c:pt>
                  <c:pt idx="9">
                    <c:v>0.029</c:v>
                  </c:pt>
                  <c:pt idx="10">
                    <c:v>0.028</c:v>
                  </c:pt>
                  <c:pt idx="11">
                    <c:v>0.042</c:v>
                  </c:pt>
                  <c:pt idx="12">
                    <c:v>0.037</c:v>
                  </c:pt>
                  <c:pt idx="13">
                    <c:v>0.035</c:v>
                  </c:pt>
                  <c:pt idx="14">
                    <c:v>0.05</c:v>
                  </c:pt>
                  <c:pt idx="15">
                    <c:v>0.03</c:v>
                  </c:pt>
                  <c:pt idx="16">
                    <c:v>0.027</c:v>
                  </c:pt>
                  <c:pt idx="17">
                    <c:v>0.038</c:v>
                  </c:pt>
                  <c:pt idx="18">
                    <c:v>0.036</c:v>
                  </c:pt>
                  <c:pt idx="19">
                    <c:v>0.02</c:v>
                  </c:pt>
                  <c:pt idx="20">
                    <c:v>0.049</c:v>
                  </c:pt>
                  <c:pt idx="21">
                    <c:v>0.044</c:v>
                  </c:pt>
                  <c:pt idx="22">
                    <c:v>0.042</c:v>
                  </c:pt>
                  <c:pt idx="23">
                    <c:v>0.024</c:v>
                  </c:pt>
                </c:numCache>
              </c:numRef>
            </c:minus>
            <c:spPr>
              <a:ln w="12700">
                <a:solidFill>
                  <a:srgbClr val="C00000"/>
                </a:solidFill>
              </a:ln>
            </c:spPr>
          </c:errBars>
          <c:xVal>
            <c:numRef>
              <c:f>'TQ-FlexAbsorb-70psi'!$G$4:$G$34</c:f>
              <c:numCache>
                <c:formatCode>General</c:formatCode>
                <c:ptCount val="31"/>
                <c:pt idx="0">
                  <c:v>1.45</c:v>
                </c:pt>
                <c:pt idx="1">
                  <c:v>2.36</c:v>
                </c:pt>
                <c:pt idx="2">
                  <c:v>5.25</c:v>
                </c:pt>
                <c:pt idx="3">
                  <c:v>9.93</c:v>
                </c:pt>
                <c:pt idx="4">
                  <c:v>13.89</c:v>
                </c:pt>
                <c:pt idx="5">
                  <c:v>20.19</c:v>
                </c:pt>
                <c:pt idx="6">
                  <c:v>28.65</c:v>
                </c:pt>
                <c:pt idx="7">
                  <c:v>34.31</c:v>
                </c:pt>
                <c:pt idx="8">
                  <c:v>40.74</c:v>
                </c:pt>
                <c:pt idx="9">
                  <c:v>45.19</c:v>
                </c:pt>
                <c:pt idx="10">
                  <c:v>50.71</c:v>
                </c:pt>
                <c:pt idx="11">
                  <c:v>57.15</c:v>
                </c:pt>
                <c:pt idx="12">
                  <c:v>62.38</c:v>
                </c:pt>
                <c:pt idx="13">
                  <c:v>68.6</c:v>
                </c:pt>
                <c:pt idx="14">
                  <c:v>73.64</c:v>
                </c:pt>
                <c:pt idx="15">
                  <c:v>79.91</c:v>
                </c:pt>
                <c:pt idx="16">
                  <c:v>85.27</c:v>
                </c:pt>
                <c:pt idx="17">
                  <c:v>91.9</c:v>
                </c:pt>
                <c:pt idx="18">
                  <c:v>97.13</c:v>
                </c:pt>
                <c:pt idx="19">
                  <c:v>102.99</c:v>
                </c:pt>
                <c:pt idx="20">
                  <c:v>108.67</c:v>
                </c:pt>
                <c:pt idx="21">
                  <c:v>113.62</c:v>
                </c:pt>
                <c:pt idx="22">
                  <c:v>119.29</c:v>
                </c:pt>
                <c:pt idx="23">
                  <c:v>122.94</c:v>
                </c:pt>
              </c:numCache>
            </c:numRef>
          </c:xVal>
          <c:yVal>
            <c:numRef>
              <c:f>'TQ-FlexAbsorb-70psi'!$H$4:$H$34</c:f>
              <c:numCache>
                <c:formatCode>General</c:formatCode>
                <c:ptCount val="31"/>
                <c:pt idx="0">
                  <c:v>0.0982</c:v>
                </c:pt>
                <c:pt idx="1">
                  <c:v>0.1147</c:v>
                </c:pt>
                <c:pt idx="2">
                  <c:v>0.1575</c:v>
                </c:pt>
                <c:pt idx="3">
                  <c:v>0.2234</c:v>
                </c:pt>
                <c:pt idx="4">
                  <c:v>0.251</c:v>
                </c:pt>
                <c:pt idx="5">
                  <c:v>0.2668</c:v>
                </c:pt>
                <c:pt idx="6">
                  <c:v>0.2833</c:v>
                </c:pt>
                <c:pt idx="7">
                  <c:v>0.2946</c:v>
                </c:pt>
                <c:pt idx="8">
                  <c:v>0.3171</c:v>
                </c:pt>
                <c:pt idx="9">
                  <c:v>0.3439</c:v>
                </c:pt>
                <c:pt idx="10">
                  <c:v>0.3589</c:v>
                </c:pt>
                <c:pt idx="11">
                  <c:v>0.3926</c:v>
                </c:pt>
                <c:pt idx="12">
                  <c:v>0.4143</c:v>
                </c:pt>
                <c:pt idx="13">
                  <c:v>0.4241</c:v>
                </c:pt>
                <c:pt idx="14">
                  <c:v>0.4489</c:v>
                </c:pt>
                <c:pt idx="15">
                  <c:v>0.5041</c:v>
                </c:pt>
                <c:pt idx="16">
                  <c:v>0.5384</c:v>
                </c:pt>
                <c:pt idx="17">
                  <c:v>0.5153</c:v>
                </c:pt>
                <c:pt idx="18">
                  <c:v>0.5468</c:v>
                </c:pt>
                <c:pt idx="19">
                  <c:v>0.5332</c:v>
                </c:pt>
                <c:pt idx="20">
                  <c:v>0.5393</c:v>
                </c:pt>
                <c:pt idx="21">
                  <c:v>0.5641</c:v>
                </c:pt>
                <c:pt idx="22">
                  <c:v>0.5731</c:v>
                </c:pt>
                <c:pt idx="23">
                  <c:v>0.5729</c:v>
                </c:pt>
              </c:numCache>
            </c:numRef>
          </c:yVal>
          <c:smooth val="0"/>
        </c:ser>
        <c:ser>
          <c:idx val="2"/>
          <c:order val="3"/>
          <c:tx>
            <c:v>70% RH</c:v>
          </c:tx>
          <c:spPr>
            <a:ln w="28575">
              <a:noFill/>
            </a:ln>
          </c:spPr>
          <c:marker>
            <c:symbol val="circle"/>
            <c:size val="5"/>
            <c:spPr>
              <a:solidFill>
                <a:srgbClr val="00B050">
                  <a:alpha val="50000"/>
                </a:srgbClr>
              </a:solidFill>
              <a:ln w="12700">
                <a:solidFill>
                  <a:sysClr val="windowText" lastClr="000000"/>
                </a:solidFill>
              </a:ln>
            </c:spPr>
          </c:marker>
          <c:errBars>
            <c:errDir val="y"/>
            <c:errBarType val="both"/>
            <c:errValType val="cust"/>
            <c:noEndCap val="0"/>
            <c:plus>
              <c:numRef>
                <c:f>'TQ-FlexAbsorb-70psi'!$O$4:$O$29</c:f>
                <c:numCache>
                  <c:formatCode>General</c:formatCode>
                  <c:ptCount val="26"/>
                  <c:pt idx="0">
                    <c:v>0.033</c:v>
                  </c:pt>
                  <c:pt idx="1">
                    <c:v>0.043</c:v>
                  </c:pt>
                  <c:pt idx="2">
                    <c:v>0.062</c:v>
                  </c:pt>
                  <c:pt idx="3">
                    <c:v>0.082</c:v>
                  </c:pt>
                  <c:pt idx="4">
                    <c:v>0.076</c:v>
                  </c:pt>
                  <c:pt idx="5">
                    <c:v>0.089</c:v>
                  </c:pt>
                  <c:pt idx="6">
                    <c:v>0.092</c:v>
                  </c:pt>
                  <c:pt idx="7">
                    <c:v>0.105</c:v>
                  </c:pt>
                  <c:pt idx="8">
                    <c:v>0.104</c:v>
                  </c:pt>
                  <c:pt idx="9">
                    <c:v>0.085</c:v>
                  </c:pt>
                  <c:pt idx="10">
                    <c:v>0.093</c:v>
                  </c:pt>
                  <c:pt idx="11">
                    <c:v>0.085</c:v>
                  </c:pt>
                  <c:pt idx="12">
                    <c:v>0.104</c:v>
                  </c:pt>
                  <c:pt idx="13">
                    <c:v>0.088</c:v>
                  </c:pt>
                  <c:pt idx="14">
                    <c:v>0.105</c:v>
                  </c:pt>
                  <c:pt idx="15">
                    <c:v>0.081</c:v>
                  </c:pt>
                  <c:pt idx="16">
                    <c:v>0.112</c:v>
                  </c:pt>
                  <c:pt idx="17">
                    <c:v>0.088</c:v>
                  </c:pt>
                  <c:pt idx="18">
                    <c:v>0.095</c:v>
                  </c:pt>
                  <c:pt idx="19">
                    <c:v>0.079</c:v>
                  </c:pt>
                  <c:pt idx="20">
                    <c:v>0.093</c:v>
                  </c:pt>
                  <c:pt idx="21">
                    <c:v>0.082</c:v>
                  </c:pt>
                  <c:pt idx="22">
                    <c:v>0.087</c:v>
                  </c:pt>
                  <c:pt idx="23">
                    <c:v>0.092</c:v>
                  </c:pt>
                </c:numCache>
              </c:numRef>
            </c:plus>
            <c:minus>
              <c:numRef>
                <c:f>'TQ-FlexAbsorb-70psi'!$O$4:$O$29</c:f>
                <c:numCache>
                  <c:formatCode>General</c:formatCode>
                  <c:ptCount val="26"/>
                  <c:pt idx="0">
                    <c:v>0.033</c:v>
                  </c:pt>
                  <c:pt idx="1">
                    <c:v>0.043</c:v>
                  </c:pt>
                  <c:pt idx="2">
                    <c:v>0.062</c:v>
                  </c:pt>
                  <c:pt idx="3">
                    <c:v>0.082</c:v>
                  </c:pt>
                  <c:pt idx="4">
                    <c:v>0.076</c:v>
                  </c:pt>
                  <c:pt idx="5">
                    <c:v>0.089</c:v>
                  </c:pt>
                  <c:pt idx="6">
                    <c:v>0.092</c:v>
                  </c:pt>
                  <c:pt idx="7">
                    <c:v>0.105</c:v>
                  </c:pt>
                  <c:pt idx="8">
                    <c:v>0.104</c:v>
                  </c:pt>
                  <c:pt idx="9">
                    <c:v>0.085</c:v>
                  </c:pt>
                  <c:pt idx="10">
                    <c:v>0.093</c:v>
                  </c:pt>
                  <c:pt idx="11">
                    <c:v>0.085</c:v>
                  </c:pt>
                  <c:pt idx="12">
                    <c:v>0.104</c:v>
                  </c:pt>
                  <c:pt idx="13">
                    <c:v>0.088</c:v>
                  </c:pt>
                  <c:pt idx="14">
                    <c:v>0.105</c:v>
                  </c:pt>
                  <c:pt idx="15">
                    <c:v>0.081</c:v>
                  </c:pt>
                  <c:pt idx="16">
                    <c:v>0.112</c:v>
                  </c:pt>
                  <c:pt idx="17">
                    <c:v>0.088</c:v>
                  </c:pt>
                  <c:pt idx="18">
                    <c:v>0.095</c:v>
                  </c:pt>
                  <c:pt idx="19">
                    <c:v>0.079</c:v>
                  </c:pt>
                  <c:pt idx="20">
                    <c:v>0.093</c:v>
                  </c:pt>
                  <c:pt idx="21">
                    <c:v>0.082</c:v>
                  </c:pt>
                  <c:pt idx="22">
                    <c:v>0.087</c:v>
                  </c:pt>
                  <c:pt idx="23">
                    <c:v>0.092</c:v>
                  </c:pt>
                </c:numCache>
              </c:numRef>
            </c:minus>
            <c:spPr>
              <a:ln w="12700">
                <a:solidFill>
                  <a:srgbClr val="00B050"/>
                </a:solidFill>
              </a:ln>
            </c:spPr>
          </c:errBars>
          <c:xVal>
            <c:numRef>
              <c:f>'TQ-FlexAbsorb-70psi'!$M$4:$M$34</c:f>
              <c:numCache>
                <c:formatCode>General</c:formatCode>
                <c:ptCount val="31"/>
                <c:pt idx="0">
                  <c:v>1.49</c:v>
                </c:pt>
                <c:pt idx="1">
                  <c:v>2.39</c:v>
                </c:pt>
                <c:pt idx="2">
                  <c:v>5.26</c:v>
                </c:pt>
                <c:pt idx="3">
                  <c:v>9.93</c:v>
                </c:pt>
                <c:pt idx="4">
                  <c:v>13.89</c:v>
                </c:pt>
                <c:pt idx="5">
                  <c:v>20.19</c:v>
                </c:pt>
                <c:pt idx="6">
                  <c:v>28.65</c:v>
                </c:pt>
                <c:pt idx="7">
                  <c:v>34.31</c:v>
                </c:pt>
                <c:pt idx="8">
                  <c:v>40.74</c:v>
                </c:pt>
                <c:pt idx="9">
                  <c:v>45.19</c:v>
                </c:pt>
                <c:pt idx="10">
                  <c:v>50.71</c:v>
                </c:pt>
                <c:pt idx="11">
                  <c:v>57.15</c:v>
                </c:pt>
                <c:pt idx="12">
                  <c:v>62.38</c:v>
                </c:pt>
                <c:pt idx="13">
                  <c:v>68.6</c:v>
                </c:pt>
                <c:pt idx="14">
                  <c:v>73.65</c:v>
                </c:pt>
                <c:pt idx="15">
                  <c:v>79.91</c:v>
                </c:pt>
                <c:pt idx="16">
                  <c:v>85.27</c:v>
                </c:pt>
                <c:pt idx="17">
                  <c:v>91.9</c:v>
                </c:pt>
                <c:pt idx="18">
                  <c:v>97.13</c:v>
                </c:pt>
                <c:pt idx="19">
                  <c:v>102.99</c:v>
                </c:pt>
                <c:pt idx="20">
                  <c:v>108.67</c:v>
                </c:pt>
                <c:pt idx="21">
                  <c:v>113.62</c:v>
                </c:pt>
                <c:pt idx="22">
                  <c:v>119.29</c:v>
                </c:pt>
                <c:pt idx="23">
                  <c:v>122.94</c:v>
                </c:pt>
              </c:numCache>
            </c:numRef>
          </c:xVal>
          <c:yVal>
            <c:numRef>
              <c:f>'TQ-FlexAbsorb-70psi'!$N$4:$N$34</c:f>
              <c:numCache>
                <c:formatCode>General</c:formatCode>
                <c:ptCount val="31"/>
                <c:pt idx="0">
                  <c:v>0.121</c:v>
                </c:pt>
                <c:pt idx="1">
                  <c:v>0.1453</c:v>
                </c:pt>
                <c:pt idx="2">
                  <c:v>0.2287</c:v>
                </c:pt>
                <c:pt idx="3">
                  <c:v>0.2986</c:v>
                </c:pt>
                <c:pt idx="4">
                  <c:v>0.3413</c:v>
                </c:pt>
                <c:pt idx="5">
                  <c:v>0.366</c:v>
                </c:pt>
                <c:pt idx="6">
                  <c:v>0.3768</c:v>
                </c:pt>
                <c:pt idx="7">
                  <c:v>0.3953</c:v>
                </c:pt>
                <c:pt idx="8">
                  <c:v>0.4397</c:v>
                </c:pt>
                <c:pt idx="9">
                  <c:v>0.4707</c:v>
                </c:pt>
                <c:pt idx="10">
                  <c:v>0.4925</c:v>
                </c:pt>
                <c:pt idx="11">
                  <c:v>0.5186</c:v>
                </c:pt>
                <c:pt idx="12">
                  <c:v>0.5622</c:v>
                </c:pt>
                <c:pt idx="13">
                  <c:v>0.5667</c:v>
                </c:pt>
                <c:pt idx="14">
                  <c:v>0.5956</c:v>
                </c:pt>
                <c:pt idx="15">
                  <c:v>0.6064</c:v>
                </c:pt>
                <c:pt idx="16">
                  <c:v>0.6285</c:v>
                </c:pt>
                <c:pt idx="17">
                  <c:v>0.6281</c:v>
                </c:pt>
                <c:pt idx="18">
                  <c:v>0.6291</c:v>
                </c:pt>
                <c:pt idx="19">
                  <c:v>0.6637</c:v>
                </c:pt>
                <c:pt idx="20">
                  <c:v>0.6278</c:v>
                </c:pt>
                <c:pt idx="21">
                  <c:v>0.6761</c:v>
                </c:pt>
                <c:pt idx="22">
                  <c:v>0.6784</c:v>
                </c:pt>
                <c:pt idx="23">
                  <c:v>0.6699</c:v>
                </c:pt>
              </c:numCache>
            </c:numRef>
          </c:yVal>
          <c:smooth val="0"/>
        </c:ser>
        <c:ser>
          <c:idx val="3"/>
          <c:order val="4"/>
          <c:tx>
            <c:v>99% RH</c:v>
          </c:tx>
          <c:spPr>
            <a:ln w="28575">
              <a:noFill/>
            </a:ln>
          </c:spPr>
          <c:marker>
            <c:symbol val="circle"/>
            <c:size val="5"/>
            <c:spPr>
              <a:solidFill>
                <a:srgbClr val="7030A0">
                  <a:alpha val="50000"/>
                </a:srgbClr>
              </a:solidFill>
              <a:ln w="12700">
                <a:solidFill>
                  <a:sysClr val="windowText" lastClr="000000"/>
                </a:solidFill>
              </a:ln>
            </c:spPr>
          </c:marker>
          <c:errBars>
            <c:errDir val="y"/>
            <c:errBarType val="both"/>
            <c:errValType val="cust"/>
            <c:noEndCap val="0"/>
            <c:plus>
              <c:numRef>
                <c:f>'TQ-FlexAbsorb-70psi'!$U$4:$U$29</c:f>
                <c:numCache>
                  <c:formatCode>General</c:formatCode>
                  <c:ptCount val="26"/>
                  <c:pt idx="0">
                    <c:v>0.051</c:v>
                  </c:pt>
                  <c:pt idx="1">
                    <c:v>0.082</c:v>
                  </c:pt>
                  <c:pt idx="2">
                    <c:v>0.176</c:v>
                  </c:pt>
                  <c:pt idx="3">
                    <c:v>0.314</c:v>
                  </c:pt>
                  <c:pt idx="4">
                    <c:v>0.36</c:v>
                  </c:pt>
                  <c:pt idx="5">
                    <c:v>0.368</c:v>
                  </c:pt>
                  <c:pt idx="6">
                    <c:v>0.35</c:v>
                  </c:pt>
                  <c:pt idx="7">
                    <c:v>0.374</c:v>
                  </c:pt>
                  <c:pt idx="8">
                    <c:v>0.362</c:v>
                  </c:pt>
                  <c:pt idx="9">
                    <c:v>0.377</c:v>
                  </c:pt>
                  <c:pt idx="10">
                    <c:v>0.37</c:v>
                  </c:pt>
                  <c:pt idx="11">
                    <c:v>0.374</c:v>
                  </c:pt>
                  <c:pt idx="12">
                    <c:v>0.364</c:v>
                  </c:pt>
                  <c:pt idx="13">
                    <c:v>0.379</c:v>
                  </c:pt>
                  <c:pt idx="14">
                    <c:v>0.358</c:v>
                  </c:pt>
                  <c:pt idx="15">
                    <c:v>0.374</c:v>
                  </c:pt>
                  <c:pt idx="16">
                    <c:v>0.379</c:v>
                  </c:pt>
                  <c:pt idx="17">
                    <c:v>0.379</c:v>
                  </c:pt>
                  <c:pt idx="18">
                    <c:v>0.376</c:v>
                  </c:pt>
                  <c:pt idx="19">
                    <c:v>0.376</c:v>
                  </c:pt>
                  <c:pt idx="20">
                    <c:v>0.365</c:v>
                  </c:pt>
                  <c:pt idx="21">
                    <c:v>0.378</c:v>
                  </c:pt>
                  <c:pt idx="22">
                    <c:v>0.391</c:v>
                  </c:pt>
                  <c:pt idx="23">
                    <c:v>0.404</c:v>
                  </c:pt>
                </c:numCache>
              </c:numRef>
            </c:plus>
            <c:minus>
              <c:numRef>
                <c:f>'TQ-FlexAbsorb-70psi'!$U$4:$U$29</c:f>
                <c:numCache>
                  <c:formatCode>General</c:formatCode>
                  <c:ptCount val="26"/>
                  <c:pt idx="0">
                    <c:v>0.051</c:v>
                  </c:pt>
                  <c:pt idx="1">
                    <c:v>0.082</c:v>
                  </c:pt>
                  <c:pt idx="2">
                    <c:v>0.176</c:v>
                  </c:pt>
                  <c:pt idx="3">
                    <c:v>0.314</c:v>
                  </c:pt>
                  <c:pt idx="4">
                    <c:v>0.36</c:v>
                  </c:pt>
                  <c:pt idx="5">
                    <c:v>0.368</c:v>
                  </c:pt>
                  <c:pt idx="6">
                    <c:v>0.35</c:v>
                  </c:pt>
                  <c:pt idx="7">
                    <c:v>0.374</c:v>
                  </c:pt>
                  <c:pt idx="8">
                    <c:v>0.362</c:v>
                  </c:pt>
                  <c:pt idx="9">
                    <c:v>0.377</c:v>
                  </c:pt>
                  <c:pt idx="10">
                    <c:v>0.37</c:v>
                  </c:pt>
                  <c:pt idx="11">
                    <c:v>0.374</c:v>
                  </c:pt>
                  <c:pt idx="12">
                    <c:v>0.364</c:v>
                  </c:pt>
                  <c:pt idx="13">
                    <c:v>0.379</c:v>
                  </c:pt>
                  <c:pt idx="14">
                    <c:v>0.358</c:v>
                  </c:pt>
                  <c:pt idx="15">
                    <c:v>0.374</c:v>
                  </c:pt>
                  <c:pt idx="16">
                    <c:v>0.379</c:v>
                  </c:pt>
                  <c:pt idx="17">
                    <c:v>0.379</c:v>
                  </c:pt>
                  <c:pt idx="18">
                    <c:v>0.376</c:v>
                  </c:pt>
                  <c:pt idx="19">
                    <c:v>0.376</c:v>
                  </c:pt>
                  <c:pt idx="20">
                    <c:v>0.365</c:v>
                  </c:pt>
                  <c:pt idx="21">
                    <c:v>0.378</c:v>
                  </c:pt>
                  <c:pt idx="22">
                    <c:v>0.391</c:v>
                  </c:pt>
                  <c:pt idx="23">
                    <c:v>0.404</c:v>
                  </c:pt>
                </c:numCache>
              </c:numRef>
            </c:minus>
            <c:spPr>
              <a:ln w="12700">
                <a:solidFill>
                  <a:srgbClr val="7030A0"/>
                </a:solidFill>
              </a:ln>
            </c:spPr>
          </c:errBars>
          <c:xVal>
            <c:numRef>
              <c:f>'TQ-FlexAbsorb-70psi'!$S$4:$S$34</c:f>
              <c:numCache>
                <c:formatCode>General</c:formatCode>
                <c:ptCount val="31"/>
                <c:pt idx="0">
                  <c:v>1.53</c:v>
                </c:pt>
                <c:pt idx="1">
                  <c:v>2.42</c:v>
                </c:pt>
                <c:pt idx="2">
                  <c:v>5.27</c:v>
                </c:pt>
                <c:pt idx="3">
                  <c:v>9.94</c:v>
                </c:pt>
                <c:pt idx="4">
                  <c:v>13.9</c:v>
                </c:pt>
                <c:pt idx="5">
                  <c:v>20.2</c:v>
                </c:pt>
                <c:pt idx="6">
                  <c:v>28.65</c:v>
                </c:pt>
                <c:pt idx="7">
                  <c:v>34.32</c:v>
                </c:pt>
                <c:pt idx="8">
                  <c:v>40.75</c:v>
                </c:pt>
                <c:pt idx="9">
                  <c:v>45.19</c:v>
                </c:pt>
                <c:pt idx="10">
                  <c:v>50.71</c:v>
                </c:pt>
                <c:pt idx="11">
                  <c:v>57.15</c:v>
                </c:pt>
                <c:pt idx="12">
                  <c:v>62.38</c:v>
                </c:pt>
                <c:pt idx="13">
                  <c:v>68.61</c:v>
                </c:pt>
                <c:pt idx="14">
                  <c:v>73.65</c:v>
                </c:pt>
                <c:pt idx="15">
                  <c:v>79.91</c:v>
                </c:pt>
                <c:pt idx="16">
                  <c:v>85.28</c:v>
                </c:pt>
                <c:pt idx="17">
                  <c:v>91.9</c:v>
                </c:pt>
                <c:pt idx="18">
                  <c:v>97.13</c:v>
                </c:pt>
                <c:pt idx="19">
                  <c:v>102.99</c:v>
                </c:pt>
                <c:pt idx="20">
                  <c:v>108.67</c:v>
                </c:pt>
                <c:pt idx="21">
                  <c:v>113.62</c:v>
                </c:pt>
                <c:pt idx="22">
                  <c:v>119.29</c:v>
                </c:pt>
                <c:pt idx="23">
                  <c:v>122.94</c:v>
                </c:pt>
              </c:numCache>
            </c:numRef>
          </c:xVal>
          <c:yVal>
            <c:numRef>
              <c:f>'TQ-FlexAbsorb-70psi'!$T$4:$T$34</c:f>
              <c:numCache>
                <c:formatCode>General</c:formatCode>
                <c:ptCount val="31"/>
                <c:pt idx="0">
                  <c:v>0.2598</c:v>
                </c:pt>
                <c:pt idx="1">
                  <c:v>0.359</c:v>
                </c:pt>
                <c:pt idx="2">
                  <c:v>0.6135</c:v>
                </c:pt>
                <c:pt idx="3">
                  <c:v>0.8512</c:v>
                </c:pt>
                <c:pt idx="4">
                  <c:v>0.9439</c:v>
                </c:pt>
                <c:pt idx="5">
                  <c:v>0.9762</c:v>
                </c:pt>
                <c:pt idx="6">
                  <c:v>0.9783</c:v>
                </c:pt>
                <c:pt idx="7">
                  <c:v>0.9943</c:v>
                </c:pt>
                <c:pt idx="8">
                  <c:v>1.0391</c:v>
                </c:pt>
                <c:pt idx="9">
                  <c:v>1.0721</c:v>
                </c:pt>
                <c:pt idx="10">
                  <c:v>1.0961</c:v>
                </c:pt>
                <c:pt idx="11">
                  <c:v>1.1081</c:v>
                </c:pt>
                <c:pt idx="12">
                  <c:v>1.1155</c:v>
                </c:pt>
                <c:pt idx="13">
                  <c:v>1.1285</c:v>
                </c:pt>
                <c:pt idx="14">
                  <c:v>1.1649</c:v>
                </c:pt>
                <c:pt idx="15">
                  <c:v>1.2069</c:v>
                </c:pt>
                <c:pt idx="16">
                  <c:v>1.249</c:v>
                </c:pt>
                <c:pt idx="17">
                  <c:v>1.2363</c:v>
                </c:pt>
                <c:pt idx="18">
                  <c:v>1.2759</c:v>
                </c:pt>
                <c:pt idx="19">
                  <c:v>1.2818</c:v>
                </c:pt>
                <c:pt idx="20">
                  <c:v>1.2961</c:v>
                </c:pt>
                <c:pt idx="21">
                  <c:v>1.3278</c:v>
                </c:pt>
                <c:pt idx="22">
                  <c:v>1.3465</c:v>
                </c:pt>
                <c:pt idx="23">
                  <c:v>1.3197</c:v>
                </c:pt>
              </c:numCache>
            </c:numRef>
          </c:yVal>
          <c:smooth val="0"/>
        </c:ser>
        <c:dLbls>
          <c:showLegendKey val="0"/>
          <c:showVal val="0"/>
          <c:showCatName val="0"/>
          <c:showSerName val="0"/>
          <c:showPercent val="0"/>
          <c:showBubbleSize val="0"/>
        </c:dLbls>
        <c:axId val="513313896"/>
        <c:axId val="513304136"/>
      </c:scatterChart>
      <c:valAx>
        <c:axId val="513313896"/>
        <c:scaling>
          <c:orientation val="minMax"/>
          <c:max val="190.0"/>
          <c:min val="0.0"/>
        </c:scaling>
        <c:delete val="0"/>
        <c:axPos val="b"/>
        <c:title>
          <c:tx>
            <c:rich>
              <a:bodyPr/>
              <a:lstStyle/>
              <a:p>
                <a:pPr>
                  <a:defRPr/>
                </a:pPr>
                <a:r>
                  <a:rPr lang="en-US"/>
                  <a:t>Time (hr</a:t>
                </a:r>
                <a:r>
                  <a:rPr lang="en-US" baseline="30000"/>
                  <a:t>0.5</a:t>
                </a:r>
                <a:r>
                  <a:rPr lang="en-US"/>
                  <a:t>)</a:t>
                </a:r>
              </a:p>
            </c:rich>
          </c:tx>
          <c:overlay val="0"/>
        </c:title>
        <c:numFmt formatCode="General" sourceLinked="1"/>
        <c:majorTickMark val="out"/>
        <c:minorTickMark val="in"/>
        <c:tickLblPos val="nextTo"/>
        <c:spPr>
          <a:ln w="15875">
            <a:solidFill>
              <a:sysClr val="windowText" lastClr="000000"/>
            </a:solidFill>
          </a:ln>
        </c:spPr>
        <c:crossAx val="513304136"/>
        <c:crosses val="autoZero"/>
        <c:crossBetween val="midCat"/>
        <c:minorUnit val="12.5"/>
      </c:valAx>
      <c:valAx>
        <c:axId val="513304136"/>
        <c:scaling>
          <c:orientation val="minMax"/>
          <c:max val="2.5"/>
          <c:min val="0.0"/>
        </c:scaling>
        <c:delete val="0"/>
        <c:axPos val="l"/>
        <c:title>
          <c:tx>
            <c:rich>
              <a:bodyPr rot="-5400000" vert="horz"/>
              <a:lstStyle/>
              <a:p>
                <a:pPr>
                  <a:defRPr/>
                </a:pPr>
                <a:r>
                  <a:rPr lang="en-US"/>
                  <a:t>Fluid Content (% wt.)</a:t>
                </a:r>
              </a:p>
            </c:rich>
          </c:tx>
          <c:overlay val="0"/>
        </c:title>
        <c:numFmt formatCode="General" sourceLinked="1"/>
        <c:majorTickMark val="out"/>
        <c:minorTickMark val="in"/>
        <c:tickLblPos val="nextTo"/>
        <c:spPr>
          <a:ln w="15875">
            <a:solidFill>
              <a:sysClr val="windowText" lastClr="000000"/>
            </a:solidFill>
          </a:ln>
        </c:spPr>
        <c:crossAx val="513313896"/>
        <c:crosses val="autoZero"/>
        <c:crossBetween val="midCat"/>
        <c:majorUnit val="1.0"/>
        <c:minorUnit val="0.25"/>
      </c:valAx>
      <c:spPr>
        <a:ln w="19050">
          <a:solidFill>
            <a:sysClr val="windowText" lastClr="000000"/>
          </a:solidFill>
        </a:ln>
      </c:spPr>
    </c:plotArea>
    <c:legend>
      <c:legendPos val="r"/>
      <c:legendEntry>
        <c:idx val="0"/>
        <c:delete val="1"/>
      </c:legendEntry>
      <c:layout>
        <c:manualLayout>
          <c:xMode val="edge"/>
          <c:yMode val="edge"/>
          <c:x val="0.181747284037942"/>
          <c:y val="0.0959115664876696"/>
          <c:w val="0.235029360736688"/>
          <c:h val="0.198320209973753"/>
        </c:manualLayout>
      </c:layout>
      <c:overlay val="1"/>
      <c:spPr>
        <a:solidFill>
          <a:schemeClr val="bg1"/>
        </a:solidFill>
      </c:spPr>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070621468927"/>
          <c:y val="0.0342857142857143"/>
          <c:w val="0.874034839924674"/>
          <c:h val="0.764677458795912"/>
        </c:manualLayout>
      </c:layout>
      <c:barChart>
        <c:barDir val="col"/>
        <c:grouping val="clustered"/>
        <c:varyColors val="0"/>
        <c:ser>
          <c:idx val="4"/>
          <c:order val="0"/>
          <c:tx>
            <c:v>69 kPa, Dry</c:v>
          </c:tx>
          <c:spPr>
            <a:solidFill>
              <a:srgbClr val="0070C0"/>
            </a:solidFill>
            <a:ln>
              <a:solidFill>
                <a:sysClr val="windowText" lastClr="000000"/>
              </a:solidFill>
            </a:ln>
          </c:spPr>
          <c:invertIfNegative val="0"/>
          <c:errBars>
            <c:errBarType val="both"/>
            <c:errValType val="cust"/>
            <c:noEndCap val="0"/>
            <c:plus>
              <c:numRef>
                <c:f>('Dry Flexure'!$H$4,'Dry Flexure'!$H$10,'Dry Flexure'!$H$16,'Dry Flexure'!$H$22)</c:f>
                <c:numCache>
                  <c:formatCode>General</c:formatCode>
                  <c:ptCount val="4"/>
                  <c:pt idx="0">
                    <c:v>0.825</c:v>
                  </c:pt>
                  <c:pt idx="1">
                    <c:v>1.08</c:v>
                  </c:pt>
                  <c:pt idx="2">
                    <c:v>0.991</c:v>
                  </c:pt>
                  <c:pt idx="3">
                    <c:v>1.056</c:v>
                  </c:pt>
                </c:numCache>
              </c:numRef>
            </c:plus>
            <c:minus>
              <c:numRef>
                <c:f>('Dry Flexure'!$H$4,'Dry Flexure'!$H$10,'Dry Flexure'!$H$16,'Dry Flexure'!$H$22)</c:f>
                <c:numCache>
                  <c:formatCode>General</c:formatCode>
                  <c:ptCount val="4"/>
                  <c:pt idx="0">
                    <c:v>0.825</c:v>
                  </c:pt>
                  <c:pt idx="1">
                    <c:v>1.08</c:v>
                  </c:pt>
                  <c:pt idx="2">
                    <c:v>0.991</c:v>
                  </c:pt>
                  <c:pt idx="3">
                    <c:v>1.056</c:v>
                  </c:pt>
                </c:numCache>
              </c:numRef>
            </c:minus>
            <c:spPr>
              <a:ln w="15875"/>
            </c:spPr>
          </c:errBars>
          <c:val>
            <c:numRef>
              <c:f>('Dry Flexure'!$F$4,'Dry Flexure'!$F$10,'Dry Flexure'!$F$16,'Dry Flexure'!$F$22)</c:f>
              <c:numCache>
                <c:formatCode>0.00</c:formatCode>
                <c:ptCount val="4"/>
                <c:pt idx="0">
                  <c:v>23.419</c:v>
                </c:pt>
                <c:pt idx="1">
                  <c:v>22.643</c:v>
                </c:pt>
                <c:pt idx="2">
                  <c:v>22.012</c:v>
                </c:pt>
                <c:pt idx="3">
                  <c:v>22.788</c:v>
                </c:pt>
              </c:numCache>
            </c:numRef>
          </c:val>
        </c:ser>
        <c:ser>
          <c:idx val="0"/>
          <c:order val="1"/>
          <c:tx>
            <c:v>69 kPa, HF</c:v>
          </c:tx>
          <c:spPr>
            <a:pattFill prst="wdUpDiag">
              <a:fgClr>
                <a:srgbClr val="0070C0"/>
              </a:fgClr>
              <a:bgClr>
                <a:prstClr val="white"/>
              </a:bgClr>
            </a:pattFill>
            <a:ln>
              <a:solidFill>
                <a:sysClr val="windowText" lastClr="000000"/>
              </a:solidFill>
            </a:ln>
          </c:spPr>
          <c:invertIfNegative val="0"/>
          <c:errBars>
            <c:errBarType val="both"/>
            <c:errValType val="cust"/>
            <c:noEndCap val="0"/>
            <c:plus>
              <c:numRef>
                <c:f>('HF Flexure'!$H$4,'HF Flexure'!$H$10,'HF Flexure'!$H$16,'HF Flexure'!$H$22)</c:f>
                <c:numCache>
                  <c:formatCode>General</c:formatCode>
                  <c:ptCount val="4"/>
                  <c:pt idx="0">
                    <c:v>0.844</c:v>
                  </c:pt>
                  <c:pt idx="1">
                    <c:v>0.95</c:v>
                  </c:pt>
                  <c:pt idx="2">
                    <c:v>0.793</c:v>
                  </c:pt>
                  <c:pt idx="3">
                    <c:v>1.198</c:v>
                  </c:pt>
                </c:numCache>
              </c:numRef>
            </c:plus>
            <c:minus>
              <c:numRef>
                <c:f>('HF Flexure'!$H$4,'HF Flexure'!$H$10,'HF Flexure'!$H$16,'HF Flexure'!$H$22)</c:f>
                <c:numCache>
                  <c:formatCode>General</c:formatCode>
                  <c:ptCount val="4"/>
                  <c:pt idx="0">
                    <c:v>0.844</c:v>
                  </c:pt>
                  <c:pt idx="1">
                    <c:v>0.95</c:v>
                  </c:pt>
                  <c:pt idx="2">
                    <c:v>0.793</c:v>
                  </c:pt>
                  <c:pt idx="3">
                    <c:v>1.198</c:v>
                  </c:pt>
                </c:numCache>
              </c:numRef>
            </c:minus>
            <c:spPr>
              <a:ln w="15875">
                <a:solidFill>
                  <a:sysClr val="windowText" lastClr="000000"/>
                </a:solidFill>
              </a:ln>
            </c:spPr>
          </c:errBars>
          <c:cat>
            <c:strRef>
              <c:f>('HF Flexure'!$A$3,'HF Flexure'!$A$9,'HF Flexure'!$A$15,'HF Flexure'!$A$21)</c:f>
              <c:strCache>
                <c:ptCount val="4"/>
                <c:pt idx="0">
                  <c:v>2% RH</c:v>
                </c:pt>
                <c:pt idx="1">
                  <c:v>40% RH</c:v>
                </c:pt>
                <c:pt idx="2">
                  <c:v>70% RH</c:v>
                </c:pt>
                <c:pt idx="3">
                  <c:v>99% RH</c:v>
                </c:pt>
              </c:strCache>
            </c:strRef>
          </c:cat>
          <c:val>
            <c:numRef>
              <c:f>('HF Flexure'!$F$4,'HF Flexure'!$F$10,'HF Flexure'!$F$16,'HF Flexure'!$F$22)</c:f>
              <c:numCache>
                <c:formatCode>0.00</c:formatCode>
                <c:ptCount val="4"/>
                <c:pt idx="0">
                  <c:v>21.366</c:v>
                </c:pt>
                <c:pt idx="1">
                  <c:v>21.848</c:v>
                </c:pt>
                <c:pt idx="2">
                  <c:v>21.558</c:v>
                </c:pt>
                <c:pt idx="3">
                  <c:v>22.445</c:v>
                </c:pt>
              </c:numCache>
            </c:numRef>
          </c:val>
        </c:ser>
        <c:ser>
          <c:idx val="5"/>
          <c:order val="2"/>
          <c:tx>
            <c:v>207 kPa, Dry</c:v>
          </c:tx>
          <c:spPr>
            <a:solidFill>
              <a:srgbClr val="C00000"/>
            </a:solidFill>
            <a:ln>
              <a:solidFill>
                <a:sysClr val="windowText" lastClr="000000"/>
              </a:solidFill>
            </a:ln>
          </c:spPr>
          <c:invertIfNegative val="0"/>
          <c:errBars>
            <c:errBarType val="both"/>
            <c:errValType val="cust"/>
            <c:noEndCap val="0"/>
            <c:plus>
              <c:numRef>
                <c:f>('Dry Flexure'!$H$5,'Dry Flexure'!$H$11,'Dry Flexure'!$H$17,'Dry Flexure'!$H$23)</c:f>
                <c:numCache>
                  <c:formatCode>General</c:formatCode>
                  <c:ptCount val="4"/>
                  <c:pt idx="0">
                    <c:v>0.828</c:v>
                  </c:pt>
                  <c:pt idx="1">
                    <c:v>0.497</c:v>
                  </c:pt>
                  <c:pt idx="2">
                    <c:v>0.789</c:v>
                  </c:pt>
                  <c:pt idx="3">
                    <c:v>0.804</c:v>
                  </c:pt>
                </c:numCache>
              </c:numRef>
            </c:plus>
            <c:minus>
              <c:numRef>
                <c:f>('Dry Flexure'!$H$5,'Dry Flexure'!$H$11,'Dry Flexure'!$H$17,'Dry Flexure'!$H$23)</c:f>
                <c:numCache>
                  <c:formatCode>General</c:formatCode>
                  <c:ptCount val="4"/>
                  <c:pt idx="0">
                    <c:v>0.828</c:v>
                  </c:pt>
                  <c:pt idx="1">
                    <c:v>0.497</c:v>
                  </c:pt>
                  <c:pt idx="2">
                    <c:v>0.789</c:v>
                  </c:pt>
                  <c:pt idx="3">
                    <c:v>0.804</c:v>
                  </c:pt>
                </c:numCache>
              </c:numRef>
            </c:minus>
            <c:spPr>
              <a:ln w="15875"/>
            </c:spPr>
          </c:errBars>
          <c:val>
            <c:numRef>
              <c:f>('Dry Flexure'!$F$5,'Dry Flexure'!$F$11,'Dry Flexure'!$F$17,'Dry Flexure'!$F$23)</c:f>
              <c:numCache>
                <c:formatCode>0.00</c:formatCode>
                <c:ptCount val="4"/>
                <c:pt idx="0">
                  <c:v>25.528</c:v>
                </c:pt>
                <c:pt idx="1">
                  <c:v>24.712</c:v>
                </c:pt>
                <c:pt idx="2">
                  <c:v>25.447</c:v>
                </c:pt>
                <c:pt idx="3">
                  <c:v>26.668</c:v>
                </c:pt>
              </c:numCache>
            </c:numRef>
          </c:val>
        </c:ser>
        <c:ser>
          <c:idx val="1"/>
          <c:order val="3"/>
          <c:tx>
            <c:v>207 kPa, HF</c:v>
          </c:tx>
          <c:spPr>
            <a:pattFill prst="wdUpDiag">
              <a:fgClr>
                <a:srgbClr val="C00000"/>
              </a:fgClr>
              <a:bgClr>
                <a:prstClr val="white"/>
              </a:bgClr>
            </a:pattFill>
            <a:ln>
              <a:solidFill>
                <a:sysClr val="windowText" lastClr="000000"/>
              </a:solidFill>
            </a:ln>
          </c:spPr>
          <c:invertIfNegative val="0"/>
          <c:errBars>
            <c:errBarType val="both"/>
            <c:errValType val="cust"/>
            <c:noEndCap val="0"/>
            <c:plus>
              <c:numRef>
                <c:f>('HF Flexure'!$H$5,'HF Flexure'!$H$11,'HF Flexure'!$H$17,'HF Flexure'!$H$23)</c:f>
                <c:numCache>
                  <c:formatCode>General</c:formatCode>
                  <c:ptCount val="4"/>
                  <c:pt idx="0">
                    <c:v>0.728</c:v>
                  </c:pt>
                  <c:pt idx="1">
                    <c:v>0.543</c:v>
                  </c:pt>
                  <c:pt idx="2">
                    <c:v>0.725</c:v>
                  </c:pt>
                  <c:pt idx="3">
                    <c:v>0.635</c:v>
                  </c:pt>
                </c:numCache>
              </c:numRef>
            </c:plus>
            <c:minus>
              <c:numRef>
                <c:f>('HF Flexure'!$H$5,'HF Flexure'!$H$11,'HF Flexure'!$H$17,'HF Flexure'!$H$23)</c:f>
                <c:numCache>
                  <c:formatCode>General</c:formatCode>
                  <c:ptCount val="4"/>
                  <c:pt idx="0">
                    <c:v>0.728</c:v>
                  </c:pt>
                  <c:pt idx="1">
                    <c:v>0.543</c:v>
                  </c:pt>
                  <c:pt idx="2">
                    <c:v>0.725</c:v>
                  </c:pt>
                  <c:pt idx="3">
                    <c:v>0.635</c:v>
                  </c:pt>
                </c:numCache>
              </c:numRef>
            </c:minus>
            <c:spPr>
              <a:ln w="15875">
                <a:solidFill>
                  <a:sysClr val="windowText" lastClr="000000"/>
                </a:solidFill>
              </a:ln>
            </c:spPr>
          </c:errBars>
          <c:cat>
            <c:strRef>
              <c:f>('HF Flexure'!$A$3,'HF Flexure'!$A$9,'HF Flexure'!$A$15,'HF Flexure'!$A$21)</c:f>
              <c:strCache>
                <c:ptCount val="4"/>
                <c:pt idx="0">
                  <c:v>2% RH</c:v>
                </c:pt>
                <c:pt idx="1">
                  <c:v>40% RH</c:v>
                </c:pt>
                <c:pt idx="2">
                  <c:v>70% RH</c:v>
                </c:pt>
                <c:pt idx="3">
                  <c:v>99% RH</c:v>
                </c:pt>
              </c:strCache>
            </c:strRef>
          </c:cat>
          <c:val>
            <c:numRef>
              <c:f>('HF Flexure'!$F$5,'HF Flexure'!$F$11,'HF Flexure'!$F$17,'HF Flexure'!$F$23)</c:f>
              <c:numCache>
                <c:formatCode>0.00</c:formatCode>
                <c:ptCount val="4"/>
                <c:pt idx="0">
                  <c:v>24.32100000000001</c:v>
                </c:pt>
                <c:pt idx="1">
                  <c:v>23.549</c:v>
                </c:pt>
                <c:pt idx="2">
                  <c:v>25.309</c:v>
                </c:pt>
                <c:pt idx="3">
                  <c:v>26.415</c:v>
                </c:pt>
              </c:numCache>
            </c:numRef>
          </c:val>
        </c:ser>
        <c:ser>
          <c:idx val="6"/>
          <c:order val="4"/>
          <c:tx>
            <c:v>345 kPa, Dry</c:v>
          </c:tx>
          <c:spPr>
            <a:solidFill>
              <a:srgbClr val="00B050"/>
            </a:solidFill>
            <a:ln>
              <a:solidFill>
                <a:sysClr val="windowText" lastClr="000000"/>
              </a:solidFill>
            </a:ln>
          </c:spPr>
          <c:invertIfNegative val="0"/>
          <c:errBars>
            <c:errBarType val="both"/>
            <c:errValType val="cust"/>
            <c:noEndCap val="0"/>
            <c:plus>
              <c:numRef>
                <c:f>('Dry Flexure'!$H$6,'Dry Flexure'!$H$12,'Dry Flexure'!$H$18,'Dry Flexure'!$H$24)</c:f>
                <c:numCache>
                  <c:formatCode>General</c:formatCode>
                  <c:ptCount val="4"/>
                  <c:pt idx="0">
                    <c:v>1.007</c:v>
                  </c:pt>
                  <c:pt idx="1">
                    <c:v>0.554</c:v>
                  </c:pt>
                  <c:pt idx="2">
                    <c:v>0.373</c:v>
                  </c:pt>
                  <c:pt idx="3">
                    <c:v>0.924</c:v>
                  </c:pt>
                </c:numCache>
              </c:numRef>
            </c:plus>
            <c:minus>
              <c:numRef>
                <c:f>('Dry Flexure'!$H$6,'Dry Flexure'!$H$12,'Dry Flexure'!$H$18,'Dry Flexure'!$H$24)</c:f>
                <c:numCache>
                  <c:formatCode>General</c:formatCode>
                  <c:ptCount val="4"/>
                  <c:pt idx="0">
                    <c:v>1.007</c:v>
                  </c:pt>
                  <c:pt idx="1">
                    <c:v>0.554</c:v>
                  </c:pt>
                  <c:pt idx="2">
                    <c:v>0.373</c:v>
                  </c:pt>
                  <c:pt idx="3">
                    <c:v>0.924</c:v>
                  </c:pt>
                </c:numCache>
              </c:numRef>
            </c:minus>
            <c:spPr>
              <a:ln w="15875"/>
            </c:spPr>
          </c:errBars>
          <c:val>
            <c:numRef>
              <c:f>('Dry Flexure'!$F$6,'Dry Flexure'!$F$12,'Dry Flexure'!$F$18,'Dry Flexure'!$F$24)</c:f>
              <c:numCache>
                <c:formatCode>0.00</c:formatCode>
                <c:ptCount val="4"/>
                <c:pt idx="0">
                  <c:v>27.535</c:v>
                </c:pt>
                <c:pt idx="1">
                  <c:v>27.193</c:v>
                </c:pt>
                <c:pt idx="2">
                  <c:v>27.314</c:v>
                </c:pt>
                <c:pt idx="3">
                  <c:v>28.582</c:v>
                </c:pt>
              </c:numCache>
            </c:numRef>
          </c:val>
        </c:ser>
        <c:ser>
          <c:idx val="2"/>
          <c:order val="5"/>
          <c:tx>
            <c:v>345 kPa, HF</c:v>
          </c:tx>
          <c:spPr>
            <a:pattFill prst="wdUpDiag">
              <a:fgClr>
                <a:srgbClr val="00B050"/>
              </a:fgClr>
              <a:bgClr>
                <a:prstClr val="white"/>
              </a:bgClr>
            </a:pattFill>
            <a:ln>
              <a:solidFill>
                <a:sysClr val="windowText" lastClr="000000"/>
              </a:solidFill>
            </a:ln>
          </c:spPr>
          <c:invertIfNegative val="0"/>
          <c:errBars>
            <c:errBarType val="both"/>
            <c:errValType val="cust"/>
            <c:noEndCap val="0"/>
            <c:plus>
              <c:numRef>
                <c:f>('HF Flexure'!$H$6,'HF Flexure'!$H$12,'HF Flexure'!$H$18,'HF Flexure'!$H$24)</c:f>
                <c:numCache>
                  <c:formatCode>General</c:formatCode>
                  <c:ptCount val="4"/>
                  <c:pt idx="0">
                    <c:v>0.684</c:v>
                  </c:pt>
                  <c:pt idx="1">
                    <c:v>0.434</c:v>
                  </c:pt>
                  <c:pt idx="2">
                    <c:v>0.508</c:v>
                  </c:pt>
                  <c:pt idx="3">
                    <c:v>0.656</c:v>
                  </c:pt>
                </c:numCache>
              </c:numRef>
            </c:plus>
            <c:minus>
              <c:numRef>
                <c:f>('HF Flexure'!$H$6,'HF Flexure'!$H$12,'HF Flexure'!$H$18,'HF Flexure'!$H$24)</c:f>
                <c:numCache>
                  <c:formatCode>General</c:formatCode>
                  <c:ptCount val="4"/>
                  <c:pt idx="0">
                    <c:v>0.684</c:v>
                  </c:pt>
                  <c:pt idx="1">
                    <c:v>0.434</c:v>
                  </c:pt>
                  <c:pt idx="2">
                    <c:v>0.508</c:v>
                  </c:pt>
                  <c:pt idx="3">
                    <c:v>0.656</c:v>
                  </c:pt>
                </c:numCache>
              </c:numRef>
            </c:minus>
            <c:spPr>
              <a:ln w="15875">
                <a:solidFill>
                  <a:sysClr val="windowText" lastClr="000000"/>
                </a:solidFill>
              </a:ln>
            </c:spPr>
          </c:errBars>
          <c:cat>
            <c:strRef>
              <c:f>('HF Flexure'!$A$3,'HF Flexure'!$A$9,'HF Flexure'!$A$15,'HF Flexure'!$A$21)</c:f>
              <c:strCache>
                <c:ptCount val="4"/>
                <c:pt idx="0">
                  <c:v>2% RH</c:v>
                </c:pt>
                <c:pt idx="1">
                  <c:v>40% RH</c:v>
                </c:pt>
                <c:pt idx="2">
                  <c:v>70% RH</c:v>
                </c:pt>
                <c:pt idx="3">
                  <c:v>99% RH</c:v>
                </c:pt>
              </c:strCache>
            </c:strRef>
          </c:cat>
          <c:val>
            <c:numRef>
              <c:f>('HF Flexure'!$F$6,'HF Flexure'!$F$12,'HF Flexure'!$F$18,'HF Flexure'!$F$24)</c:f>
              <c:numCache>
                <c:formatCode>0.00</c:formatCode>
                <c:ptCount val="4"/>
                <c:pt idx="0">
                  <c:v>27.262</c:v>
                </c:pt>
                <c:pt idx="1">
                  <c:v>26.845</c:v>
                </c:pt>
                <c:pt idx="2">
                  <c:v>26.688</c:v>
                </c:pt>
                <c:pt idx="3">
                  <c:v>27.419</c:v>
                </c:pt>
              </c:numCache>
            </c:numRef>
          </c:val>
        </c:ser>
        <c:ser>
          <c:idx val="7"/>
          <c:order val="6"/>
          <c:tx>
            <c:v>483 kPa, Dry</c:v>
          </c:tx>
          <c:spPr>
            <a:solidFill>
              <a:srgbClr val="7030A0"/>
            </a:solidFill>
            <a:ln>
              <a:solidFill>
                <a:sysClr val="windowText" lastClr="000000"/>
              </a:solidFill>
            </a:ln>
          </c:spPr>
          <c:invertIfNegative val="0"/>
          <c:errBars>
            <c:errBarType val="both"/>
            <c:errValType val="cust"/>
            <c:noEndCap val="0"/>
            <c:plus>
              <c:numRef>
                <c:f>('Dry Flexure'!$H$7,'Dry Flexure'!$H$13,'Dry Flexure'!$H$19,'Dry Flexure'!$H$25)</c:f>
                <c:numCache>
                  <c:formatCode>General</c:formatCode>
                  <c:ptCount val="4"/>
                  <c:pt idx="0">
                    <c:v>0.376</c:v>
                  </c:pt>
                  <c:pt idx="1">
                    <c:v>0.612</c:v>
                  </c:pt>
                  <c:pt idx="2">
                    <c:v>0.432</c:v>
                  </c:pt>
                  <c:pt idx="3">
                    <c:v>0.393</c:v>
                  </c:pt>
                </c:numCache>
              </c:numRef>
            </c:plus>
            <c:minus>
              <c:numRef>
                <c:f>('Dry Flexure'!$H$7,'Dry Flexure'!$H$13,'Dry Flexure'!$H$19,'Dry Flexure'!$H$25)</c:f>
                <c:numCache>
                  <c:formatCode>General</c:formatCode>
                  <c:ptCount val="4"/>
                  <c:pt idx="0">
                    <c:v>0.376</c:v>
                  </c:pt>
                  <c:pt idx="1">
                    <c:v>0.612</c:v>
                  </c:pt>
                  <c:pt idx="2">
                    <c:v>0.432</c:v>
                  </c:pt>
                  <c:pt idx="3">
                    <c:v>0.393</c:v>
                  </c:pt>
                </c:numCache>
              </c:numRef>
            </c:minus>
            <c:spPr>
              <a:ln w="15875"/>
            </c:spPr>
          </c:errBars>
          <c:val>
            <c:numRef>
              <c:f>('Dry Flexure'!$F$7,'Dry Flexure'!$F$13,'Dry Flexure'!$F$19,'Dry Flexure'!$F$25)</c:f>
              <c:numCache>
                <c:formatCode>0.00</c:formatCode>
                <c:ptCount val="4"/>
                <c:pt idx="0">
                  <c:v>29.13800000000001</c:v>
                </c:pt>
                <c:pt idx="1">
                  <c:v>28.603</c:v>
                </c:pt>
                <c:pt idx="2">
                  <c:v>28.67899999999999</c:v>
                </c:pt>
                <c:pt idx="3">
                  <c:v>29.297</c:v>
                </c:pt>
              </c:numCache>
            </c:numRef>
          </c:val>
        </c:ser>
        <c:ser>
          <c:idx val="3"/>
          <c:order val="7"/>
          <c:tx>
            <c:v>483 kPa, HF</c:v>
          </c:tx>
          <c:spPr>
            <a:pattFill prst="wdUpDiag">
              <a:fgClr>
                <a:srgbClr val="7030A0"/>
              </a:fgClr>
              <a:bgClr>
                <a:prstClr val="white"/>
              </a:bgClr>
            </a:pattFill>
            <a:ln>
              <a:solidFill>
                <a:sysClr val="windowText" lastClr="000000"/>
              </a:solidFill>
            </a:ln>
          </c:spPr>
          <c:invertIfNegative val="0"/>
          <c:errBars>
            <c:errBarType val="both"/>
            <c:errValType val="cust"/>
            <c:noEndCap val="0"/>
            <c:plus>
              <c:numRef>
                <c:f>('HF Flexure'!$H$7,'HF Flexure'!$H$13,'HF Flexure'!$H$19,'HF Flexure'!$H$25)</c:f>
                <c:numCache>
                  <c:formatCode>General</c:formatCode>
                  <c:ptCount val="4"/>
                  <c:pt idx="0">
                    <c:v>0.324</c:v>
                  </c:pt>
                  <c:pt idx="1">
                    <c:v>0.434</c:v>
                  </c:pt>
                  <c:pt idx="2">
                    <c:v>0.407</c:v>
                  </c:pt>
                  <c:pt idx="3">
                    <c:v>0.383</c:v>
                  </c:pt>
                </c:numCache>
              </c:numRef>
            </c:plus>
            <c:minus>
              <c:numRef>
                <c:f>('HF Flexure'!$H$7,'HF Flexure'!$H$13,'HF Flexure'!$H$19,'HF Flexure'!$H$25)</c:f>
                <c:numCache>
                  <c:formatCode>General</c:formatCode>
                  <c:ptCount val="4"/>
                  <c:pt idx="0">
                    <c:v>0.324</c:v>
                  </c:pt>
                  <c:pt idx="1">
                    <c:v>0.434</c:v>
                  </c:pt>
                  <c:pt idx="2">
                    <c:v>0.407</c:v>
                  </c:pt>
                  <c:pt idx="3">
                    <c:v>0.383</c:v>
                  </c:pt>
                </c:numCache>
              </c:numRef>
            </c:minus>
            <c:spPr>
              <a:ln w="15875">
                <a:solidFill>
                  <a:sysClr val="windowText" lastClr="000000"/>
                </a:solidFill>
              </a:ln>
            </c:spPr>
          </c:errBars>
          <c:cat>
            <c:strRef>
              <c:f>('HF Flexure'!$A$3,'HF Flexure'!$A$9,'HF Flexure'!$A$15,'HF Flexure'!$A$21)</c:f>
              <c:strCache>
                <c:ptCount val="4"/>
                <c:pt idx="0">
                  <c:v>2% RH</c:v>
                </c:pt>
                <c:pt idx="1">
                  <c:v>40% RH</c:v>
                </c:pt>
                <c:pt idx="2">
                  <c:v>70% RH</c:v>
                </c:pt>
                <c:pt idx="3">
                  <c:v>99% RH</c:v>
                </c:pt>
              </c:strCache>
            </c:strRef>
          </c:cat>
          <c:val>
            <c:numRef>
              <c:f>('HF Flexure'!$F$7,'HF Flexure'!$F$13,'HF Flexure'!$F$19,'HF Flexure'!$F$25)</c:f>
              <c:numCache>
                <c:formatCode>0.00</c:formatCode>
                <c:ptCount val="4"/>
                <c:pt idx="0">
                  <c:v>28.26899999999998</c:v>
                </c:pt>
                <c:pt idx="1">
                  <c:v>27.765</c:v>
                </c:pt>
                <c:pt idx="2">
                  <c:v>27.55</c:v>
                </c:pt>
                <c:pt idx="3">
                  <c:v>28.653</c:v>
                </c:pt>
              </c:numCache>
            </c:numRef>
          </c:val>
        </c:ser>
        <c:dLbls>
          <c:showLegendKey val="0"/>
          <c:showVal val="0"/>
          <c:showCatName val="0"/>
          <c:showSerName val="0"/>
          <c:showPercent val="0"/>
          <c:showBubbleSize val="0"/>
        </c:dLbls>
        <c:gapWidth val="150"/>
        <c:axId val="513171480"/>
        <c:axId val="513150920"/>
      </c:barChart>
      <c:catAx>
        <c:axId val="513171480"/>
        <c:scaling>
          <c:orientation val="minMax"/>
        </c:scaling>
        <c:delete val="0"/>
        <c:axPos val="b"/>
        <c:title>
          <c:tx>
            <c:rich>
              <a:bodyPr/>
              <a:lstStyle/>
              <a:p>
                <a:pPr>
                  <a:defRPr/>
                </a:pPr>
                <a:r>
                  <a:rPr lang="en-US"/>
                  <a:t>Relative</a:t>
                </a:r>
                <a:r>
                  <a:rPr lang="en-US" baseline="0"/>
                  <a:t> Humidity Conditioning Level</a:t>
                </a:r>
                <a:endParaRPr lang="en-US"/>
              </a:p>
            </c:rich>
          </c:tx>
          <c:overlay val="0"/>
        </c:title>
        <c:majorTickMark val="cross"/>
        <c:minorTickMark val="none"/>
        <c:tickLblPos val="nextTo"/>
        <c:spPr>
          <a:ln>
            <a:solidFill>
              <a:sysClr val="windowText" lastClr="000000"/>
            </a:solidFill>
          </a:ln>
        </c:spPr>
        <c:crossAx val="513150920"/>
        <c:crosses val="autoZero"/>
        <c:auto val="1"/>
        <c:lblAlgn val="ctr"/>
        <c:lblOffset val="100"/>
        <c:noMultiLvlLbl val="0"/>
      </c:catAx>
      <c:valAx>
        <c:axId val="513150920"/>
        <c:scaling>
          <c:orientation val="minMax"/>
          <c:max val="45.0"/>
          <c:min val="0.0"/>
        </c:scaling>
        <c:delete val="0"/>
        <c:axPos val="l"/>
        <c:title>
          <c:tx>
            <c:rich>
              <a:bodyPr rot="-5400000" vert="horz"/>
              <a:lstStyle/>
              <a:p>
                <a:pPr>
                  <a:defRPr/>
                </a:pPr>
                <a:r>
                  <a:rPr lang="en-US"/>
                  <a:t>Flexural Stiffness (GPa)</a:t>
                </a:r>
              </a:p>
            </c:rich>
          </c:tx>
          <c:overlay val="0"/>
        </c:title>
        <c:numFmt formatCode="0" sourceLinked="0"/>
        <c:majorTickMark val="out"/>
        <c:minorTickMark val="in"/>
        <c:tickLblPos val="nextTo"/>
        <c:spPr>
          <a:ln>
            <a:solidFill>
              <a:sysClr val="windowText" lastClr="000000"/>
            </a:solidFill>
          </a:ln>
        </c:spPr>
        <c:crossAx val="513171480"/>
        <c:crosses val="autoZero"/>
        <c:crossBetween val="between"/>
        <c:majorUnit val="10.0"/>
        <c:minorUnit val="2.5"/>
      </c:valAx>
      <c:spPr>
        <a:ln w="12700">
          <a:solidFill>
            <a:sysClr val="windowText" lastClr="000000"/>
          </a:solidFill>
        </a:ln>
      </c:spPr>
    </c:plotArea>
    <c:legend>
      <c:legendPos val="r"/>
      <c:layout>
        <c:manualLayout>
          <c:xMode val="edge"/>
          <c:yMode val="edge"/>
          <c:x val="0.630516630336462"/>
          <c:y val="0.042381293247435"/>
          <c:w val="0.338880733128698"/>
          <c:h val="0.218267716535433"/>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0070621468927"/>
          <c:y val="0.0350737597605555"/>
          <c:w val="0.874034839924674"/>
          <c:h val="0.761764598757069"/>
        </c:manualLayout>
      </c:layout>
      <c:barChart>
        <c:barDir val="col"/>
        <c:grouping val="clustered"/>
        <c:varyColors val="0"/>
        <c:ser>
          <c:idx val="4"/>
          <c:order val="0"/>
          <c:tx>
            <c:v>69 kPa, Dry</c:v>
          </c:tx>
          <c:spPr>
            <a:solidFill>
              <a:srgbClr val="0070C0"/>
            </a:solidFill>
            <a:ln>
              <a:solidFill>
                <a:sysClr val="windowText" lastClr="000000"/>
              </a:solidFill>
            </a:ln>
          </c:spPr>
          <c:invertIfNegative val="0"/>
          <c:errBars>
            <c:errBarType val="both"/>
            <c:errValType val="cust"/>
            <c:noEndCap val="0"/>
            <c:plus>
              <c:numRef>
                <c:f>('Dry Flexure'!$R$4,'Dry Flexure'!$R$10,'Dry Flexure'!$R$16,'Dry Flexure'!$R$22)</c:f>
                <c:numCache>
                  <c:formatCode>General</c:formatCode>
                  <c:ptCount val="4"/>
                  <c:pt idx="0">
                    <c:v>1.216</c:v>
                  </c:pt>
                  <c:pt idx="1">
                    <c:v>1.009</c:v>
                  </c:pt>
                  <c:pt idx="2">
                    <c:v>0.982</c:v>
                  </c:pt>
                  <c:pt idx="3">
                    <c:v>1.065</c:v>
                  </c:pt>
                </c:numCache>
              </c:numRef>
            </c:plus>
            <c:minus>
              <c:numRef>
                <c:f>('Dry Flexure'!$R$4,'Dry Flexure'!$R$10,'Dry Flexure'!$R$16,'Dry Flexure'!$R$22)</c:f>
                <c:numCache>
                  <c:formatCode>General</c:formatCode>
                  <c:ptCount val="4"/>
                  <c:pt idx="0">
                    <c:v>1.216</c:v>
                  </c:pt>
                  <c:pt idx="1">
                    <c:v>1.009</c:v>
                  </c:pt>
                  <c:pt idx="2">
                    <c:v>0.982</c:v>
                  </c:pt>
                  <c:pt idx="3">
                    <c:v>1.065</c:v>
                  </c:pt>
                </c:numCache>
              </c:numRef>
            </c:minus>
            <c:spPr>
              <a:ln w="15875"/>
            </c:spPr>
          </c:errBars>
          <c:val>
            <c:numRef>
              <c:f>('Dry Flexure'!$P$4,'Dry Flexure'!$P$10,'Dry Flexure'!$P$16,'Dry Flexure'!$P$22)</c:f>
              <c:numCache>
                <c:formatCode>0.00</c:formatCode>
                <c:ptCount val="4"/>
                <c:pt idx="0">
                  <c:v>22.65</c:v>
                </c:pt>
                <c:pt idx="1">
                  <c:v>22.305</c:v>
                </c:pt>
                <c:pt idx="2">
                  <c:v>21.624</c:v>
                </c:pt>
                <c:pt idx="3">
                  <c:v>21.306</c:v>
                </c:pt>
              </c:numCache>
            </c:numRef>
          </c:val>
        </c:ser>
        <c:ser>
          <c:idx val="0"/>
          <c:order val="1"/>
          <c:tx>
            <c:v>69 kPa, HF</c:v>
          </c:tx>
          <c:spPr>
            <a:pattFill prst="wdUpDiag">
              <a:fgClr>
                <a:srgbClr val="0070C0"/>
              </a:fgClr>
              <a:bgClr>
                <a:prstClr val="white"/>
              </a:bgClr>
            </a:pattFill>
            <a:ln>
              <a:solidFill>
                <a:sysClr val="windowText" lastClr="000000"/>
              </a:solidFill>
            </a:ln>
          </c:spPr>
          <c:invertIfNegative val="0"/>
          <c:errBars>
            <c:errBarType val="both"/>
            <c:errValType val="cust"/>
            <c:noEndCap val="0"/>
            <c:plus>
              <c:numRef>
                <c:f>('HF Flexure'!$R$4,'HF Flexure'!$R$10,'HF Flexure'!$R$16,'HF Flexure'!$R$22)</c:f>
                <c:numCache>
                  <c:formatCode>General</c:formatCode>
                  <c:ptCount val="4"/>
                  <c:pt idx="0">
                    <c:v>1.117</c:v>
                  </c:pt>
                  <c:pt idx="1">
                    <c:v>0.954</c:v>
                  </c:pt>
                  <c:pt idx="2">
                    <c:v>0.594</c:v>
                  </c:pt>
                  <c:pt idx="3">
                    <c:v>0.766</c:v>
                  </c:pt>
                </c:numCache>
              </c:numRef>
            </c:plus>
            <c:minus>
              <c:numRef>
                <c:f>('HF Flexure'!$R$4,'HF Flexure'!$R$10,'HF Flexure'!$R$16,'HF Flexure'!$R$22)</c:f>
                <c:numCache>
                  <c:formatCode>General</c:formatCode>
                  <c:ptCount val="4"/>
                  <c:pt idx="0">
                    <c:v>1.117</c:v>
                  </c:pt>
                  <c:pt idx="1">
                    <c:v>0.954</c:v>
                  </c:pt>
                  <c:pt idx="2">
                    <c:v>0.594</c:v>
                  </c:pt>
                  <c:pt idx="3">
                    <c:v>0.766</c:v>
                  </c:pt>
                </c:numCache>
              </c:numRef>
            </c:minus>
            <c:spPr>
              <a:ln w="15875">
                <a:solidFill>
                  <a:sysClr val="windowText" lastClr="000000"/>
                </a:solidFill>
              </a:ln>
            </c:spPr>
          </c:errBars>
          <c:cat>
            <c:strRef>
              <c:f>('HF Flexure'!$A$3,'HF Flexure'!$A$9,'HF Flexure'!$A$15,'HF Flexure'!$A$21)</c:f>
              <c:strCache>
                <c:ptCount val="4"/>
                <c:pt idx="0">
                  <c:v>2% RH</c:v>
                </c:pt>
                <c:pt idx="1">
                  <c:v>40% RH</c:v>
                </c:pt>
                <c:pt idx="2">
                  <c:v>70% RH</c:v>
                </c:pt>
                <c:pt idx="3">
                  <c:v>99% RH</c:v>
                </c:pt>
              </c:strCache>
            </c:strRef>
          </c:cat>
          <c:val>
            <c:numRef>
              <c:f>('HF Flexure'!$P$4,'HF Flexure'!$P$10,'HF Flexure'!$P$16,'HF Flexure'!$P$22)</c:f>
              <c:numCache>
                <c:formatCode>0.00</c:formatCode>
                <c:ptCount val="4"/>
                <c:pt idx="0">
                  <c:v>22.363</c:v>
                </c:pt>
                <c:pt idx="1">
                  <c:v>21.974</c:v>
                </c:pt>
                <c:pt idx="2">
                  <c:v>21.39399999999999</c:v>
                </c:pt>
                <c:pt idx="3">
                  <c:v>20.8</c:v>
                </c:pt>
              </c:numCache>
            </c:numRef>
          </c:val>
        </c:ser>
        <c:ser>
          <c:idx val="5"/>
          <c:order val="2"/>
          <c:tx>
            <c:v>207 kPa, Dry</c:v>
          </c:tx>
          <c:spPr>
            <a:solidFill>
              <a:srgbClr val="C00000"/>
            </a:solidFill>
            <a:ln>
              <a:solidFill>
                <a:sysClr val="windowText" lastClr="000000"/>
              </a:solidFill>
            </a:ln>
          </c:spPr>
          <c:invertIfNegative val="0"/>
          <c:errBars>
            <c:errBarType val="both"/>
            <c:errValType val="cust"/>
            <c:noEndCap val="0"/>
            <c:plus>
              <c:numRef>
                <c:f>('Dry Flexure'!$R$5,'Dry Flexure'!$R$11,'Dry Flexure'!$R$17,'Dry Flexure'!$R$23)</c:f>
                <c:numCache>
                  <c:formatCode>General</c:formatCode>
                  <c:ptCount val="4"/>
                  <c:pt idx="0">
                    <c:v>1.004</c:v>
                  </c:pt>
                  <c:pt idx="1">
                    <c:v>1.56</c:v>
                  </c:pt>
                  <c:pt idx="2">
                    <c:v>0.882</c:v>
                  </c:pt>
                  <c:pt idx="3">
                    <c:v>1.253</c:v>
                  </c:pt>
                </c:numCache>
              </c:numRef>
            </c:plus>
            <c:minus>
              <c:numRef>
                <c:f>('Dry Flexure'!$R$5,'Dry Flexure'!$R$11,'Dry Flexure'!$R$17,'Dry Flexure'!$R$23)</c:f>
                <c:numCache>
                  <c:formatCode>General</c:formatCode>
                  <c:ptCount val="4"/>
                  <c:pt idx="0">
                    <c:v>1.004</c:v>
                  </c:pt>
                  <c:pt idx="1">
                    <c:v>1.56</c:v>
                  </c:pt>
                  <c:pt idx="2">
                    <c:v>0.882</c:v>
                  </c:pt>
                  <c:pt idx="3">
                    <c:v>1.253</c:v>
                  </c:pt>
                </c:numCache>
              </c:numRef>
            </c:minus>
            <c:spPr>
              <a:ln w="15875"/>
            </c:spPr>
          </c:errBars>
          <c:val>
            <c:numRef>
              <c:f>('Dry Flexure'!$P$5,'Dry Flexure'!$P$11,'Dry Flexure'!$P$17,'Dry Flexure'!$P$23)</c:f>
              <c:numCache>
                <c:formatCode>0.00</c:formatCode>
                <c:ptCount val="4"/>
                <c:pt idx="0">
                  <c:v>25.003</c:v>
                </c:pt>
                <c:pt idx="1">
                  <c:v>26.686</c:v>
                </c:pt>
                <c:pt idx="2">
                  <c:v>24.632</c:v>
                </c:pt>
                <c:pt idx="3">
                  <c:v>24.754</c:v>
                </c:pt>
              </c:numCache>
            </c:numRef>
          </c:val>
        </c:ser>
        <c:ser>
          <c:idx val="1"/>
          <c:order val="3"/>
          <c:tx>
            <c:v>207 kPa, HF</c:v>
          </c:tx>
          <c:spPr>
            <a:pattFill prst="wdUpDiag">
              <a:fgClr>
                <a:srgbClr val="C00000"/>
              </a:fgClr>
              <a:bgClr>
                <a:prstClr val="white"/>
              </a:bgClr>
            </a:pattFill>
            <a:ln>
              <a:solidFill>
                <a:sysClr val="windowText" lastClr="000000"/>
              </a:solidFill>
            </a:ln>
          </c:spPr>
          <c:invertIfNegative val="0"/>
          <c:errBars>
            <c:errBarType val="both"/>
            <c:errValType val="cust"/>
            <c:noEndCap val="0"/>
            <c:plus>
              <c:numRef>
                <c:f>('HF Flexure'!$R$5,'HF Flexure'!$R$11,'HF Flexure'!$R$17,'HF Flexure'!$R$23)</c:f>
                <c:numCache>
                  <c:formatCode>General</c:formatCode>
                  <c:ptCount val="4"/>
                  <c:pt idx="0">
                    <c:v>0.584</c:v>
                  </c:pt>
                  <c:pt idx="1">
                    <c:v>0.769</c:v>
                  </c:pt>
                  <c:pt idx="2">
                    <c:v>0.765</c:v>
                  </c:pt>
                  <c:pt idx="3">
                    <c:v>0.832</c:v>
                  </c:pt>
                </c:numCache>
              </c:numRef>
            </c:plus>
            <c:minus>
              <c:numRef>
                <c:f>('HF Flexure'!$R$5,'HF Flexure'!$R$11,'HF Flexure'!$R$17,'HF Flexure'!$R$23)</c:f>
                <c:numCache>
                  <c:formatCode>General</c:formatCode>
                  <c:ptCount val="4"/>
                  <c:pt idx="0">
                    <c:v>0.584</c:v>
                  </c:pt>
                  <c:pt idx="1">
                    <c:v>0.769</c:v>
                  </c:pt>
                  <c:pt idx="2">
                    <c:v>0.765</c:v>
                  </c:pt>
                  <c:pt idx="3">
                    <c:v>0.832</c:v>
                  </c:pt>
                </c:numCache>
              </c:numRef>
            </c:minus>
            <c:spPr>
              <a:ln w="15875">
                <a:solidFill>
                  <a:sysClr val="windowText" lastClr="000000"/>
                </a:solidFill>
              </a:ln>
            </c:spPr>
          </c:errBars>
          <c:cat>
            <c:strRef>
              <c:f>('HF Flexure'!$A$3,'HF Flexure'!$A$9,'HF Flexure'!$A$15,'HF Flexure'!$A$21)</c:f>
              <c:strCache>
                <c:ptCount val="4"/>
                <c:pt idx="0">
                  <c:v>2% RH</c:v>
                </c:pt>
                <c:pt idx="1">
                  <c:v>40% RH</c:v>
                </c:pt>
                <c:pt idx="2">
                  <c:v>70% RH</c:v>
                </c:pt>
                <c:pt idx="3">
                  <c:v>99% RH</c:v>
                </c:pt>
              </c:strCache>
            </c:strRef>
          </c:cat>
          <c:val>
            <c:numRef>
              <c:f>('HF Flexure'!$P$5,'HF Flexure'!$P$11,'HF Flexure'!$P$17,'HF Flexure'!$P$23)</c:f>
              <c:numCache>
                <c:formatCode>0.00</c:formatCode>
                <c:ptCount val="4"/>
                <c:pt idx="0">
                  <c:v>24.595</c:v>
                </c:pt>
                <c:pt idx="1">
                  <c:v>26.203</c:v>
                </c:pt>
                <c:pt idx="2">
                  <c:v>24.623</c:v>
                </c:pt>
                <c:pt idx="3">
                  <c:v>23.60600000000001</c:v>
                </c:pt>
              </c:numCache>
            </c:numRef>
          </c:val>
        </c:ser>
        <c:ser>
          <c:idx val="6"/>
          <c:order val="4"/>
          <c:tx>
            <c:v>345 kPa, Dry</c:v>
          </c:tx>
          <c:spPr>
            <a:solidFill>
              <a:srgbClr val="00B050"/>
            </a:solidFill>
            <a:ln>
              <a:solidFill>
                <a:sysClr val="windowText" lastClr="000000"/>
              </a:solidFill>
            </a:ln>
          </c:spPr>
          <c:invertIfNegative val="0"/>
          <c:errBars>
            <c:errBarType val="both"/>
            <c:errValType val="cust"/>
            <c:noEndCap val="0"/>
            <c:plus>
              <c:numRef>
                <c:f>('Dry Flexure'!$R$6,'Dry Flexure'!$R$12,'Dry Flexure'!$R$18,'Dry Flexure'!$R$24)</c:f>
                <c:numCache>
                  <c:formatCode>General</c:formatCode>
                  <c:ptCount val="4"/>
                  <c:pt idx="0">
                    <c:v>1.037</c:v>
                  </c:pt>
                  <c:pt idx="1">
                    <c:v>0.738</c:v>
                  </c:pt>
                  <c:pt idx="2">
                    <c:v>0.943</c:v>
                  </c:pt>
                  <c:pt idx="3">
                    <c:v>0.611</c:v>
                  </c:pt>
                </c:numCache>
              </c:numRef>
            </c:plus>
            <c:minus>
              <c:numRef>
                <c:f>('Dry Flexure'!$R$6,'Dry Flexure'!$R$12,'Dry Flexure'!$R$18,'Dry Flexure'!$R$24)</c:f>
                <c:numCache>
                  <c:formatCode>General</c:formatCode>
                  <c:ptCount val="4"/>
                  <c:pt idx="0">
                    <c:v>1.037</c:v>
                  </c:pt>
                  <c:pt idx="1">
                    <c:v>0.738</c:v>
                  </c:pt>
                  <c:pt idx="2">
                    <c:v>0.943</c:v>
                  </c:pt>
                  <c:pt idx="3">
                    <c:v>0.611</c:v>
                  </c:pt>
                </c:numCache>
              </c:numRef>
            </c:minus>
            <c:spPr>
              <a:ln w="15875"/>
            </c:spPr>
          </c:errBars>
          <c:val>
            <c:numRef>
              <c:f>('Dry Flexure'!$P$6,'Dry Flexure'!$P$12,'Dry Flexure'!$P$18,'Dry Flexure'!$P$24)</c:f>
              <c:numCache>
                <c:formatCode>0.00</c:formatCode>
                <c:ptCount val="4"/>
                <c:pt idx="0">
                  <c:v>27.273</c:v>
                </c:pt>
                <c:pt idx="1">
                  <c:v>27.67899999999999</c:v>
                </c:pt>
                <c:pt idx="2">
                  <c:v>26.685</c:v>
                </c:pt>
                <c:pt idx="3">
                  <c:v>26.412</c:v>
                </c:pt>
              </c:numCache>
            </c:numRef>
          </c:val>
        </c:ser>
        <c:ser>
          <c:idx val="2"/>
          <c:order val="5"/>
          <c:tx>
            <c:v>345 kPa, HF</c:v>
          </c:tx>
          <c:spPr>
            <a:pattFill prst="wdUpDiag">
              <a:fgClr>
                <a:srgbClr val="00B050"/>
              </a:fgClr>
              <a:bgClr>
                <a:prstClr val="white"/>
              </a:bgClr>
            </a:pattFill>
            <a:ln>
              <a:solidFill>
                <a:sysClr val="windowText" lastClr="000000"/>
              </a:solidFill>
            </a:ln>
          </c:spPr>
          <c:invertIfNegative val="0"/>
          <c:errBars>
            <c:errBarType val="both"/>
            <c:errValType val="cust"/>
            <c:noEndCap val="0"/>
            <c:plus>
              <c:numRef>
                <c:f>('HF Flexure'!$R$6,'HF Flexure'!$R$12,'HF Flexure'!$R$18,'HF Flexure'!$R$24)</c:f>
                <c:numCache>
                  <c:formatCode>General</c:formatCode>
                  <c:ptCount val="4"/>
                  <c:pt idx="0">
                    <c:v>0.833</c:v>
                  </c:pt>
                  <c:pt idx="1">
                    <c:v>1.048</c:v>
                  </c:pt>
                  <c:pt idx="2">
                    <c:v>0.448</c:v>
                  </c:pt>
                  <c:pt idx="3">
                    <c:v>0.49</c:v>
                  </c:pt>
                </c:numCache>
              </c:numRef>
            </c:plus>
            <c:minus>
              <c:numRef>
                <c:f>('HF Flexure'!$R$6,'HF Flexure'!$R$12,'HF Flexure'!$R$18,'HF Flexure'!$R$24)</c:f>
                <c:numCache>
                  <c:formatCode>General</c:formatCode>
                  <c:ptCount val="4"/>
                  <c:pt idx="0">
                    <c:v>0.833</c:v>
                  </c:pt>
                  <c:pt idx="1">
                    <c:v>1.048</c:v>
                  </c:pt>
                  <c:pt idx="2">
                    <c:v>0.448</c:v>
                  </c:pt>
                  <c:pt idx="3">
                    <c:v>0.49</c:v>
                  </c:pt>
                </c:numCache>
              </c:numRef>
            </c:minus>
            <c:spPr>
              <a:ln w="15875">
                <a:solidFill>
                  <a:sysClr val="windowText" lastClr="000000"/>
                </a:solidFill>
              </a:ln>
            </c:spPr>
          </c:errBars>
          <c:cat>
            <c:strRef>
              <c:f>('HF Flexure'!$A$3,'HF Flexure'!$A$9,'HF Flexure'!$A$15,'HF Flexure'!$A$21)</c:f>
              <c:strCache>
                <c:ptCount val="4"/>
                <c:pt idx="0">
                  <c:v>2% RH</c:v>
                </c:pt>
                <c:pt idx="1">
                  <c:v>40% RH</c:v>
                </c:pt>
                <c:pt idx="2">
                  <c:v>70% RH</c:v>
                </c:pt>
                <c:pt idx="3">
                  <c:v>99% RH</c:v>
                </c:pt>
              </c:strCache>
            </c:strRef>
          </c:cat>
          <c:val>
            <c:numRef>
              <c:f>('HF Flexure'!$P$6,'HF Flexure'!$P$12,'HF Flexure'!$P$18,'HF Flexure'!$P$24)</c:f>
              <c:numCache>
                <c:formatCode>0.00</c:formatCode>
                <c:ptCount val="4"/>
                <c:pt idx="0">
                  <c:v>26.384</c:v>
                </c:pt>
                <c:pt idx="1">
                  <c:v>26.498</c:v>
                </c:pt>
                <c:pt idx="2">
                  <c:v>25.505</c:v>
                </c:pt>
                <c:pt idx="3">
                  <c:v>25.201</c:v>
                </c:pt>
              </c:numCache>
            </c:numRef>
          </c:val>
        </c:ser>
        <c:ser>
          <c:idx val="7"/>
          <c:order val="6"/>
          <c:tx>
            <c:v>483 kPa, Dry</c:v>
          </c:tx>
          <c:spPr>
            <a:solidFill>
              <a:srgbClr val="7030A0"/>
            </a:solidFill>
            <a:ln>
              <a:solidFill>
                <a:sysClr val="windowText" lastClr="000000"/>
              </a:solidFill>
            </a:ln>
          </c:spPr>
          <c:invertIfNegative val="0"/>
          <c:errBars>
            <c:errBarType val="both"/>
            <c:errValType val="cust"/>
            <c:noEndCap val="0"/>
            <c:plus>
              <c:numRef>
                <c:f>('Dry Flexure'!$R$7,'Dry Flexure'!$R$13,'Dry Flexure'!$R$19,'Dry Flexure'!$R$25)</c:f>
                <c:numCache>
                  <c:formatCode>General</c:formatCode>
                  <c:ptCount val="4"/>
                  <c:pt idx="0">
                    <c:v>0.658</c:v>
                  </c:pt>
                  <c:pt idx="1">
                    <c:v>0.453</c:v>
                  </c:pt>
                  <c:pt idx="2">
                    <c:v>0.295</c:v>
                  </c:pt>
                  <c:pt idx="3">
                    <c:v>0.456</c:v>
                  </c:pt>
                </c:numCache>
              </c:numRef>
            </c:plus>
            <c:minus>
              <c:numRef>
                <c:f>('Dry Flexure'!$R$7,'Dry Flexure'!$R$13,'Dry Flexure'!$R$19,'Dry Flexure'!$R$25)</c:f>
                <c:numCache>
                  <c:formatCode>General</c:formatCode>
                  <c:ptCount val="4"/>
                  <c:pt idx="0">
                    <c:v>0.658</c:v>
                  </c:pt>
                  <c:pt idx="1">
                    <c:v>0.453</c:v>
                  </c:pt>
                  <c:pt idx="2">
                    <c:v>0.295</c:v>
                  </c:pt>
                  <c:pt idx="3">
                    <c:v>0.456</c:v>
                  </c:pt>
                </c:numCache>
              </c:numRef>
            </c:minus>
            <c:spPr>
              <a:ln w="15875"/>
            </c:spPr>
          </c:errBars>
          <c:val>
            <c:numRef>
              <c:f>('Dry Flexure'!$P$7,'Dry Flexure'!$P$13,'Dry Flexure'!$P$19,'Dry Flexure'!$P$25)</c:f>
              <c:numCache>
                <c:formatCode>0.00</c:formatCode>
                <c:ptCount val="4"/>
                <c:pt idx="0">
                  <c:v>28.826</c:v>
                </c:pt>
                <c:pt idx="1">
                  <c:v>29.291</c:v>
                </c:pt>
                <c:pt idx="2">
                  <c:v>28.318</c:v>
                </c:pt>
                <c:pt idx="3">
                  <c:v>27.66</c:v>
                </c:pt>
              </c:numCache>
            </c:numRef>
          </c:val>
        </c:ser>
        <c:ser>
          <c:idx val="3"/>
          <c:order val="7"/>
          <c:tx>
            <c:v>483 kPa, HF</c:v>
          </c:tx>
          <c:spPr>
            <a:pattFill prst="wdUpDiag">
              <a:fgClr>
                <a:srgbClr val="7030A0"/>
              </a:fgClr>
              <a:bgClr>
                <a:prstClr val="white"/>
              </a:bgClr>
            </a:pattFill>
            <a:ln>
              <a:solidFill>
                <a:sysClr val="windowText" lastClr="000000"/>
              </a:solidFill>
            </a:ln>
          </c:spPr>
          <c:invertIfNegative val="0"/>
          <c:errBars>
            <c:errBarType val="both"/>
            <c:errValType val="cust"/>
            <c:noEndCap val="0"/>
            <c:plus>
              <c:numRef>
                <c:f>('HF Flexure'!$R$7,'HF Flexure'!$R$13,'HF Flexure'!$R$19,'HF Flexure'!$R$25)</c:f>
                <c:numCache>
                  <c:formatCode>General</c:formatCode>
                  <c:ptCount val="4"/>
                  <c:pt idx="0">
                    <c:v>0.456</c:v>
                  </c:pt>
                  <c:pt idx="1">
                    <c:v>0.482</c:v>
                  </c:pt>
                  <c:pt idx="2">
                    <c:v>0.616</c:v>
                  </c:pt>
                  <c:pt idx="3">
                    <c:v>0.404</c:v>
                  </c:pt>
                </c:numCache>
              </c:numRef>
            </c:plus>
            <c:minus>
              <c:numRef>
                <c:f>('HF Flexure'!$R$7,'HF Flexure'!$R$13,'HF Flexure'!$R$19,'HF Flexure'!$R$25)</c:f>
                <c:numCache>
                  <c:formatCode>General</c:formatCode>
                  <c:ptCount val="4"/>
                  <c:pt idx="0">
                    <c:v>0.456</c:v>
                  </c:pt>
                  <c:pt idx="1">
                    <c:v>0.482</c:v>
                  </c:pt>
                  <c:pt idx="2">
                    <c:v>0.616</c:v>
                  </c:pt>
                  <c:pt idx="3">
                    <c:v>0.404</c:v>
                  </c:pt>
                </c:numCache>
              </c:numRef>
            </c:minus>
            <c:spPr>
              <a:ln w="15875">
                <a:solidFill>
                  <a:sysClr val="windowText" lastClr="000000"/>
                </a:solidFill>
              </a:ln>
            </c:spPr>
          </c:errBars>
          <c:cat>
            <c:strRef>
              <c:f>('HF Flexure'!$A$3,'HF Flexure'!$A$9,'HF Flexure'!$A$15,'HF Flexure'!$A$21)</c:f>
              <c:strCache>
                <c:ptCount val="4"/>
                <c:pt idx="0">
                  <c:v>2% RH</c:v>
                </c:pt>
                <c:pt idx="1">
                  <c:v>40% RH</c:v>
                </c:pt>
                <c:pt idx="2">
                  <c:v>70% RH</c:v>
                </c:pt>
                <c:pt idx="3">
                  <c:v>99% RH</c:v>
                </c:pt>
              </c:strCache>
            </c:strRef>
          </c:cat>
          <c:val>
            <c:numRef>
              <c:f>('HF Flexure'!$P$7,'HF Flexure'!$P$13,'HF Flexure'!$P$19,'HF Flexure'!$P$25)</c:f>
              <c:numCache>
                <c:formatCode>0.00</c:formatCode>
                <c:ptCount val="4"/>
                <c:pt idx="0">
                  <c:v>27.35900000000001</c:v>
                </c:pt>
                <c:pt idx="1">
                  <c:v>28.16700000000001</c:v>
                </c:pt>
                <c:pt idx="2">
                  <c:v>27.079</c:v>
                </c:pt>
                <c:pt idx="3">
                  <c:v>26.312</c:v>
                </c:pt>
              </c:numCache>
            </c:numRef>
          </c:val>
        </c:ser>
        <c:dLbls>
          <c:showLegendKey val="0"/>
          <c:showVal val="0"/>
          <c:showCatName val="0"/>
          <c:showSerName val="0"/>
          <c:showPercent val="0"/>
          <c:showBubbleSize val="0"/>
        </c:dLbls>
        <c:gapWidth val="150"/>
        <c:axId val="513090200"/>
        <c:axId val="513073240"/>
      </c:barChart>
      <c:catAx>
        <c:axId val="513090200"/>
        <c:scaling>
          <c:orientation val="minMax"/>
        </c:scaling>
        <c:delete val="0"/>
        <c:axPos val="b"/>
        <c:title>
          <c:tx>
            <c:rich>
              <a:bodyPr/>
              <a:lstStyle/>
              <a:p>
                <a:pPr>
                  <a:defRPr/>
                </a:pPr>
                <a:r>
                  <a:rPr lang="en-US"/>
                  <a:t>Relative</a:t>
                </a:r>
                <a:r>
                  <a:rPr lang="en-US" baseline="0"/>
                  <a:t> Humidity Conditioning Level</a:t>
                </a:r>
                <a:endParaRPr lang="en-US"/>
              </a:p>
            </c:rich>
          </c:tx>
          <c:overlay val="0"/>
        </c:title>
        <c:majorTickMark val="cross"/>
        <c:minorTickMark val="none"/>
        <c:tickLblPos val="nextTo"/>
        <c:spPr>
          <a:ln>
            <a:solidFill>
              <a:sysClr val="windowText" lastClr="000000"/>
            </a:solidFill>
          </a:ln>
        </c:spPr>
        <c:crossAx val="513073240"/>
        <c:crosses val="autoZero"/>
        <c:auto val="1"/>
        <c:lblAlgn val="ctr"/>
        <c:lblOffset val="100"/>
        <c:noMultiLvlLbl val="0"/>
      </c:catAx>
      <c:valAx>
        <c:axId val="513073240"/>
        <c:scaling>
          <c:orientation val="minMax"/>
          <c:max val="45.0"/>
          <c:min val="0.0"/>
        </c:scaling>
        <c:delete val="0"/>
        <c:axPos val="l"/>
        <c:title>
          <c:tx>
            <c:rich>
              <a:bodyPr rot="-5400000" vert="horz"/>
              <a:lstStyle/>
              <a:p>
                <a:pPr>
                  <a:defRPr/>
                </a:pPr>
                <a:r>
                  <a:rPr lang="en-US"/>
                  <a:t>Flexural Stiffness (GPa)</a:t>
                </a:r>
              </a:p>
            </c:rich>
          </c:tx>
          <c:overlay val="0"/>
        </c:title>
        <c:numFmt formatCode="0" sourceLinked="0"/>
        <c:majorTickMark val="out"/>
        <c:minorTickMark val="in"/>
        <c:tickLblPos val="nextTo"/>
        <c:spPr>
          <a:ln>
            <a:solidFill>
              <a:sysClr val="windowText" lastClr="000000"/>
            </a:solidFill>
          </a:ln>
        </c:spPr>
        <c:crossAx val="513090200"/>
        <c:crosses val="autoZero"/>
        <c:crossBetween val="between"/>
        <c:majorUnit val="10.0"/>
        <c:minorUnit val="2.5"/>
      </c:valAx>
      <c:spPr>
        <a:ln w="12700">
          <a:solidFill>
            <a:sysClr val="windowText" lastClr="000000"/>
          </a:solidFill>
        </a:ln>
      </c:spPr>
    </c:plotArea>
    <c:legend>
      <c:legendPos val="r"/>
      <c:layout>
        <c:manualLayout>
          <c:xMode val="edge"/>
          <c:yMode val="edge"/>
          <c:x val="0.632855479929416"/>
          <c:y val="0.0361759325538853"/>
          <c:w val="0.338895932499963"/>
          <c:h val="0.215526922771017"/>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6548964218456"/>
          <c:y val="0.0371097960581014"/>
          <c:w val="0.857556497175142"/>
          <c:h val="0.759708514696533"/>
        </c:manualLayout>
      </c:layout>
      <c:barChart>
        <c:barDir val="col"/>
        <c:grouping val="clustered"/>
        <c:varyColors val="0"/>
        <c:ser>
          <c:idx val="4"/>
          <c:order val="0"/>
          <c:tx>
            <c:v>69 kPa, Dry</c:v>
          </c:tx>
          <c:spPr>
            <a:solidFill>
              <a:srgbClr val="0070C0"/>
            </a:solidFill>
            <a:ln>
              <a:solidFill>
                <a:sysClr val="windowText" lastClr="000000"/>
              </a:solidFill>
            </a:ln>
          </c:spPr>
          <c:invertIfNegative val="0"/>
          <c:errBars>
            <c:errBarType val="both"/>
            <c:errValType val="cust"/>
            <c:noEndCap val="0"/>
            <c:plus>
              <c:numRef>
                <c:f>('Dry Flexure'!$D$4,'Dry Flexure'!$D$10,'Dry Flexure'!$D$16,'Dry Flexure'!$D$22)</c:f>
                <c:numCache>
                  <c:formatCode>General</c:formatCode>
                  <c:ptCount val="4"/>
                  <c:pt idx="0">
                    <c:v>33.315</c:v>
                  </c:pt>
                  <c:pt idx="1">
                    <c:v>13.751</c:v>
                  </c:pt>
                  <c:pt idx="2">
                    <c:v>16.216</c:v>
                  </c:pt>
                  <c:pt idx="3">
                    <c:v>13.74</c:v>
                  </c:pt>
                </c:numCache>
              </c:numRef>
            </c:plus>
            <c:minus>
              <c:numRef>
                <c:f>('Dry Flexure'!$D$4,'Dry Flexure'!$D$10,'Dry Flexure'!$D$16,'Dry Flexure'!$D$22)</c:f>
                <c:numCache>
                  <c:formatCode>General</c:formatCode>
                  <c:ptCount val="4"/>
                  <c:pt idx="0">
                    <c:v>33.315</c:v>
                  </c:pt>
                  <c:pt idx="1">
                    <c:v>13.751</c:v>
                  </c:pt>
                  <c:pt idx="2">
                    <c:v>16.216</c:v>
                  </c:pt>
                  <c:pt idx="3">
                    <c:v>13.74</c:v>
                  </c:pt>
                </c:numCache>
              </c:numRef>
            </c:minus>
            <c:spPr>
              <a:ln w="15875"/>
            </c:spPr>
          </c:errBars>
          <c:val>
            <c:numRef>
              <c:f>('Dry Flexure'!$B$4,'Dry Flexure'!$B$10,'Dry Flexure'!$B$16,'Dry Flexure'!$B$22)</c:f>
              <c:numCache>
                <c:formatCode>0.00</c:formatCode>
                <c:ptCount val="4"/>
                <c:pt idx="0">
                  <c:v>482.3179999999999</c:v>
                </c:pt>
                <c:pt idx="1">
                  <c:v>463.2819999999989</c:v>
                </c:pt>
                <c:pt idx="2">
                  <c:v>425.038</c:v>
                </c:pt>
                <c:pt idx="3">
                  <c:v>450.956</c:v>
                </c:pt>
              </c:numCache>
            </c:numRef>
          </c:val>
        </c:ser>
        <c:ser>
          <c:idx val="0"/>
          <c:order val="1"/>
          <c:tx>
            <c:v>69 kPa, HF</c:v>
          </c:tx>
          <c:spPr>
            <a:pattFill prst="wdUpDiag">
              <a:fgClr>
                <a:srgbClr val="0070C0"/>
              </a:fgClr>
              <a:bgClr>
                <a:prstClr val="white"/>
              </a:bgClr>
            </a:pattFill>
            <a:ln>
              <a:solidFill>
                <a:sysClr val="windowText" lastClr="000000"/>
              </a:solidFill>
            </a:ln>
          </c:spPr>
          <c:invertIfNegative val="0"/>
          <c:errBars>
            <c:errBarType val="both"/>
            <c:errValType val="cust"/>
            <c:noEndCap val="0"/>
            <c:plus>
              <c:numRef>
                <c:f>('HF Flexure'!$D$4,'HF Flexure'!$D$10,'HF Flexure'!$D$16,'HF Flexure'!$D$22)</c:f>
                <c:numCache>
                  <c:formatCode>General</c:formatCode>
                  <c:ptCount val="4"/>
                  <c:pt idx="0">
                    <c:v>28.403</c:v>
                  </c:pt>
                  <c:pt idx="1">
                    <c:v>18.23</c:v>
                  </c:pt>
                  <c:pt idx="2">
                    <c:v>18.64</c:v>
                  </c:pt>
                  <c:pt idx="3">
                    <c:v>17.201</c:v>
                  </c:pt>
                </c:numCache>
              </c:numRef>
            </c:plus>
            <c:minus>
              <c:numRef>
                <c:f>('HF Flexure'!$D$4,'HF Flexure'!$D$10,'HF Flexure'!$D$16,'HF Flexure'!$D$22)</c:f>
                <c:numCache>
                  <c:formatCode>General</c:formatCode>
                  <c:ptCount val="4"/>
                  <c:pt idx="0">
                    <c:v>28.403</c:v>
                  </c:pt>
                  <c:pt idx="1">
                    <c:v>18.23</c:v>
                  </c:pt>
                  <c:pt idx="2">
                    <c:v>18.64</c:v>
                  </c:pt>
                  <c:pt idx="3">
                    <c:v>17.201</c:v>
                  </c:pt>
                </c:numCache>
              </c:numRef>
            </c:minus>
            <c:spPr>
              <a:ln w="15875">
                <a:solidFill>
                  <a:sysClr val="windowText" lastClr="000000"/>
                </a:solidFill>
              </a:ln>
            </c:spPr>
          </c:errBars>
          <c:cat>
            <c:strRef>
              <c:f>('HF Flexure'!$A$3,'HF Flexure'!$A$9,'HF Flexure'!$A$15,'HF Flexure'!$A$21)</c:f>
              <c:strCache>
                <c:ptCount val="4"/>
                <c:pt idx="0">
                  <c:v>2% RH</c:v>
                </c:pt>
                <c:pt idx="1">
                  <c:v>40% RH</c:v>
                </c:pt>
                <c:pt idx="2">
                  <c:v>70% RH</c:v>
                </c:pt>
                <c:pt idx="3">
                  <c:v>99% RH</c:v>
                </c:pt>
              </c:strCache>
            </c:strRef>
          </c:cat>
          <c:val>
            <c:numRef>
              <c:f>('HF Flexure'!$B$4,'HF Flexure'!$B$10,'HF Flexure'!$B$16,'HF Flexure'!$B$22)</c:f>
              <c:numCache>
                <c:formatCode>0.00</c:formatCode>
                <c:ptCount val="4"/>
                <c:pt idx="0">
                  <c:v>451.675</c:v>
                </c:pt>
                <c:pt idx="1">
                  <c:v>427.11</c:v>
                </c:pt>
                <c:pt idx="2">
                  <c:v>396.03</c:v>
                </c:pt>
                <c:pt idx="3">
                  <c:v>429.2919999999989</c:v>
                </c:pt>
              </c:numCache>
            </c:numRef>
          </c:val>
        </c:ser>
        <c:ser>
          <c:idx val="5"/>
          <c:order val="2"/>
          <c:tx>
            <c:v>207 kPa, Dry</c:v>
          </c:tx>
          <c:spPr>
            <a:solidFill>
              <a:srgbClr val="C00000"/>
            </a:solidFill>
            <a:ln>
              <a:solidFill>
                <a:sysClr val="windowText" lastClr="000000"/>
              </a:solidFill>
            </a:ln>
          </c:spPr>
          <c:invertIfNegative val="0"/>
          <c:errBars>
            <c:errBarType val="both"/>
            <c:errValType val="cust"/>
            <c:noEndCap val="0"/>
            <c:plus>
              <c:numRef>
                <c:f>('Dry Flexure'!$D$5,'Dry Flexure'!$D$11,'Dry Flexure'!$D$17,'Dry Flexure'!$D$23)</c:f>
                <c:numCache>
                  <c:formatCode>General</c:formatCode>
                  <c:ptCount val="4"/>
                  <c:pt idx="0">
                    <c:v>34.97600000000001</c:v>
                  </c:pt>
                  <c:pt idx="1">
                    <c:v>33.044</c:v>
                  </c:pt>
                  <c:pt idx="2">
                    <c:v>10.275</c:v>
                  </c:pt>
                  <c:pt idx="3">
                    <c:v>18.93</c:v>
                  </c:pt>
                </c:numCache>
              </c:numRef>
            </c:plus>
            <c:minus>
              <c:numRef>
                <c:f>('Dry Flexure'!$D$5,'Dry Flexure'!$D$11,'Dry Flexure'!$D$17,'Dry Flexure'!$D$23)</c:f>
                <c:numCache>
                  <c:formatCode>General</c:formatCode>
                  <c:ptCount val="4"/>
                  <c:pt idx="0">
                    <c:v>34.97600000000001</c:v>
                  </c:pt>
                  <c:pt idx="1">
                    <c:v>33.044</c:v>
                  </c:pt>
                  <c:pt idx="2">
                    <c:v>10.275</c:v>
                  </c:pt>
                  <c:pt idx="3">
                    <c:v>18.93</c:v>
                  </c:pt>
                </c:numCache>
              </c:numRef>
            </c:minus>
            <c:spPr>
              <a:ln w="15875"/>
            </c:spPr>
          </c:errBars>
          <c:val>
            <c:numRef>
              <c:f>('Dry Flexure'!$B$5,'Dry Flexure'!$B$11,'Dry Flexure'!$B$17,'Dry Flexure'!$B$23)</c:f>
              <c:numCache>
                <c:formatCode>0.00</c:formatCode>
                <c:ptCount val="4"/>
                <c:pt idx="0">
                  <c:v>596.789</c:v>
                </c:pt>
                <c:pt idx="1">
                  <c:v>536.744</c:v>
                </c:pt>
                <c:pt idx="2">
                  <c:v>488.6139999999999</c:v>
                </c:pt>
                <c:pt idx="3">
                  <c:v>521.8229999999984</c:v>
                </c:pt>
              </c:numCache>
            </c:numRef>
          </c:val>
        </c:ser>
        <c:ser>
          <c:idx val="1"/>
          <c:order val="3"/>
          <c:tx>
            <c:v>207 kPa, HF</c:v>
          </c:tx>
          <c:spPr>
            <a:pattFill prst="wdUpDiag">
              <a:fgClr>
                <a:srgbClr val="C00000"/>
              </a:fgClr>
              <a:bgClr>
                <a:prstClr val="white"/>
              </a:bgClr>
            </a:pattFill>
            <a:ln>
              <a:solidFill>
                <a:sysClr val="windowText" lastClr="000000"/>
              </a:solidFill>
            </a:ln>
          </c:spPr>
          <c:invertIfNegative val="0"/>
          <c:errBars>
            <c:errBarType val="both"/>
            <c:errValType val="cust"/>
            <c:noEndCap val="0"/>
            <c:plus>
              <c:numRef>
                <c:f>('HF Flexure'!$D$5,'HF Flexure'!$D$11,'HF Flexure'!$D$17,'HF Flexure'!$D$23)</c:f>
                <c:numCache>
                  <c:formatCode>General</c:formatCode>
                  <c:ptCount val="4"/>
                  <c:pt idx="0">
                    <c:v>20.614</c:v>
                  </c:pt>
                  <c:pt idx="1">
                    <c:v>22.245</c:v>
                  </c:pt>
                  <c:pt idx="2">
                    <c:v>22.325</c:v>
                  </c:pt>
                  <c:pt idx="3">
                    <c:v>14.122</c:v>
                  </c:pt>
                </c:numCache>
              </c:numRef>
            </c:plus>
            <c:minus>
              <c:numRef>
                <c:f>('HF Flexure'!$D$5,'HF Flexure'!$D$11,'HF Flexure'!$D$17,'HF Flexure'!$D$23)</c:f>
                <c:numCache>
                  <c:formatCode>General</c:formatCode>
                  <c:ptCount val="4"/>
                  <c:pt idx="0">
                    <c:v>20.614</c:v>
                  </c:pt>
                  <c:pt idx="1">
                    <c:v>22.245</c:v>
                  </c:pt>
                  <c:pt idx="2">
                    <c:v>22.325</c:v>
                  </c:pt>
                  <c:pt idx="3">
                    <c:v>14.122</c:v>
                  </c:pt>
                </c:numCache>
              </c:numRef>
            </c:minus>
            <c:spPr>
              <a:ln w="15875">
                <a:solidFill>
                  <a:sysClr val="windowText" lastClr="000000"/>
                </a:solidFill>
              </a:ln>
            </c:spPr>
          </c:errBars>
          <c:cat>
            <c:strRef>
              <c:f>('HF Flexure'!$A$3,'HF Flexure'!$A$9,'HF Flexure'!$A$15,'HF Flexure'!$A$21)</c:f>
              <c:strCache>
                <c:ptCount val="4"/>
                <c:pt idx="0">
                  <c:v>2% RH</c:v>
                </c:pt>
                <c:pt idx="1">
                  <c:v>40% RH</c:v>
                </c:pt>
                <c:pt idx="2">
                  <c:v>70% RH</c:v>
                </c:pt>
                <c:pt idx="3">
                  <c:v>99% RH</c:v>
                </c:pt>
              </c:strCache>
            </c:strRef>
          </c:cat>
          <c:val>
            <c:numRef>
              <c:f>('HF Flexure'!$B$5,'HF Flexure'!$B$11,'HF Flexure'!$B$17,'HF Flexure'!$B$23)</c:f>
              <c:numCache>
                <c:formatCode>0.00</c:formatCode>
                <c:ptCount val="4"/>
                <c:pt idx="0">
                  <c:v>549.683</c:v>
                </c:pt>
                <c:pt idx="1">
                  <c:v>512.819</c:v>
                </c:pt>
                <c:pt idx="2">
                  <c:v>461.704</c:v>
                </c:pt>
                <c:pt idx="3">
                  <c:v>483.7289999999989</c:v>
                </c:pt>
              </c:numCache>
            </c:numRef>
          </c:val>
        </c:ser>
        <c:ser>
          <c:idx val="6"/>
          <c:order val="4"/>
          <c:tx>
            <c:v>345 kPa, Dry</c:v>
          </c:tx>
          <c:spPr>
            <a:solidFill>
              <a:srgbClr val="00B050"/>
            </a:solidFill>
            <a:ln>
              <a:solidFill>
                <a:sysClr val="windowText" lastClr="000000"/>
              </a:solidFill>
            </a:ln>
          </c:spPr>
          <c:invertIfNegative val="0"/>
          <c:errBars>
            <c:errBarType val="both"/>
            <c:errValType val="cust"/>
            <c:noEndCap val="0"/>
            <c:plus>
              <c:numRef>
                <c:f>('Dry Flexure'!$D$6,'Dry Flexure'!$D$12,'Dry Flexure'!$D$18,'Dry Flexure'!$D$24)</c:f>
                <c:numCache>
                  <c:formatCode>General</c:formatCode>
                  <c:ptCount val="4"/>
                  <c:pt idx="0">
                    <c:v>7.958</c:v>
                  </c:pt>
                  <c:pt idx="1">
                    <c:v>19.566</c:v>
                  </c:pt>
                  <c:pt idx="2">
                    <c:v>13.035</c:v>
                  </c:pt>
                  <c:pt idx="3">
                    <c:v>10.31</c:v>
                  </c:pt>
                </c:numCache>
              </c:numRef>
            </c:plus>
            <c:minus>
              <c:numRef>
                <c:f>('Dry Flexure'!$D$6,'Dry Flexure'!$D$12,'Dry Flexure'!$D$18,'Dry Flexure'!$D$24)</c:f>
                <c:numCache>
                  <c:formatCode>General</c:formatCode>
                  <c:ptCount val="4"/>
                  <c:pt idx="0">
                    <c:v>7.958</c:v>
                  </c:pt>
                  <c:pt idx="1">
                    <c:v>19.566</c:v>
                  </c:pt>
                  <c:pt idx="2">
                    <c:v>13.035</c:v>
                  </c:pt>
                  <c:pt idx="3">
                    <c:v>10.31</c:v>
                  </c:pt>
                </c:numCache>
              </c:numRef>
            </c:minus>
            <c:spPr>
              <a:ln w="15875"/>
            </c:spPr>
          </c:errBars>
          <c:val>
            <c:numRef>
              <c:f>('Dry Flexure'!$B$6,'Dry Flexure'!$B$12,'Dry Flexure'!$B$18,'Dry Flexure'!$B$24)</c:f>
              <c:numCache>
                <c:formatCode>0.00</c:formatCode>
                <c:ptCount val="4"/>
                <c:pt idx="0">
                  <c:v>568.8659999999976</c:v>
                </c:pt>
                <c:pt idx="1">
                  <c:v>526.25</c:v>
                </c:pt>
                <c:pt idx="2">
                  <c:v>507.714</c:v>
                </c:pt>
                <c:pt idx="3">
                  <c:v>542.244</c:v>
                </c:pt>
              </c:numCache>
            </c:numRef>
          </c:val>
        </c:ser>
        <c:ser>
          <c:idx val="2"/>
          <c:order val="5"/>
          <c:tx>
            <c:v>345 kPa, HF</c:v>
          </c:tx>
          <c:spPr>
            <a:pattFill prst="wdUpDiag">
              <a:fgClr>
                <a:srgbClr val="00B050"/>
              </a:fgClr>
              <a:bgClr>
                <a:prstClr val="white"/>
              </a:bgClr>
            </a:pattFill>
            <a:ln>
              <a:solidFill>
                <a:sysClr val="windowText" lastClr="000000"/>
              </a:solidFill>
            </a:ln>
          </c:spPr>
          <c:invertIfNegative val="0"/>
          <c:errBars>
            <c:errBarType val="both"/>
            <c:errValType val="cust"/>
            <c:noEndCap val="0"/>
            <c:plus>
              <c:numRef>
                <c:f>('HF Flexure'!$D$6,'HF Flexure'!$D$12,'HF Flexure'!$D$18,'HF Flexure'!$D$24)</c:f>
                <c:numCache>
                  <c:formatCode>General</c:formatCode>
                  <c:ptCount val="4"/>
                  <c:pt idx="0">
                    <c:v>22.605</c:v>
                  </c:pt>
                  <c:pt idx="1">
                    <c:v>24.621</c:v>
                  </c:pt>
                  <c:pt idx="2">
                    <c:v>13.986</c:v>
                  </c:pt>
                  <c:pt idx="3">
                    <c:v>15.384</c:v>
                  </c:pt>
                </c:numCache>
              </c:numRef>
            </c:plus>
            <c:minus>
              <c:numRef>
                <c:f>('HF Flexure'!$D$6,'HF Flexure'!$D$12,'HF Flexure'!$D$18,'HF Flexure'!$D$24)</c:f>
                <c:numCache>
                  <c:formatCode>General</c:formatCode>
                  <c:ptCount val="4"/>
                  <c:pt idx="0">
                    <c:v>22.605</c:v>
                  </c:pt>
                  <c:pt idx="1">
                    <c:v>24.621</c:v>
                  </c:pt>
                  <c:pt idx="2">
                    <c:v>13.986</c:v>
                  </c:pt>
                  <c:pt idx="3">
                    <c:v>15.384</c:v>
                  </c:pt>
                </c:numCache>
              </c:numRef>
            </c:minus>
            <c:spPr>
              <a:ln w="15875">
                <a:solidFill>
                  <a:sysClr val="windowText" lastClr="000000"/>
                </a:solidFill>
              </a:ln>
            </c:spPr>
          </c:errBars>
          <c:cat>
            <c:strRef>
              <c:f>('HF Flexure'!$A$3,'HF Flexure'!$A$9,'HF Flexure'!$A$15,'HF Flexure'!$A$21)</c:f>
              <c:strCache>
                <c:ptCount val="4"/>
                <c:pt idx="0">
                  <c:v>2% RH</c:v>
                </c:pt>
                <c:pt idx="1">
                  <c:v>40% RH</c:v>
                </c:pt>
                <c:pt idx="2">
                  <c:v>70% RH</c:v>
                </c:pt>
                <c:pt idx="3">
                  <c:v>99% RH</c:v>
                </c:pt>
              </c:strCache>
            </c:strRef>
          </c:cat>
          <c:val>
            <c:numRef>
              <c:f>('HF Flexure'!$B$6,'HF Flexure'!$B$12,'HF Flexure'!$B$18,'HF Flexure'!$B$24)</c:f>
              <c:numCache>
                <c:formatCode>0.00</c:formatCode>
                <c:ptCount val="4"/>
                <c:pt idx="0">
                  <c:v>569.8669999999972</c:v>
                </c:pt>
                <c:pt idx="1">
                  <c:v>510.4379999999989</c:v>
                </c:pt>
                <c:pt idx="2">
                  <c:v>487.8039999999999</c:v>
                </c:pt>
                <c:pt idx="3">
                  <c:v>510.7809999999996</c:v>
                </c:pt>
              </c:numCache>
            </c:numRef>
          </c:val>
        </c:ser>
        <c:ser>
          <c:idx val="7"/>
          <c:order val="6"/>
          <c:tx>
            <c:v>483 kPa, Dry</c:v>
          </c:tx>
          <c:spPr>
            <a:solidFill>
              <a:srgbClr val="7030A0"/>
            </a:solidFill>
            <a:ln>
              <a:solidFill>
                <a:sysClr val="windowText" lastClr="000000"/>
              </a:solidFill>
            </a:ln>
          </c:spPr>
          <c:invertIfNegative val="0"/>
          <c:errBars>
            <c:errBarType val="both"/>
            <c:errValType val="cust"/>
            <c:noEndCap val="0"/>
            <c:plus>
              <c:numRef>
                <c:f>('Dry Flexure'!$D$7,'Dry Flexure'!$D$13,'Dry Flexure'!$D$19,'Dry Flexure'!$D$25)</c:f>
                <c:numCache>
                  <c:formatCode>General</c:formatCode>
                  <c:ptCount val="4"/>
                  <c:pt idx="0">
                    <c:v>15.836</c:v>
                  </c:pt>
                  <c:pt idx="1">
                    <c:v>16.61</c:v>
                  </c:pt>
                  <c:pt idx="2">
                    <c:v>11.399</c:v>
                  </c:pt>
                  <c:pt idx="3">
                    <c:v>11.712</c:v>
                  </c:pt>
                </c:numCache>
              </c:numRef>
            </c:plus>
            <c:minus>
              <c:numRef>
                <c:f>('Dry Flexure'!$D$7,'Dry Flexure'!$D$13,'Dry Flexure'!$D$19,'Dry Flexure'!$D$25)</c:f>
                <c:numCache>
                  <c:formatCode>General</c:formatCode>
                  <c:ptCount val="4"/>
                  <c:pt idx="0">
                    <c:v>15.836</c:v>
                  </c:pt>
                  <c:pt idx="1">
                    <c:v>16.61</c:v>
                  </c:pt>
                  <c:pt idx="2">
                    <c:v>11.399</c:v>
                  </c:pt>
                  <c:pt idx="3">
                    <c:v>11.712</c:v>
                  </c:pt>
                </c:numCache>
              </c:numRef>
            </c:minus>
            <c:spPr>
              <a:ln w="15875"/>
            </c:spPr>
          </c:errBars>
          <c:val>
            <c:numRef>
              <c:f>('Dry Flexure'!$B$7,'Dry Flexure'!$B$13,'Dry Flexure'!$B$19,'Dry Flexure'!$B$25)</c:f>
              <c:numCache>
                <c:formatCode>0.00</c:formatCode>
                <c:ptCount val="4"/>
                <c:pt idx="0">
                  <c:v>602.849999999998</c:v>
                </c:pt>
                <c:pt idx="1">
                  <c:v>545.672</c:v>
                </c:pt>
                <c:pt idx="2">
                  <c:v>524.814</c:v>
                </c:pt>
                <c:pt idx="3">
                  <c:v>550.102</c:v>
                </c:pt>
              </c:numCache>
            </c:numRef>
          </c:val>
        </c:ser>
        <c:ser>
          <c:idx val="3"/>
          <c:order val="7"/>
          <c:tx>
            <c:v>483 kPa, HF</c:v>
          </c:tx>
          <c:spPr>
            <a:pattFill prst="wdUpDiag">
              <a:fgClr>
                <a:srgbClr val="7030A0"/>
              </a:fgClr>
              <a:bgClr>
                <a:prstClr val="white"/>
              </a:bgClr>
            </a:pattFill>
            <a:ln>
              <a:solidFill>
                <a:sysClr val="windowText" lastClr="000000"/>
              </a:solidFill>
            </a:ln>
          </c:spPr>
          <c:invertIfNegative val="0"/>
          <c:errBars>
            <c:errBarType val="both"/>
            <c:errValType val="cust"/>
            <c:noEndCap val="0"/>
            <c:plus>
              <c:numRef>
                <c:f>('HF Flexure'!$D$7,'HF Flexure'!$D$13,'HF Flexure'!$D$19,'HF Flexure'!$D$25)</c:f>
                <c:numCache>
                  <c:formatCode>General</c:formatCode>
                  <c:ptCount val="4"/>
                  <c:pt idx="0">
                    <c:v>16.07999999999999</c:v>
                  </c:pt>
                  <c:pt idx="1">
                    <c:v>18.887</c:v>
                  </c:pt>
                  <c:pt idx="2">
                    <c:v>13.896</c:v>
                  </c:pt>
                  <c:pt idx="3">
                    <c:v>9.056000000000002</c:v>
                  </c:pt>
                </c:numCache>
              </c:numRef>
            </c:plus>
            <c:minus>
              <c:numRef>
                <c:f>('HF Flexure'!$D$7,'HF Flexure'!$D$13,'HF Flexure'!$D$19,'HF Flexure'!$D$25)</c:f>
                <c:numCache>
                  <c:formatCode>General</c:formatCode>
                  <c:ptCount val="4"/>
                  <c:pt idx="0">
                    <c:v>16.07999999999999</c:v>
                  </c:pt>
                  <c:pt idx="1">
                    <c:v>18.887</c:v>
                  </c:pt>
                  <c:pt idx="2">
                    <c:v>13.896</c:v>
                  </c:pt>
                  <c:pt idx="3">
                    <c:v>9.056000000000002</c:v>
                  </c:pt>
                </c:numCache>
              </c:numRef>
            </c:minus>
            <c:spPr>
              <a:ln w="15875">
                <a:solidFill>
                  <a:sysClr val="windowText" lastClr="000000"/>
                </a:solidFill>
              </a:ln>
            </c:spPr>
          </c:errBars>
          <c:cat>
            <c:strRef>
              <c:f>('HF Flexure'!$A$3,'HF Flexure'!$A$9,'HF Flexure'!$A$15,'HF Flexure'!$A$21)</c:f>
              <c:strCache>
                <c:ptCount val="4"/>
                <c:pt idx="0">
                  <c:v>2% RH</c:v>
                </c:pt>
                <c:pt idx="1">
                  <c:v>40% RH</c:v>
                </c:pt>
                <c:pt idx="2">
                  <c:v>70% RH</c:v>
                </c:pt>
                <c:pt idx="3">
                  <c:v>99% RH</c:v>
                </c:pt>
              </c:strCache>
            </c:strRef>
          </c:cat>
          <c:val>
            <c:numRef>
              <c:f>('HF Flexure'!$B$7,'HF Flexure'!$B$13,'HF Flexure'!$B$19,'HF Flexure'!$B$25)</c:f>
              <c:numCache>
                <c:formatCode>0.00</c:formatCode>
                <c:ptCount val="4"/>
                <c:pt idx="0">
                  <c:v>588.281</c:v>
                </c:pt>
                <c:pt idx="1">
                  <c:v>522.423</c:v>
                </c:pt>
                <c:pt idx="2">
                  <c:v>493.978</c:v>
                </c:pt>
                <c:pt idx="3">
                  <c:v>517.3339999999994</c:v>
                </c:pt>
              </c:numCache>
            </c:numRef>
          </c:val>
        </c:ser>
        <c:dLbls>
          <c:showLegendKey val="0"/>
          <c:showVal val="0"/>
          <c:showCatName val="0"/>
          <c:showSerName val="0"/>
          <c:showPercent val="0"/>
          <c:showBubbleSize val="0"/>
        </c:dLbls>
        <c:gapWidth val="150"/>
        <c:axId val="513037096"/>
        <c:axId val="513043112"/>
      </c:barChart>
      <c:catAx>
        <c:axId val="513037096"/>
        <c:scaling>
          <c:orientation val="minMax"/>
        </c:scaling>
        <c:delete val="0"/>
        <c:axPos val="b"/>
        <c:title>
          <c:tx>
            <c:rich>
              <a:bodyPr/>
              <a:lstStyle/>
              <a:p>
                <a:pPr>
                  <a:defRPr/>
                </a:pPr>
                <a:r>
                  <a:rPr lang="en-US"/>
                  <a:t>Relative</a:t>
                </a:r>
                <a:r>
                  <a:rPr lang="en-US" baseline="0"/>
                  <a:t> Humidity Conditioning Level</a:t>
                </a:r>
                <a:endParaRPr lang="en-US"/>
              </a:p>
            </c:rich>
          </c:tx>
          <c:overlay val="0"/>
        </c:title>
        <c:majorTickMark val="cross"/>
        <c:minorTickMark val="none"/>
        <c:tickLblPos val="nextTo"/>
        <c:spPr>
          <a:ln>
            <a:solidFill>
              <a:sysClr val="windowText" lastClr="000000"/>
            </a:solidFill>
          </a:ln>
        </c:spPr>
        <c:crossAx val="513043112"/>
        <c:crosses val="autoZero"/>
        <c:auto val="1"/>
        <c:lblAlgn val="ctr"/>
        <c:lblOffset val="100"/>
        <c:noMultiLvlLbl val="0"/>
      </c:catAx>
      <c:valAx>
        <c:axId val="513043112"/>
        <c:scaling>
          <c:orientation val="minMax"/>
          <c:max val="900.0"/>
          <c:min val="0.0"/>
        </c:scaling>
        <c:delete val="0"/>
        <c:axPos val="l"/>
        <c:title>
          <c:tx>
            <c:rich>
              <a:bodyPr rot="-5400000" vert="horz"/>
              <a:lstStyle/>
              <a:p>
                <a:pPr>
                  <a:defRPr/>
                </a:pPr>
                <a:r>
                  <a:rPr lang="en-US"/>
                  <a:t>Flexural Strength (MPa)</a:t>
                </a:r>
              </a:p>
            </c:rich>
          </c:tx>
          <c:overlay val="0"/>
        </c:title>
        <c:numFmt formatCode="0" sourceLinked="0"/>
        <c:majorTickMark val="out"/>
        <c:minorTickMark val="in"/>
        <c:tickLblPos val="nextTo"/>
        <c:spPr>
          <a:ln w="12700" cmpd="sng">
            <a:solidFill>
              <a:sysClr val="windowText" lastClr="000000"/>
            </a:solidFill>
          </a:ln>
        </c:spPr>
        <c:crossAx val="513037096"/>
        <c:crosses val="autoZero"/>
        <c:crossBetween val="between"/>
        <c:majorUnit val="200.0"/>
        <c:minorUnit val="50.0"/>
      </c:valAx>
      <c:spPr>
        <a:ln w="12700">
          <a:solidFill>
            <a:sysClr val="windowText" lastClr="000000"/>
          </a:solidFill>
        </a:ln>
      </c:spPr>
    </c:plotArea>
    <c:legend>
      <c:legendPos val="r"/>
      <c:layout>
        <c:manualLayout>
          <c:xMode val="edge"/>
          <c:yMode val="edge"/>
          <c:x val="0.632855479929416"/>
          <c:y val="0.0412264376043904"/>
          <c:w val="0.338895932499963"/>
          <c:h val="0.215526922771017"/>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1257062146893"/>
          <c:y val="0.0350737597605555"/>
          <c:w val="0.852848399246705"/>
          <c:h val="0.761764598757069"/>
        </c:manualLayout>
      </c:layout>
      <c:barChart>
        <c:barDir val="col"/>
        <c:grouping val="clustered"/>
        <c:varyColors val="0"/>
        <c:ser>
          <c:idx val="4"/>
          <c:order val="0"/>
          <c:tx>
            <c:v>69 kPa, Dry</c:v>
          </c:tx>
          <c:spPr>
            <a:solidFill>
              <a:srgbClr val="0070C0"/>
            </a:solidFill>
            <a:ln>
              <a:solidFill>
                <a:sysClr val="windowText" lastClr="000000"/>
              </a:solidFill>
            </a:ln>
          </c:spPr>
          <c:invertIfNegative val="0"/>
          <c:errBars>
            <c:errBarType val="both"/>
            <c:errValType val="cust"/>
            <c:noEndCap val="0"/>
            <c:plus>
              <c:numRef>
                <c:f>('Dry Flexure'!$N$4,'Dry Flexure'!$N$10,'Dry Flexure'!$N$16,'Dry Flexure'!$N$22)</c:f>
                <c:numCache>
                  <c:formatCode>General</c:formatCode>
                  <c:ptCount val="4"/>
                  <c:pt idx="0">
                    <c:v>28.44</c:v>
                  </c:pt>
                  <c:pt idx="1">
                    <c:v>40.643</c:v>
                  </c:pt>
                  <c:pt idx="2">
                    <c:v>59.66900000000001</c:v>
                  </c:pt>
                  <c:pt idx="3">
                    <c:v>46.50700000000001</c:v>
                  </c:pt>
                </c:numCache>
              </c:numRef>
            </c:plus>
            <c:minus>
              <c:numRef>
                <c:f>('Dry Flexure'!$N$4,'Dry Flexure'!$N$10,'Dry Flexure'!$N$16,'Dry Flexure'!$N$22)</c:f>
                <c:numCache>
                  <c:formatCode>General</c:formatCode>
                  <c:ptCount val="4"/>
                  <c:pt idx="0">
                    <c:v>28.44</c:v>
                  </c:pt>
                  <c:pt idx="1">
                    <c:v>40.643</c:v>
                  </c:pt>
                  <c:pt idx="2">
                    <c:v>59.66900000000001</c:v>
                  </c:pt>
                  <c:pt idx="3">
                    <c:v>46.50700000000001</c:v>
                  </c:pt>
                </c:numCache>
              </c:numRef>
            </c:minus>
            <c:spPr>
              <a:ln w="15875"/>
            </c:spPr>
          </c:errBars>
          <c:val>
            <c:numRef>
              <c:f>('Dry Flexure'!$L$4,'Dry Flexure'!$L$10,'Dry Flexure'!$L$16,'Dry Flexure'!$L$22)</c:f>
              <c:numCache>
                <c:formatCode>0.00</c:formatCode>
                <c:ptCount val="4"/>
                <c:pt idx="0">
                  <c:v>721.940999999998</c:v>
                </c:pt>
                <c:pt idx="1">
                  <c:v>670.771</c:v>
                </c:pt>
                <c:pt idx="2">
                  <c:v>619.124</c:v>
                </c:pt>
                <c:pt idx="3">
                  <c:v>562.192</c:v>
                </c:pt>
              </c:numCache>
            </c:numRef>
          </c:val>
        </c:ser>
        <c:ser>
          <c:idx val="0"/>
          <c:order val="1"/>
          <c:tx>
            <c:v>69 kPa, HF</c:v>
          </c:tx>
          <c:spPr>
            <a:pattFill prst="wdUpDiag">
              <a:fgClr>
                <a:srgbClr val="0070C0"/>
              </a:fgClr>
              <a:bgClr>
                <a:prstClr val="white"/>
              </a:bgClr>
            </a:pattFill>
            <a:ln>
              <a:solidFill>
                <a:sysClr val="windowText" lastClr="000000"/>
              </a:solidFill>
            </a:ln>
          </c:spPr>
          <c:invertIfNegative val="0"/>
          <c:errBars>
            <c:errBarType val="both"/>
            <c:errValType val="cust"/>
            <c:noEndCap val="0"/>
            <c:plus>
              <c:numRef>
                <c:f>('HF Flexure'!$N$4,'HF Flexure'!$N$10,'HF Flexure'!$N$16,'HF Flexure'!$N$22)</c:f>
                <c:numCache>
                  <c:formatCode>General</c:formatCode>
                  <c:ptCount val="4"/>
                  <c:pt idx="0">
                    <c:v>46.478</c:v>
                  </c:pt>
                  <c:pt idx="1">
                    <c:v>55.565</c:v>
                  </c:pt>
                  <c:pt idx="2">
                    <c:v>39.495</c:v>
                  </c:pt>
                  <c:pt idx="3">
                    <c:v>52.922</c:v>
                  </c:pt>
                </c:numCache>
              </c:numRef>
            </c:plus>
            <c:minus>
              <c:numRef>
                <c:f>('HF Flexure'!$N$4,'HF Flexure'!$N$10,'HF Flexure'!$N$16,'HF Flexure'!$N$22)</c:f>
                <c:numCache>
                  <c:formatCode>General</c:formatCode>
                  <c:ptCount val="4"/>
                  <c:pt idx="0">
                    <c:v>46.478</c:v>
                  </c:pt>
                  <c:pt idx="1">
                    <c:v>55.565</c:v>
                  </c:pt>
                  <c:pt idx="2">
                    <c:v>39.495</c:v>
                  </c:pt>
                  <c:pt idx="3">
                    <c:v>52.922</c:v>
                  </c:pt>
                </c:numCache>
              </c:numRef>
            </c:minus>
            <c:spPr>
              <a:ln w="15875">
                <a:solidFill>
                  <a:sysClr val="windowText" lastClr="000000"/>
                </a:solidFill>
              </a:ln>
            </c:spPr>
          </c:errBars>
          <c:cat>
            <c:strRef>
              <c:f>('HF Flexure'!$A$3,'HF Flexure'!$A$9,'HF Flexure'!$A$15,'HF Flexure'!$A$21)</c:f>
              <c:strCache>
                <c:ptCount val="4"/>
                <c:pt idx="0">
                  <c:v>2% RH</c:v>
                </c:pt>
                <c:pt idx="1">
                  <c:v>40% RH</c:v>
                </c:pt>
                <c:pt idx="2">
                  <c:v>70% RH</c:v>
                </c:pt>
                <c:pt idx="3">
                  <c:v>99% RH</c:v>
                </c:pt>
              </c:strCache>
            </c:strRef>
          </c:cat>
          <c:val>
            <c:numRef>
              <c:f>('HF Flexure'!$L$4,'HF Flexure'!$L$10,'HF Flexure'!$L$16,'HF Flexure'!$L$22)</c:f>
              <c:numCache>
                <c:formatCode>0.00</c:formatCode>
                <c:ptCount val="4"/>
                <c:pt idx="0">
                  <c:v>655.424</c:v>
                </c:pt>
                <c:pt idx="1">
                  <c:v>616.384</c:v>
                </c:pt>
                <c:pt idx="2">
                  <c:v>571.974</c:v>
                </c:pt>
                <c:pt idx="3">
                  <c:v>560.340999999998</c:v>
                </c:pt>
              </c:numCache>
            </c:numRef>
          </c:val>
        </c:ser>
        <c:ser>
          <c:idx val="5"/>
          <c:order val="2"/>
          <c:tx>
            <c:v>207 kPa, Dry</c:v>
          </c:tx>
          <c:spPr>
            <a:solidFill>
              <a:srgbClr val="C00000"/>
            </a:solidFill>
            <a:ln>
              <a:solidFill>
                <a:sysClr val="windowText" lastClr="000000"/>
              </a:solidFill>
            </a:ln>
          </c:spPr>
          <c:invertIfNegative val="0"/>
          <c:errBars>
            <c:errBarType val="both"/>
            <c:errValType val="cust"/>
            <c:noEndCap val="0"/>
            <c:plus>
              <c:numRef>
                <c:f>('Dry Flexure'!$N$5,'Dry Flexure'!$N$11,'Dry Flexure'!$N$17,'Dry Flexure'!$N$23)</c:f>
                <c:numCache>
                  <c:formatCode>General</c:formatCode>
                  <c:ptCount val="4"/>
                  <c:pt idx="0">
                    <c:v>14.323</c:v>
                  </c:pt>
                  <c:pt idx="1">
                    <c:v>42.29700000000001</c:v>
                  </c:pt>
                  <c:pt idx="2">
                    <c:v>61.854</c:v>
                  </c:pt>
                  <c:pt idx="3">
                    <c:v>23.258</c:v>
                  </c:pt>
                </c:numCache>
              </c:numRef>
            </c:plus>
            <c:minus>
              <c:numRef>
                <c:f>('Dry Flexure'!$N$5,'Dry Flexure'!$N$11,'Dry Flexure'!$N$17,'Dry Flexure'!$N$23)</c:f>
                <c:numCache>
                  <c:formatCode>General</c:formatCode>
                  <c:ptCount val="4"/>
                  <c:pt idx="0">
                    <c:v>14.323</c:v>
                  </c:pt>
                  <c:pt idx="1">
                    <c:v>42.29700000000001</c:v>
                  </c:pt>
                  <c:pt idx="2">
                    <c:v>61.854</c:v>
                  </c:pt>
                  <c:pt idx="3">
                    <c:v>23.258</c:v>
                  </c:pt>
                </c:numCache>
              </c:numRef>
            </c:minus>
            <c:spPr>
              <a:ln w="15875"/>
            </c:spPr>
          </c:errBars>
          <c:val>
            <c:numRef>
              <c:f>('Dry Flexure'!$L$5,'Dry Flexure'!$L$11,'Dry Flexure'!$L$17,'Dry Flexure'!$L$23)</c:f>
              <c:numCache>
                <c:formatCode>0.00</c:formatCode>
                <c:ptCount val="4"/>
                <c:pt idx="0">
                  <c:v>763.1559999999994</c:v>
                </c:pt>
                <c:pt idx="1">
                  <c:v>868.074</c:v>
                </c:pt>
                <c:pt idx="2">
                  <c:v>773.835999999998</c:v>
                </c:pt>
                <c:pt idx="3">
                  <c:v>683.8969999999994</c:v>
                </c:pt>
              </c:numCache>
            </c:numRef>
          </c:val>
        </c:ser>
        <c:ser>
          <c:idx val="1"/>
          <c:order val="3"/>
          <c:tx>
            <c:v>207 kPa, HF</c:v>
          </c:tx>
          <c:spPr>
            <a:pattFill prst="wdUpDiag">
              <a:fgClr>
                <a:srgbClr val="C00000"/>
              </a:fgClr>
              <a:bgClr>
                <a:prstClr val="white"/>
              </a:bgClr>
            </a:pattFill>
            <a:ln>
              <a:solidFill>
                <a:sysClr val="windowText" lastClr="000000"/>
              </a:solidFill>
            </a:ln>
          </c:spPr>
          <c:invertIfNegative val="0"/>
          <c:errBars>
            <c:errBarType val="both"/>
            <c:errValType val="cust"/>
            <c:noEndCap val="0"/>
            <c:plus>
              <c:numRef>
                <c:f>('HF Flexure'!$N$5,'HF Flexure'!$N$11,'HF Flexure'!$N$17,'HF Flexure'!$N$23)</c:f>
                <c:numCache>
                  <c:formatCode>General</c:formatCode>
                  <c:ptCount val="4"/>
                  <c:pt idx="0">
                    <c:v>29.934</c:v>
                  </c:pt>
                  <c:pt idx="1">
                    <c:v>28.839</c:v>
                  </c:pt>
                  <c:pt idx="2">
                    <c:v>47.482</c:v>
                  </c:pt>
                  <c:pt idx="3">
                    <c:v>38.10400000000001</c:v>
                  </c:pt>
                </c:numCache>
              </c:numRef>
            </c:plus>
            <c:minus>
              <c:numRef>
                <c:f>('HF Flexure'!$N$5,'HF Flexure'!$N$11,'HF Flexure'!$N$17,'HF Flexure'!$N$23)</c:f>
                <c:numCache>
                  <c:formatCode>General</c:formatCode>
                  <c:ptCount val="4"/>
                  <c:pt idx="0">
                    <c:v>29.934</c:v>
                  </c:pt>
                  <c:pt idx="1">
                    <c:v>28.839</c:v>
                  </c:pt>
                  <c:pt idx="2">
                    <c:v>47.482</c:v>
                  </c:pt>
                  <c:pt idx="3">
                    <c:v>38.10400000000001</c:v>
                  </c:pt>
                </c:numCache>
              </c:numRef>
            </c:minus>
            <c:spPr>
              <a:ln w="15875">
                <a:solidFill>
                  <a:sysClr val="windowText" lastClr="000000"/>
                </a:solidFill>
              </a:ln>
            </c:spPr>
          </c:errBars>
          <c:cat>
            <c:strRef>
              <c:f>('HF Flexure'!$A$3,'HF Flexure'!$A$9,'HF Flexure'!$A$15,'HF Flexure'!$A$21)</c:f>
              <c:strCache>
                <c:ptCount val="4"/>
                <c:pt idx="0">
                  <c:v>2% RH</c:v>
                </c:pt>
                <c:pt idx="1">
                  <c:v>40% RH</c:v>
                </c:pt>
                <c:pt idx="2">
                  <c:v>70% RH</c:v>
                </c:pt>
                <c:pt idx="3">
                  <c:v>99% RH</c:v>
                </c:pt>
              </c:strCache>
            </c:strRef>
          </c:cat>
          <c:val>
            <c:numRef>
              <c:f>('HF Flexure'!$L$5,'HF Flexure'!$L$11,'HF Flexure'!$L$17,'HF Flexure'!$L$23)</c:f>
              <c:numCache>
                <c:formatCode>0.00</c:formatCode>
                <c:ptCount val="4"/>
                <c:pt idx="0">
                  <c:v>725.3319999999976</c:v>
                </c:pt>
                <c:pt idx="1">
                  <c:v>771.033</c:v>
                </c:pt>
                <c:pt idx="2">
                  <c:v>688.565999999998</c:v>
                </c:pt>
                <c:pt idx="3">
                  <c:v>618.455999999998</c:v>
                </c:pt>
              </c:numCache>
            </c:numRef>
          </c:val>
        </c:ser>
        <c:ser>
          <c:idx val="6"/>
          <c:order val="4"/>
          <c:tx>
            <c:v>345 kPa, Dry</c:v>
          </c:tx>
          <c:spPr>
            <a:solidFill>
              <a:srgbClr val="00B050"/>
            </a:solidFill>
            <a:ln>
              <a:solidFill>
                <a:sysClr val="windowText" lastClr="000000"/>
              </a:solidFill>
            </a:ln>
          </c:spPr>
          <c:invertIfNegative val="0"/>
          <c:errBars>
            <c:errBarType val="both"/>
            <c:errValType val="cust"/>
            <c:noEndCap val="0"/>
            <c:plus>
              <c:numRef>
                <c:f>('Dry Flexure'!$N$6,'Dry Flexure'!$N$12,'Dry Flexure'!$N$18,'Dry Flexure'!$N$24)</c:f>
                <c:numCache>
                  <c:formatCode>General</c:formatCode>
                  <c:ptCount val="4"/>
                  <c:pt idx="0">
                    <c:v>17.29799999999999</c:v>
                  </c:pt>
                  <c:pt idx="1">
                    <c:v>25.55099999999999</c:v>
                  </c:pt>
                  <c:pt idx="2">
                    <c:v>26.185</c:v>
                  </c:pt>
                  <c:pt idx="3">
                    <c:v>28.371</c:v>
                  </c:pt>
                </c:numCache>
              </c:numRef>
            </c:plus>
            <c:minus>
              <c:numRef>
                <c:f>('Dry Flexure'!$N$6,'Dry Flexure'!$N$12,'Dry Flexure'!$N$18,'Dry Flexure'!$N$24)</c:f>
                <c:numCache>
                  <c:formatCode>General</c:formatCode>
                  <c:ptCount val="4"/>
                  <c:pt idx="0">
                    <c:v>17.29799999999999</c:v>
                  </c:pt>
                  <c:pt idx="1">
                    <c:v>25.55099999999999</c:v>
                  </c:pt>
                  <c:pt idx="2">
                    <c:v>26.185</c:v>
                  </c:pt>
                  <c:pt idx="3">
                    <c:v>28.371</c:v>
                  </c:pt>
                </c:numCache>
              </c:numRef>
            </c:minus>
            <c:spPr>
              <a:ln w="15875"/>
            </c:spPr>
          </c:errBars>
          <c:val>
            <c:numRef>
              <c:f>('Dry Flexure'!$L$6,'Dry Flexure'!$L$12,'Dry Flexure'!$L$18,'Dry Flexure'!$L$24)</c:f>
              <c:numCache>
                <c:formatCode>0.00</c:formatCode>
                <c:ptCount val="4"/>
                <c:pt idx="0">
                  <c:v>797.857999999997</c:v>
                </c:pt>
                <c:pt idx="1">
                  <c:v>779.784</c:v>
                </c:pt>
                <c:pt idx="2">
                  <c:v>852.993</c:v>
                </c:pt>
                <c:pt idx="3">
                  <c:v>741.683</c:v>
                </c:pt>
              </c:numCache>
            </c:numRef>
          </c:val>
        </c:ser>
        <c:ser>
          <c:idx val="2"/>
          <c:order val="5"/>
          <c:tx>
            <c:v>345 kPa, HF</c:v>
          </c:tx>
          <c:spPr>
            <a:pattFill prst="wdUpDiag">
              <a:fgClr>
                <a:srgbClr val="00B050"/>
              </a:fgClr>
              <a:bgClr>
                <a:prstClr val="white"/>
              </a:bgClr>
            </a:pattFill>
            <a:ln>
              <a:solidFill>
                <a:sysClr val="windowText" lastClr="000000"/>
              </a:solidFill>
            </a:ln>
          </c:spPr>
          <c:invertIfNegative val="0"/>
          <c:errBars>
            <c:errBarType val="both"/>
            <c:errValType val="cust"/>
            <c:noEndCap val="0"/>
            <c:plus>
              <c:numRef>
                <c:f>('HF Flexure'!$N$6,'HF Flexure'!$N$12,'HF Flexure'!$N$18,'HF Flexure'!$N$24)</c:f>
                <c:numCache>
                  <c:formatCode>General</c:formatCode>
                  <c:ptCount val="4"/>
                  <c:pt idx="0">
                    <c:v>37.823</c:v>
                  </c:pt>
                  <c:pt idx="1">
                    <c:v>52.71800000000001</c:v>
                  </c:pt>
                  <c:pt idx="2">
                    <c:v>51.33300000000001</c:v>
                  </c:pt>
                  <c:pt idx="3">
                    <c:v>41.611</c:v>
                  </c:pt>
                </c:numCache>
              </c:numRef>
            </c:plus>
            <c:minus>
              <c:numRef>
                <c:f>('HF Flexure'!$N$6,'HF Flexure'!$N$12,'HF Flexure'!$N$18,'HF Flexure'!$N$24)</c:f>
                <c:numCache>
                  <c:formatCode>General</c:formatCode>
                  <c:ptCount val="4"/>
                  <c:pt idx="0">
                    <c:v>37.823</c:v>
                  </c:pt>
                  <c:pt idx="1">
                    <c:v>52.71800000000001</c:v>
                  </c:pt>
                  <c:pt idx="2">
                    <c:v>51.33300000000001</c:v>
                  </c:pt>
                  <c:pt idx="3">
                    <c:v>41.611</c:v>
                  </c:pt>
                </c:numCache>
              </c:numRef>
            </c:minus>
            <c:spPr>
              <a:ln w="15875">
                <a:solidFill>
                  <a:sysClr val="windowText" lastClr="000000"/>
                </a:solidFill>
              </a:ln>
            </c:spPr>
          </c:errBars>
          <c:cat>
            <c:strRef>
              <c:f>('HF Flexure'!$A$3,'HF Flexure'!$A$9,'HF Flexure'!$A$15,'HF Flexure'!$A$21)</c:f>
              <c:strCache>
                <c:ptCount val="4"/>
                <c:pt idx="0">
                  <c:v>2% RH</c:v>
                </c:pt>
                <c:pt idx="1">
                  <c:v>40% RH</c:v>
                </c:pt>
                <c:pt idx="2">
                  <c:v>70% RH</c:v>
                </c:pt>
                <c:pt idx="3">
                  <c:v>99% RH</c:v>
                </c:pt>
              </c:strCache>
            </c:strRef>
          </c:cat>
          <c:val>
            <c:numRef>
              <c:f>('HF Flexure'!$L$6,'HF Flexure'!$L$12,'HF Flexure'!$L$18,'HF Flexure'!$L$24)</c:f>
              <c:numCache>
                <c:formatCode>0.00</c:formatCode>
                <c:ptCount val="4"/>
                <c:pt idx="0">
                  <c:v>753.289</c:v>
                </c:pt>
                <c:pt idx="1">
                  <c:v>738.806999999998</c:v>
                </c:pt>
                <c:pt idx="2">
                  <c:v>755.779</c:v>
                </c:pt>
                <c:pt idx="3">
                  <c:v>680.59</c:v>
                </c:pt>
              </c:numCache>
            </c:numRef>
          </c:val>
        </c:ser>
        <c:ser>
          <c:idx val="7"/>
          <c:order val="6"/>
          <c:tx>
            <c:v>483 kPa, Dry</c:v>
          </c:tx>
          <c:spPr>
            <a:solidFill>
              <a:srgbClr val="7030A0"/>
            </a:solidFill>
            <a:ln>
              <a:solidFill>
                <a:sysClr val="windowText" lastClr="000000"/>
              </a:solidFill>
            </a:ln>
          </c:spPr>
          <c:invertIfNegative val="0"/>
          <c:errBars>
            <c:errBarType val="both"/>
            <c:errValType val="cust"/>
            <c:noEndCap val="0"/>
            <c:plus>
              <c:numRef>
                <c:f>('Dry Flexure'!$N$7,'Dry Flexure'!$N$13,'Dry Flexure'!$N$19,'Dry Flexure'!$N$25)</c:f>
                <c:numCache>
                  <c:formatCode>General</c:formatCode>
                  <c:ptCount val="4"/>
                  <c:pt idx="0">
                    <c:v>28.028</c:v>
                  </c:pt>
                  <c:pt idx="1">
                    <c:v>26.616</c:v>
                  </c:pt>
                  <c:pt idx="2">
                    <c:v>48.633</c:v>
                  </c:pt>
                  <c:pt idx="3">
                    <c:v>56.01600000000001</c:v>
                  </c:pt>
                </c:numCache>
              </c:numRef>
            </c:plus>
            <c:minus>
              <c:numRef>
                <c:f>('Dry Flexure'!$N$7,'Dry Flexure'!$N$13,'Dry Flexure'!$N$19,'Dry Flexure'!$N$25)</c:f>
                <c:numCache>
                  <c:formatCode>General</c:formatCode>
                  <c:ptCount val="4"/>
                  <c:pt idx="0">
                    <c:v>28.028</c:v>
                  </c:pt>
                  <c:pt idx="1">
                    <c:v>26.616</c:v>
                  </c:pt>
                  <c:pt idx="2">
                    <c:v>48.633</c:v>
                  </c:pt>
                  <c:pt idx="3">
                    <c:v>56.01600000000001</c:v>
                  </c:pt>
                </c:numCache>
              </c:numRef>
            </c:minus>
            <c:spPr>
              <a:ln w="15875"/>
            </c:spPr>
          </c:errBars>
          <c:val>
            <c:numRef>
              <c:f>('Dry Flexure'!$L$7,'Dry Flexure'!$L$13,'Dry Flexure'!$L$19,'Dry Flexure'!$L$25)</c:f>
              <c:numCache>
                <c:formatCode>0.00</c:formatCode>
                <c:ptCount val="4"/>
                <c:pt idx="0">
                  <c:v>818.0509999999994</c:v>
                </c:pt>
                <c:pt idx="1">
                  <c:v>967.325999999998</c:v>
                </c:pt>
                <c:pt idx="2">
                  <c:v>872.991</c:v>
                </c:pt>
                <c:pt idx="3">
                  <c:v>772.769</c:v>
                </c:pt>
              </c:numCache>
            </c:numRef>
          </c:val>
        </c:ser>
        <c:ser>
          <c:idx val="3"/>
          <c:order val="7"/>
          <c:tx>
            <c:v>483 kPa, HF</c:v>
          </c:tx>
          <c:spPr>
            <a:pattFill prst="wdUpDiag">
              <a:fgClr>
                <a:srgbClr val="7030A0"/>
              </a:fgClr>
              <a:bgClr>
                <a:prstClr val="white"/>
              </a:bgClr>
            </a:pattFill>
            <a:ln>
              <a:solidFill>
                <a:sysClr val="windowText" lastClr="000000"/>
              </a:solidFill>
            </a:ln>
          </c:spPr>
          <c:invertIfNegative val="0"/>
          <c:errBars>
            <c:errBarType val="both"/>
            <c:errValType val="cust"/>
            <c:noEndCap val="0"/>
            <c:plus>
              <c:numRef>
                <c:f>('HF Flexure'!$N$7,'HF Flexure'!$N$13,'HF Flexure'!$N$19,'HF Flexure'!$N$25)</c:f>
                <c:numCache>
                  <c:formatCode>General</c:formatCode>
                  <c:ptCount val="4"/>
                  <c:pt idx="0">
                    <c:v>38.262</c:v>
                  </c:pt>
                  <c:pt idx="1">
                    <c:v>32.03700000000001</c:v>
                  </c:pt>
                  <c:pt idx="2">
                    <c:v>50.302</c:v>
                  </c:pt>
                  <c:pt idx="3">
                    <c:v>29.664</c:v>
                  </c:pt>
                </c:numCache>
              </c:numRef>
            </c:plus>
            <c:minus>
              <c:numRef>
                <c:f>('HF Flexure'!$N$7,'HF Flexure'!$N$13,'HF Flexure'!$N$19,'HF Flexure'!$N$25)</c:f>
                <c:numCache>
                  <c:formatCode>General</c:formatCode>
                  <c:ptCount val="4"/>
                  <c:pt idx="0">
                    <c:v>38.262</c:v>
                  </c:pt>
                  <c:pt idx="1">
                    <c:v>32.03700000000001</c:v>
                  </c:pt>
                  <c:pt idx="2">
                    <c:v>50.302</c:v>
                  </c:pt>
                  <c:pt idx="3">
                    <c:v>29.664</c:v>
                  </c:pt>
                </c:numCache>
              </c:numRef>
            </c:minus>
            <c:spPr>
              <a:ln w="15875">
                <a:solidFill>
                  <a:sysClr val="windowText" lastClr="000000"/>
                </a:solidFill>
              </a:ln>
            </c:spPr>
          </c:errBars>
          <c:cat>
            <c:strRef>
              <c:f>('HF Flexure'!$A$3,'HF Flexure'!$A$9,'HF Flexure'!$A$15,'HF Flexure'!$A$21)</c:f>
              <c:strCache>
                <c:ptCount val="4"/>
                <c:pt idx="0">
                  <c:v>2% RH</c:v>
                </c:pt>
                <c:pt idx="1">
                  <c:v>40% RH</c:v>
                </c:pt>
                <c:pt idx="2">
                  <c:v>70% RH</c:v>
                </c:pt>
                <c:pt idx="3">
                  <c:v>99% RH</c:v>
                </c:pt>
              </c:strCache>
            </c:strRef>
          </c:cat>
          <c:val>
            <c:numRef>
              <c:f>('HF Flexure'!$L$7,'HF Flexure'!$L$13,'HF Flexure'!$L$19,'HF Flexure'!$L$25)</c:f>
              <c:numCache>
                <c:formatCode>0.00</c:formatCode>
                <c:ptCount val="4"/>
                <c:pt idx="0">
                  <c:v>827.436999999998</c:v>
                </c:pt>
                <c:pt idx="1">
                  <c:v>829.1619999999981</c:v>
                </c:pt>
                <c:pt idx="2">
                  <c:v>777.24</c:v>
                </c:pt>
                <c:pt idx="3">
                  <c:v>703.025</c:v>
                </c:pt>
              </c:numCache>
            </c:numRef>
          </c:val>
        </c:ser>
        <c:dLbls>
          <c:showLegendKey val="0"/>
          <c:showVal val="0"/>
          <c:showCatName val="0"/>
          <c:showSerName val="0"/>
          <c:showPercent val="0"/>
          <c:showBubbleSize val="0"/>
        </c:dLbls>
        <c:gapWidth val="150"/>
        <c:axId val="512797128"/>
        <c:axId val="512803144"/>
      </c:barChart>
      <c:catAx>
        <c:axId val="512797128"/>
        <c:scaling>
          <c:orientation val="minMax"/>
        </c:scaling>
        <c:delete val="0"/>
        <c:axPos val="b"/>
        <c:title>
          <c:tx>
            <c:rich>
              <a:bodyPr/>
              <a:lstStyle/>
              <a:p>
                <a:pPr>
                  <a:defRPr/>
                </a:pPr>
                <a:r>
                  <a:rPr lang="en-US"/>
                  <a:t>Relative</a:t>
                </a:r>
                <a:r>
                  <a:rPr lang="en-US" baseline="0"/>
                  <a:t> Humidity Conditioning Level</a:t>
                </a:r>
                <a:endParaRPr lang="en-US"/>
              </a:p>
            </c:rich>
          </c:tx>
          <c:overlay val="0"/>
        </c:title>
        <c:majorTickMark val="cross"/>
        <c:minorTickMark val="none"/>
        <c:tickLblPos val="nextTo"/>
        <c:spPr>
          <a:ln>
            <a:solidFill>
              <a:sysClr val="windowText" lastClr="000000"/>
            </a:solidFill>
          </a:ln>
        </c:spPr>
        <c:crossAx val="512803144"/>
        <c:crosses val="autoZero"/>
        <c:auto val="1"/>
        <c:lblAlgn val="ctr"/>
        <c:lblOffset val="100"/>
        <c:noMultiLvlLbl val="0"/>
      </c:catAx>
      <c:valAx>
        <c:axId val="512803144"/>
        <c:scaling>
          <c:orientation val="minMax"/>
          <c:max val="1400.0"/>
          <c:min val="0.0"/>
        </c:scaling>
        <c:delete val="0"/>
        <c:axPos val="l"/>
        <c:title>
          <c:tx>
            <c:rich>
              <a:bodyPr rot="-5400000" vert="horz"/>
              <a:lstStyle/>
              <a:p>
                <a:pPr>
                  <a:defRPr/>
                </a:pPr>
                <a:r>
                  <a:rPr lang="en-US"/>
                  <a:t>Flexural Strength (MPa)</a:t>
                </a:r>
              </a:p>
            </c:rich>
          </c:tx>
          <c:overlay val="0"/>
        </c:title>
        <c:numFmt formatCode="0" sourceLinked="0"/>
        <c:majorTickMark val="out"/>
        <c:minorTickMark val="in"/>
        <c:tickLblPos val="nextTo"/>
        <c:spPr>
          <a:ln w="12700" cmpd="sng">
            <a:solidFill>
              <a:sysClr val="windowText" lastClr="000000"/>
            </a:solidFill>
          </a:ln>
        </c:spPr>
        <c:crossAx val="512797128"/>
        <c:crosses val="autoZero"/>
        <c:crossBetween val="between"/>
        <c:majorUnit val="300.0"/>
        <c:minorUnit val="50.0"/>
      </c:valAx>
      <c:spPr>
        <a:ln w="12700">
          <a:solidFill>
            <a:sysClr val="windowText" lastClr="000000"/>
          </a:solidFill>
        </a:ln>
      </c:spPr>
    </c:plotArea>
    <c:legend>
      <c:legendPos val="r"/>
      <c:layout>
        <c:manualLayout>
          <c:xMode val="edge"/>
          <c:yMode val="edge"/>
          <c:x val="0.632855479929416"/>
          <c:y val="0.0361759325538853"/>
          <c:w val="0.338895932499963"/>
          <c:h val="0.215526922771017"/>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7976630039889"/>
          <c:y val="0.0398989898989899"/>
          <c:w val="0.675199445408307"/>
          <c:h val="0.752256637003257"/>
        </c:manualLayout>
      </c:layout>
      <c:scatterChart>
        <c:scatterStyle val="lineMarker"/>
        <c:varyColors val="0"/>
        <c:ser>
          <c:idx val="0"/>
          <c:order val="0"/>
          <c:tx>
            <c:v>69 kPa</c:v>
          </c:tx>
          <c:spPr>
            <a:ln w="28575">
              <a:noFill/>
            </a:ln>
          </c:spPr>
          <c:marker>
            <c:symbol val="square"/>
            <c:size val="7"/>
            <c:spPr>
              <a:solidFill>
                <a:srgbClr val="0070C0">
                  <a:alpha val="50000"/>
                </a:srgbClr>
              </a:solidFill>
              <a:ln w="12700">
                <a:solidFill>
                  <a:schemeClr val="tx1"/>
                </a:solidFill>
              </a:ln>
            </c:spPr>
          </c:marker>
          <c:xVal>
            <c:numLit>
              <c:formatCode>General</c:formatCode>
              <c:ptCount val="4"/>
              <c:pt idx="0">
                <c:v>2.0</c:v>
              </c:pt>
              <c:pt idx="1">
                <c:v>40.0</c:v>
              </c:pt>
              <c:pt idx="2">
                <c:v>70.0</c:v>
              </c:pt>
              <c:pt idx="3">
                <c:v>99.0</c:v>
              </c:pt>
            </c:numLit>
          </c:xVal>
          <c:yVal>
            <c:numRef>
              <c:f>'HF Flexure'!$L$60:$L$63</c:f>
              <c:numCache>
                <c:formatCode>0.0%</c:formatCode>
                <c:ptCount val="4"/>
                <c:pt idx="0">
                  <c:v>0.088</c:v>
                </c:pt>
                <c:pt idx="1">
                  <c:v>0.035</c:v>
                </c:pt>
                <c:pt idx="2">
                  <c:v>0.021</c:v>
                </c:pt>
                <c:pt idx="3">
                  <c:v>0.015</c:v>
                </c:pt>
              </c:numCache>
            </c:numRef>
          </c:yVal>
          <c:smooth val="0"/>
        </c:ser>
        <c:ser>
          <c:idx val="1"/>
          <c:order val="1"/>
          <c:tx>
            <c:v>207 kPa</c:v>
          </c:tx>
          <c:spPr>
            <a:ln w="28575">
              <a:noFill/>
            </a:ln>
          </c:spPr>
          <c:marker>
            <c:symbol val="circle"/>
            <c:size val="7"/>
            <c:spPr>
              <a:solidFill>
                <a:srgbClr val="C00000">
                  <a:alpha val="50000"/>
                </a:srgbClr>
              </a:solidFill>
              <a:ln w="12700">
                <a:solidFill>
                  <a:sysClr val="windowText" lastClr="000000"/>
                </a:solidFill>
              </a:ln>
            </c:spPr>
          </c:marker>
          <c:xVal>
            <c:numLit>
              <c:formatCode>General</c:formatCode>
              <c:ptCount val="4"/>
              <c:pt idx="0">
                <c:v>2.0</c:v>
              </c:pt>
              <c:pt idx="1">
                <c:v>40.0</c:v>
              </c:pt>
              <c:pt idx="2">
                <c:v>70.0</c:v>
              </c:pt>
              <c:pt idx="3">
                <c:v>99.0</c:v>
              </c:pt>
            </c:numLit>
          </c:xVal>
          <c:yVal>
            <c:numRef>
              <c:f>'HF Flexure'!$N$60:$N$63</c:f>
              <c:numCache>
                <c:formatCode>0.0%</c:formatCode>
                <c:ptCount val="4"/>
                <c:pt idx="0">
                  <c:v>0.047</c:v>
                </c:pt>
                <c:pt idx="1">
                  <c:v>0.047</c:v>
                </c:pt>
                <c:pt idx="2">
                  <c:v>0.005</c:v>
                </c:pt>
                <c:pt idx="3">
                  <c:v>0.01</c:v>
                </c:pt>
              </c:numCache>
            </c:numRef>
          </c:yVal>
          <c:smooth val="0"/>
        </c:ser>
        <c:ser>
          <c:idx val="2"/>
          <c:order val="2"/>
          <c:tx>
            <c:v>345 kPa</c:v>
          </c:tx>
          <c:spPr>
            <a:ln w="28575">
              <a:noFill/>
            </a:ln>
          </c:spPr>
          <c:marker>
            <c:symbol val="triangle"/>
            <c:size val="7"/>
            <c:spPr>
              <a:solidFill>
                <a:srgbClr val="00B050">
                  <a:alpha val="50000"/>
                </a:srgbClr>
              </a:solidFill>
              <a:ln w="12700">
                <a:solidFill>
                  <a:schemeClr val="tx1"/>
                </a:solidFill>
              </a:ln>
            </c:spPr>
          </c:marker>
          <c:xVal>
            <c:numLit>
              <c:formatCode>General</c:formatCode>
              <c:ptCount val="4"/>
              <c:pt idx="0">
                <c:v>2.0</c:v>
              </c:pt>
              <c:pt idx="1">
                <c:v>40.0</c:v>
              </c:pt>
              <c:pt idx="2">
                <c:v>70.0</c:v>
              </c:pt>
              <c:pt idx="3">
                <c:v>99.0</c:v>
              </c:pt>
            </c:numLit>
          </c:xVal>
          <c:yVal>
            <c:numRef>
              <c:f>'HF Flexure'!$P$60:$P$63</c:f>
              <c:numCache>
                <c:formatCode>0.0%</c:formatCode>
                <c:ptCount val="4"/>
                <c:pt idx="0">
                  <c:v>0.01</c:v>
                </c:pt>
                <c:pt idx="1">
                  <c:v>0.013</c:v>
                </c:pt>
                <c:pt idx="2">
                  <c:v>0.023</c:v>
                </c:pt>
                <c:pt idx="3">
                  <c:v>0.041</c:v>
                </c:pt>
              </c:numCache>
            </c:numRef>
          </c:yVal>
          <c:smooth val="0"/>
        </c:ser>
        <c:ser>
          <c:idx val="3"/>
          <c:order val="3"/>
          <c:tx>
            <c:v>483 kPa</c:v>
          </c:tx>
          <c:spPr>
            <a:ln w="28575">
              <a:noFill/>
            </a:ln>
          </c:spPr>
          <c:marker>
            <c:symbol val="x"/>
            <c:size val="7"/>
            <c:spPr>
              <a:noFill/>
              <a:ln w="25400">
                <a:solidFill>
                  <a:srgbClr val="7030A0"/>
                </a:solidFill>
              </a:ln>
            </c:spPr>
          </c:marker>
          <c:xVal>
            <c:numLit>
              <c:formatCode>General</c:formatCode>
              <c:ptCount val="4"/>
              <c:pt idx="0">
                <c:v>2.0</c:v>
              </c:pt>
              <c:pt idx="1">
                <c:v>40.0</c:v>
              </c:pt>
              <c:pt idx="2">
                <c:v>70.0</c:v>
              </c:pt>
              <c:pt idx="3">
                <c:v>99.0</c:v>
              </c:pt>
            </c:numLit>
          </c:xVal>
          <c:yVal>
            <c:numRef>
              <c:f>'HF Flexure'!$R$60:$R$63</c:f>
              <c:numCache>
                <c:formatCode>0.0%</c:formatCode>
                <c:ptCount val="4"/>
                <c:pt idx="0">
                  <c:v>0.03</c:v>
                </c:pt>
                <c:pt idx="1">
                  <c:v>0.029</c:v>
                </c:pt>
                <c:pt idx="2">
                  <c:v>0.039</c:v>
                </c:pt>
                <c:pt idx="3">
                  <c:v>0.022</c:v>
                </c:pt>
              </c:numCache>
            </c:numRef>
          </c:yVal>
          <c:smooth val="0"/>
        </c:ser>
        <c:dLbls>
          <c:showLegendKey val="0"/>
          <c:showVal val="0"/>
          <c:showCatName val="0"/>
          <c:showSerName val="0"/>
          <c:showPercent val="0"/>
          <c:showBubbleSize val="0"/>
        </c:dLbls>
        <c:axId val="512830824"/>
        <c:axId val="512838440"/>
      </c:scatterChart>
      <c:valAx>
        <c:axId val="512830824"/>
        <c:scaling>
          <c:orientation val="minMax"/>
          <c:max val="100.0"/>
          <c:min val="0.0"/>
        </c:scaling>
        <c:delete val="0"/>
        <c:axPos val="b"/>
        <c:title>
          <c:tx>
            <c:rich>
              <a:bodyPr/>
              <a:lstStyle/>
              <a:p>
                <a:pPr>
                  <a:defRPr/>
                </a:pPr>
                <a:r>
                  <a:rPr lang="en-US"/>
                  <a:t>Humidity Exposure (% RH)</a:t>
                </a:r>
              </a:p>
            </c:rich>
          </c:tx>
          <c:overlay val="0"/>
        </c:title>
        <c:numFmt formatCode="#,##0" sourceLinked="0"/>
        <c:majorTickMark val="out"/>
        <c:minorTickMark val="in"/>
        <c:tickLblPos val="nextTo"/>
        <c:spPr>
          <a:ln w="12700" cmpd="sng">
            <a:solidFill>
              <a:sysClr val="windowText" lastClr="000000"/>
            </a:solidFill>
          </a:ln>
        </c:spPr>
        <c:txPr>
          <a:bodyPr rot="0" vert="horz"/>
          <a:lstStyle/>
          <a:p>
            <a:pPr>
              <a:defRPr/>
            </a:pPr>
            <a:endParaRPr lang="en-US"/>
          </a:p>
        </c:txPr>
        <c:crossAx val="512838440"/>
        <c:crosses val="autoZero"/>
        <c:crossBetween val="midCat"/>
        <c:majorUnit val="20.0"/>
        <c:minorUnit val="5.0"/>
      </c:valAx>
      <c:valAx>
        <c:axId val="512838440"/>
        <c:scaling>
          <c:orientation val="minMax"/>
          <c:max val="0.11"/>
          <c:min val="0.0"/>
        </c:scaling>
        <c:delete val="0"/>
        <c:axPos val="l"/>
        <c:title>
          <c:tx>
            <c:rich>
              <a:bodyPr rot="-5400000" vert="horz"/>
              <a:lstStyle/>
              <a:p>
                <a:pPr>
                  <a:defRPr/>
                </a:pPr>
                <a:r>
                  <a:rPr lang="en-US"/>
                  <a:t>Stiffness Percent Reduction</a:t>
                </a:r>
              </a:p>
            </c:rich>
          </c:tx>
          <c:overlay val="0"/>
        </c:title>
        <c:numFmt formatCode="0%" sourceLinked="0"/>
        <c:majorTickMark val="out"/>
        <c:minorTickMark val="in"/>
        <c:tickLblPos val="nextTo"/>
        <c:spPr>
          <a:ln w="12700" cmpd="sng">
            <a:solidFill>
              <a:sysClr val="windowText" lastClr="000000"/>
            </a:solidFill>
          </a:ln>
        </c:spPr>
        <c:crossAx val="512830824"/>
        <c:crosses val="autoZero"/>
        <c:crossBetween val="midCat"/>
        <c:minorUnit val="0.005"/>
      </c:valAx>
      <c:spPr>
        <a:ln w="12700" cmpd="sng">
          <a:solidFill>
            <a:sysClr val="windowText" lastClr="000000"/>
          </a:solidFill>
        </a:ln>
      </c:spPr>
    </c:plotArea>
    <c:legend>
      <c:legendPos val="r"/>
      <c:layout>
        <c:manualLayout>
          <c:xMode val="edge"/>
          <c:yMode val="edge"/>
          <c:x val="0.67908640657206"/>
          <c:y val="0.0468116837921687"/>
          <c:w val="0.235230659726856"/>
          <c:h val="0.225252555782957"/>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7976630039889"/>
          <c:y val="0.0398989898989899"/>
          <c:w val="0.675199445408307"/>
          <c:h val="0.752256637003257"/>
        </c:manualLayout>
      </c:layout>
      <c:scatterChart>
        <c:scatterStyle val="lineMarker"/>
        <c:varyColors val="0"/>
        <c:ser>
          <c:idx val="0"/>
          <c:order val="0"/>
          <c:tx>
            <c:v>69 kPa</c:v>
          </c:tx>
          <c:spPr>
            <a:ln w="28575">
              <a:noFill/>
            </a:ln>
          </c:spPr>
          <c:marker>
            <c:symbol val="square"/>
            <c:size val="7"/>
            <c:spPr>
              <a:solidFill>
                <a:srgbClr val="0070C0">
                  <a:alpha val="50000"/>
                </a:srgbClr>
              </a:solidFill>
              <a:ln w="12700">
                <a:solidFill>
                  <a:schemeClr val="tx1"/>
                </a:solidFill>
              </a:ln>
            </c:spPr>
          </c:marker>
          <c:xVal>
            <c:numLit>
              <c:formatCode>General</c:formatCode>
              <c:ptCount val="4"/>
              <c:pt idx="0">
                <c:v>2.0</c:v>
              </c:pt>
              <c:pt idx="1">
                <c:v>40.0</c:v>
              </c:pt>
              <c:pt idx="2">
                <c:v>70.0</c:v>
              </c:pt>
              <c:pt idx="3">
                <c:v>99.0</c:v>
              </c:pt>
            </c:numLit>
          </c:xVal>
          <c:yVal>
            <c:numRef>
              <c:f>'HF Flexure'!$L$66:$L$69</c:f>
              <c:numCache>
                <c:formatCode>0.0%</c:formatCode>
                <c:ptCount val="4"/>
                <c:pt idx="0">
                  <c:v>0.013</c:v>
                </c:pt>
                <c:pt idx="1">
                  <c:v>0.015</c:v>
                </c:pt>
                <c:pt idx="2">
                  <c:v>0.011</c:v>
                </c:pt>
                <c:pt idx="3">
                  <c:v>0.024</c:v>
                </c:pt>
              </c:numCache>
            </c:numRef>
          </c:yVal>
          <c:smooth val="0"/>
        </c:ser>
        <c:ser>
          <c:idx val="1"/>
          <c:order val="1"/>
          <c:tx>
            <c:v>207 kPa</c:v>
          </c:tx>
          <c:spPr>
            <a:ln w="28575">
              <a:noFill/>
            </a:ln>
          </c:spPr>
          <c:marker>
            <c:symbol val="circle"/>
            <c:size val="7"/>
            <c:spPr>
              <a:solidFill>
                <a:srgbClr val="C00000">
                  <a:alpha val="50000"/>
                </a:srgbClr>
              </a:solidFill>
              <a:ln w="12700">
                <a:solidFill>
                  <a:sysClr val="windowText" lastClr="000000"/>
                </a:solidFill>
              </a:ln>
            </c:spPr>
          </c:marker>
          <c:xVal>
            <c:numLit>
              <c:formatCode>General</c:formatCode>
              <c:ptCount val="4"/>
              <c:pt idx="0">
                <c:v>2.0</c:v>
              </c:pt>
              <c:pt idx="1">
                <c:v>40.0</c:v>
              </c:pt>
              <c:pt idx="2">
                <c:v>70.0</c:v>
              </c:pt>
              <c:pt idx="3">
                <c:v>99.0</c:v>
              </c:pt>
            </c:numLit>
          </c:xVal>
          <c:yVal>
            <c:numRef>
              <c:f>'HF Flexure'!$N$66:$N$69</c:f>
              <c:numCache>
                <c:formatCode>0.0%</c:formatCode>
                <c:ptCount val="4"/>
                <c:pt idx="0">
                  <c:v>0.016</c:v>
                </c:pt>
                <c:pt idx="1">
                  <c:v>0.018</c:v>
                </c:pt>
                <c:pt idx="2">
                  <c:v>0.0</c:v>
                </c:pt>
                <c:pt idx="3">
                  <c:v>0.046</c:v>
                </c:pt>
              </c:numCache>
            </c:numRef>
          </c:yVal>
          <c:smooth val="0"/>
        </c:ser>
        <c:ser>
          <c:idx val="2"/>
          <c:order val="2"/>
          <c:tx>
            <c:v>345 kPa</c:v>
          </c:tx>
          <c:spPr>
            <a:ln w="28575">
              <a:noFill/>
            </a:ln>
          </c:spPr>
          <c:marker>
            <c:symbol val="triangle"/>
            <c:size val="7"/>
            <c:spPr>
              <a:solidFill>
                <a:srgbClr val="00B050">
                  <a:alpha val="50000"/>
                </a:srgbClr>
              </a:solidFill>
              <a:ln w="12700">
                <a:solidFill>
                  <a:schemeClr val="tx1"/>
                </a:solidFill>
              </a:ln>
            </c:spPr>
          </c:marker>
          <c:xVal>
            <c:numLit>
              <c:formatCode>General</c:formatCode>
              <c:ptCount val="4"/>
              <c:pt idx="0">
                <c:v>2.0</c:v>
              </c:pt>
              <c:pt idx="1">
                <c:v>40.0</c:v>
              </c:pt>
              <c:pt idx="2">
                <c:v>70.0</c:v>
              </c:pt>
              <c:pt idx="3">
                <c:v>99.0</c:v>
              </c:pt>
            </c:numLit>
          </c:xVal>
          <c:yVal>
            <c:numRef>
              <c:f>'HF Flexure'!$P$66:$P$69</c:f>
              <c:numCache>
                <c:formatCode>0.0%</c:formatCode>
                <c:ptCount val="4"/>
                <c:pt idx="0">
                  <c:v>0.033</c:v>
                </c:pt>
                <c:pt idx="1">
                  <c:v>0.043</c:v>
                </c:pt>
                <c:pt idx="2">
                  <c:v>0.044</c:v>
                </c:pt>
                <c:pt idx="3">
                  <c:v>0.046</c:v>
                </c:pt>
              </c:numCache>
            </c:numRef>
          </c:yVal>
          <c:smooth val="0"/>
        </c:ser>
        <c:ser>
          <c:idx val="3"/>
          <c:order val="3"/>
          <c:tx>
            <c:v>483 kPa</c:v>
          </c:tx>
          <c:spPr>
            <a:ln w="28575">
              <a:noFill/>
            </a:ln>
          </c:spPr>
          <c:marker>
            <c:symbol val="x"/>
            <c:size val="7"/>
            <c:spPr>
              <a:noFill/>
              <a:ln w="25400">
                <a:solidFill>
                  <a:srgbClr val="7030A0"/>
                </a:solidFill>
              </a:ln>
            </c:spPr>
          </c:marker>
          <c:xVal>
            <c:numLit>
              <c:formatCode>General</c:formatCode>
              <c:ptCount val="4"/>
              <c:pt idx="0">
                <c:v>2.0</c:v>
              </c:pt>
              <c:pt idx="1">
                <c:v>40.0</c:v>
              </c:pt>
              <c:pt idx="2">
                <c:v>70.0</c:v>
              </c:pt>
              <c:pt idx="3">
                <c:v>99.0</c:v>
              </c:pt>
            </c:numLit>
          </c:xVal>
          <c:yVal>
            <c:numRef>
              <c:f>'HF Flexure'!$R$66:$R$69</c:f>
              <c:numCache>
                <c:formatCode>0.0%</c:formatCode>
                <c:ptCount val="4"/>
                <c:pt idx="0">
                  <c:v>0.051</c:v>
                </c:pt>
                <c:pt idx="1">
                  <c:v>0.038</c:v>
                </c:pt>
                <c:pt idx="2">
                  <c:v>0.044</c:v>
                </c:pt>
                <c:pt idx="3">
                  <c:v>0.049</c:v>
                </c:pt>
              </c:numCache>
            </c:numRef>
          </c:yVal>
          <c:smooth val="0"/>
        </c:ser>
        <c:dLbls>
          <c:showLegendKey val="0"/>
          <c:showVal val="0"/>
          <c:showCatName val="0"/>
          <c:showSerName val="0"/>
          <c:showPercent val="0"/>
          <c:showBubbleSize val="0"/>
        </c:dLbls>
        <c:axId val="512881000"/>
        <c:axId val="512888616"/>
      </c:scatterChart>
      <c:valAx>
        <c:axId val="512881000"/>
        <c:scaling>
          <c:orientation val="minMax"/>
          <c:max val="100.0"/>
          <c:min val="0.0"/>
        </c:scaling>
        <c:delete val="0"/>
        <c:axPos val="b"/>
        <c:title>
          <c:tx>
            <c:rich>
              <a:bodyPr/>
              <a:lstStyle/>
              <a:p>
                <a:pPr>
                  <a:defRPr/>
                </a:pPr>
                <a:r>
                  <a:rPr lang="en-US"/>
                  <a:t>Humidity Exposure (% RH)</a:t>
                </a:r>
              </a:p>
            </c:rich>
          </c:tx>
          <c:overlay val="0"/>
        </c:title>
        <c:numFmt formatCode="#,##0" sourceLinked="0"/>
        <c:majorTickMark val="out"/>
        <c:minorTickMark val="in"/>
        <c:tickLblPos val="nextTo"/>
        <c:spPr>
          <a:ln w="12700" cmpd="sng">
            <a:solidFill>
              <a:sysClr val="windowText" lastClr="000000"/>
            </a:solidFill>
          </a:ln>
        </c:spPr>
        <c:txPr>
          <a:bodyPr rot="0" vert="horz"/>
          <a:lstStyle/>
          <a:p>
            <a:pPr>
              <a:defRPr/>
            </a:pPr>
            <a:endParaRPr lang="en-US"/>
          </a:p>
        </c:txPr>
        <c:crossAx val="512888616"/>
        <c:crosses val="autoZero"/>
        <c:crossBetween val="midCat"/>
        <c:majorUnit val="20.0"/>
        <c:minorUnit val="5.0"/>
      </c:valAx>
      <c:valAx>
        <c:axId val="512888616"/>
        <c:scaling>
          <c:orientation val="minMax"/>
          <c:max val="0.11"/>
          <c:min val="0.0"/>
        </c:scaling>
        <c:delete val="0"/>
        <c:axPos val="l"/>
        <c:title>
          <c:tx>
            <c:rich>
              <a:bodyPr rot="-5400000" vert="horz"/>
              <a:lstStyle/>
              <a:p>
                <a:pPr>
                  <a:defRPr/>
                </a:pPr>
                <a:r>
                  <a:rPr lang="en-US"/>
                  <a:t>Stiffness Percent Reduction</a:t>
                </a:r>
              </a:p>
            </c:rich>
          </c:tx>
          <c:overlay val="0"/>
        </c:title>
        <c:numFmt formatCode="0%" sourceLinked="0"/>
        <c:majorTickMark val="out"/>
        <c:minorTickMark val="in"/>
        <c:tickLblPos val="nextTo"/>
        <c:spPr>
          <a:ln w="12700" cmpd="sng">
            <a:solidFill>
              <a:sysClr val="windowText" lastClr="000000"/>
            </a:solidFill>
          </a:ln>
        </c:spPr>
        <c:crossAx val="512881000"/>
        <c:crosses val="autoZero"/>
        <c:crossBetween val="midCat"/>
        <c:minorUnit val="0.005"/>
      </c:valAx>
      <c:spPr>
        <a:ln w="12700" cmpd="sng">
          <a:solidFill>
            <a:sysClr val="windowText" lastClr="000000"/>
          </a:solidFill>
        </a:ln>
      </c:spPr>
    </c:plotArea>
    <c:legend>
      <c:legendPos val="r"/>
      <c:layout>
        <c:manualLayout>
          <c:xMode val="edge"/>
          <c:yMode val="edge"/>
          <c:x val="0.67908640657206"/>
          <c:y val="0.0468116837921687"/>
          <c:w val="0.235230659726856"/>
          <c:h val="0.225252555782957"/>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7976259323517"/>
          <c:y val="0.0398989898989899"/>
          <c:w val="0.675199445408307"/>
          <c:h val="0.752256637003257"/>
        </c:manualLayout>
      </c:layout>
      <c:scatterChart>
        <c:scatterStyle val="lineMarker"/>
        <c:varyColors val="0"/>
        <c:ser>
          <c:idx val="0"/>
          <c:order val="0"/>
          <c:tx>
            <c:v>2% RH</c:v>
          </c:tx>
          <c:spPr>
            <a:ln w="28575">
              <a:noFill/>
            </a:ln>
          </c:spPr>
          <c:marker>
            <c:symbol val="square"/>
            <c:size val="7"/>
            <c:spPr>
              <a:solidFill>
                <a:srgbClr val="0070C0">
                  <a:alpha val="50000"/>
                </a:srgbClr>
              </a:solidFill>
              <a:ln w="12700">
                <a:solidFill>
                  <a:schemeClr val="tx1"/>
                </a:solidFill>
              </a:ln>
            </c:spPr>
          </c:marker>
          <c:xVal>
            <c:numRef>
              <c:f>'HF Flexure'!$A$73:$A$76</c:f>
              <c:numCache>
                <c:formatCode>General</c:formatCode>
                <c:ptCount val="4"/>
                <c:pt idx="0">
                  <c:v>68.9</c:v>
                </c:pt>
                <c:pt idx="1">
                  <c:v>206.8</c:v>
                </c:pt>
                <c:pt idx="2">
                  <c:v>344.7</c:v>
                </c:pt>
                <c:pt idx="3">
                  <c:v>482.6</c:v>
                </c:pt>
              </c:numCache>
            </c:numRef>
          </c:xVal>
          <c:yVal>
            <c:numRef>
              <c:f>('HF Flexure'!$L$60,'HF Flexure'!$N$60,'HF Flexure'!$P$60,'HF Flexure'!$R$60)</c:f>
              <c:numCache>
                <c:formatCode>0.0%</c:formatCode>
                <c:ptCount val="4"/>
                <c:pt idx="0">
                  <c:v>0.088</c:v>
                </c:pt>
                <c:pt idx="1">
                  <c:v>0.047</c:v>
                </c:pt>
                <c:pt idx="2">
                  <c:v>0.01</c:v>
                </c:pt>
                <c:pt idx="3">
                  <c:v>0.03</c:v>
                </c:pt>
              </c:numCache>
            </c:numRef>
          </c:yVal>
          <c:smooth val="0"/>
        </c:ser>
        <c:ser>
          <c:idx val="1"/>
          <c:order val="1"/>
          <c:tx>
            <c:v>40% RH</c:v>
          </c:tx>
          <c:spPr>
            <a:ln w="28575">
              <a:noFill/>
            </a:ln>
          </c:spPr>
          <c:marker>
            <c:symbol val="circle"/>
            <c:size val="7"/>
            <c:spPr>
              <a:solidFill>
                <a:srgbClr val="C00000">
                  <a:alpha val="50000"/>
                </a:srgbClr>
              </a:solidFill>
              <a:ln w="12700">
                <a:solidFill>
                  <a:sysClr val="windowText" lastClr="000000"/>
                </a:solidFill>
              </a:ln>
            </c:spPr>
          </c:marker>
          <c:xVal>
            <c:numRef>
              <c:f>'HF Flexure'!$A$73:$A$76</c:f>
              <c:numCache>
                <c:formatCode>General</c:formatCode>
                <c:ptCount val="4"/>
                <c:pt idx="0">
                  <c:v>68.9</c:v>
                </c:pt>
                <c:pt idx="1">
                  <c:v>206.8</c:v>
                </c:pt>
                <c:pt idx="2">
                  <c:v>344.7</c:v>
                </c:pt>
                <c:pt idx="3">
                  <c:v>482.6</c:v>
                </c:pt>
              </c:numCache>
            </c:numRef>
          </c:xVal>
          <c:yVal>
            <c:numRef>
              <c:f>('HF Flexure'!$L$61,'HF Flexure'!$N$61,'HF Flexure'!$P$61,'HF Flexure'!$R$61)</c:f>
              <c:numCache>
                <c:formatCode>0.0%</c:formatCode>
                <c:ptCount val="4"/>
                <c:pt idx="0">
                  <c:v>0.035</c:v>
                </c:pt>
                <c:pt idx="1">
                  <c:v>0.047</c:v>
                </c:pt>
                <c:pt idx="2">
                  <c:v>0.013</c:v>
                </c:pt>
                <c:pt idx="3">
                  <c:v>0.029</c:v>
                </c:pt>
              </c:numCache>
            </c:numRef>
          </c:yVal>
          <c:smooth val="0"/>
        </c:ser>
        <c:ser>
          <c:idx val="2"/>
          <c:order val="2"/>
          <c:tx>
            <c:v>70% RH</c:v>
          </c:tx>
          <c:spPr>
            <a:ln w="28575">
              <a:noFill/>
            </a:ln>
          </c:spPr>
          <c:marker>
            <c:symbol val="triangle"/>
            <c:size val="7"/>
            <c:spPr>
              <a:solidFill>
                <a:srgbClr val="00B050">
                  <a:alpha val="50000"/>
                </a:srgbClr>
              </a:solidFill>
              <a:ln w="12700">
                <a:solidFill>
                  <a:schemeClr val="tx1"/>
                </a:solidFill>
              </a:ln>
            </c:spPr>
          </c:marker>
          <c:xVal>
            <c:numRef>
              <c:f>'HF Flexure'!$A$73:$A$76</c:f>
              <c:numCache>
                <c:formatCode>General</c:formatCode>
                <c:ptCount val="4"/>
                <c:pt idx="0">
                  <c:v>68.9</c:v>
                </c:pt>
                <c:pt idx="1">
                  <c:v>206.8</c:v>
                </c:pt>
                <c:pt idx="2">
                  <c:v>344.7</c:v>
                </c:pt>
                <c:pt idx="3">
                  <c:v>482.6</c:v>
                </c:pt>
              </c:numCache>
            </c:numRef>
          </c:xVal>
          <c:yVal>
            <c:numRef>
              <c:f>('HF Flexure'!$L$62,'HF Flexure'!$N$62,'HF Flexure'!$P$62,'HF Flexure'!$R$62)</c:f>
              <c:numCache>
                <c:formatCode>0.0%</c:formatCode>
                <c:ptCount val="4"/>
                <c:pt idx="0">
                  <c:v>0.021</c:v>
                </c:pt>
                <c:pt idx="1">
                  <c:v>0.005</c:v>
                </c:pt>
                <c:pt idx="2">
                  <c:v>0.023</c:v>
                </c:pt>
                <c:pt idx="3">
                  <c:v>0.039</c:v>
                </c:pt>
              </c:numCache>
            </c:numRef>
          </c:yVal>
          <c:smooth val="0"/>
        </c:ser>
        <c:ser>
          <c:idx val="3"/>
          <c:order val="3"/>
          <c:tx>
            <c:v>99% RH</c:v>
          </c:tx>
          <c:spPr>
            <a:ln w="28575">
              <a:noFill/>
            </a:ln>
          </c:spPr>
          <c:marker>
            <c:symbol val="x"/>
            <c:size val="7"/>
            <c:spPr>
              <a:noFill/>
              <a:ln w="25400">
                <a:solidFill>
                  <a:srgbClr val="7030A0"/>
                </a:solidFill>
              </a:ln>
            </c:spPr>
          </c:marker>
          <c:xVal>
            <c:numRef>
              <c:f>'HF Flexure'!$A$73:$A$76</c:f>
              <c:numCache>
                <c:formatCode>General</c:formatCode>
                <c:ptCount val="4"/>
                <c:pt idx="0">
                  <c:v>68.9</c:v>
                </c:pt>
                <c:pt idx="1">
                  <c:v>206.8</c:v>
                </c:pt>
                <c:pt idx="2">
                  <c:v>344.7</c:v>
                </c:pt>
                <c:pt idx="3">
                  <c:v>482.6</c:v>
                </c:pt>
              </c:numCache>
            </c:numRef>
          </c:xVal>
          <c:yVal>
            <c:numRef>
              <c:f>('HF Flexure'!$L$63,'HF Flexure'!$N$63,'HF Flexure'!$P$63,'HF Flexure'!$R$63)</c:f>
              <c:numCache>
                <c:formatCode>0.0%</c:formatCode>
                <c:ptCount val="4"/>
                <c:pt idx="0">
                  <c:v>0.015</c:v>
                </c:pt>
                <c:pt idx="1">
                  <c:v>0.01</c:v>
                </c:pt>
                <c:pt idx="2">
                  <c:v>0.041</c:v>
                </c:pt>
                <c:pt idx="3">
                  <c:v>0.022</c:v>
                </c:pt>
              </c:numCache>
            </c:numRef>
          </c:yVal>
          <c:smooth val="0"/>
        </c:ser>
        <c:dLbls>
          <c:showLegendKey val="0"/>
          <c:showVal val="0"/>
          <c:showCatName val="0"/>
          <c:showSerName val="0"/>
          <c:showPercent val="0"/>
          <c:showBubbleSize val="0"/>
        </c:dLbls>
        <c:axId val="512941272"/>
        <c:axId val="512949128"/>
      </c:scatterChart>
      <c:valAx>
        <c:axId val="512941272"/>
        <c:scaling>
          <c:orientation val="minMax"/>
          <c:max val="525.0"/>
          <c:min val="0.0"/>
        </c:scaling>
        <c:delete val="0"/>
        <c:axPos val="b"/>
        <c:title>
          <c:tx>
            <c:rich>
              <a:bodyPr/>
              <a:lstStyle/>
              <a:p>
                <a:pPr>
                  <a:defRPr/>
                </a:pPr>
                <a:r>
                  <a:rPr lang="en-US"/>
                  <a:t>Fabrication Pressure (kPa)</a:t>
                </a:r>
              </a:p>
            </c:rich>
          </c:tx>
          <c:overlay val="0"/>
        </c:title>
        <c:numFmt formatCode="#,##0" sourceLinked="0"/>
        <c:majorTickMark val="out"/>
        <c:minorTickMark val="in"/>
        <c:tickLblPos val="nextTo"/>
        <c:spPr>
          <a:ln w="12700" cmpd="sng">
            <a:solidFill>
              <a:sysClr val="windowText" lastClr="000000"/>
            </a:solidFill>
          </a:ln>
        </c:spPr>
        <c:txPr>
          <a:bodyPr rot="0" vert="horz"/>
          <a:lstStyle/>
          <a:p>
            <a:pPr>
              <a:defRPr/>
            </a:pPr>
            <a:endParaRPr lang="en-US"/>
          </a:p>
        </c:txPr>
        <c:crossAx val="512949128"/>
        <c:crosses val="autoZero"/>
        <c:crossBetween val="midCat"/>
        <c:majorUnit val="100.0"/>
        <c:minorUnit val="25.0"/>
      </c:valAx>
      <c:valAx>
        <c:axId val="512949128"/>
        <c:scaling>
          <c:orientation val="minMax"/>
          <c:max val="0.11"/>
          <c:min val="0.0"/>
        </c:scaling>
        <c:delete val="0"/>
        <c:axPos val="l"/>
        <c:title>
          <c:tx>
            <c:rich>
              <a:bodyPr rot="-5400000" vert="horz"/>
              <a:lstStyle/>
              <a:p>
                <a:pPr>
                  <a:defRPr/>
                </a:pPr>
                <a:r>
                  <a:rPr lang="en-US"/>
                  <a:t>Stiffness Percent Reduction</a:t>
                </a:r>
              </a:p>
            </c:rich>
          </c:tx>
          <c:overlay val="0"/>
        </c:title>
        <c:numFmt formatCode="0%" sourceLinked="0"/>
        <c:majorTickMark val="out"/>
        <c:minorTickMark val="in"/>
        <c:tickLblPos val="nextTo"/>
        <c:spPr>
          <a:ln w="12700" cmpd="sng">
            <a:solidFill>
              <a:sysClr val="windowText" lastClr="000000"/>
            </a:solidFill>
          </a:ln>
        </c:spPr>
        <c:crossAx val="512941272"/>
        <c:crosses val="autoZero"/>
        <c:crossBetween val="midCat"/>
        <c:minorUnit val="0.005"/>
      </c:valAx>
      <c:spPr>
        <a:ln w="12700" cmpd="sng">
          <a:solidFill>
            <a:sysClr val="windowText" lastClr="000000"/>
          </a:solidFill>
        </a:ln>
      </c:spPr>
    </c:plotArea>
    <c:legend>
      <c:legendPos val="r"/>
      <c:layout>
        <c:manualLayout>
          <c:xMode val="edge"/>
          <c:yMode val="edge"/>
          <c:x val="0.67908640657206"/>
          <c:y val="0.0468116837921687"/>
          <c:w val="0.235230659726856"/>
          <c:h val="0.225252555782957"/>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7976259323517"/>
          <c:y val="0.0398989898989899"/>
          <c:w val="0.675199445408307"/>
          <c:h val="0.752256637003257"/>
        </c:manualLayout>
      </c:layout>
      <c:scatterChart>
        <c:scatterStyle val="lineMarker"/>
        <c:varyColors val="0"/>
        <c:ser>
          <c:idx val="0"/>
          <c:order val="0"/>
          <c:tx>
            <c:v>2% RH</c:v>
          </c:tx>
          <c:spPr>
            <a:ln w="28575">
              <a:noFill/>
            </a:ln>
          </c:spPr>
          <c:marker>
            <c:symbol val="square"/>
            <c:size val="7"/>
            <c:spPr>
              <a:solidFill>
                <a:srgbClr val="0070C0">
                  <a:alpha val="50000"/>
                </a:srgbClr>
              </a:solidFill>
              <a:ln w="12700">
                <a:solidFill>
                  <a:schemeClr val="tx1"/>
                </a:solidFill>
              </a:ln>
            </c:spPr>
          </c:marker>
          <c:xVal>
            <c:numRef>
              <c:f>'HF Flexure'!$A$73:$A$76</c:f>
              <c:numCache>
                <c:formatCode>General</c:formatCode>
                <c:ptCount val="4"/>
                <c:pt idx="0">
                  <c:v>68.9</c:v>
                </c:pt>
                <c:pt idx="1">
                  <c:v>206.8</c:v>
                </c:pt>
                <c:pt idx="2">
                  <c:v>344.7</c:v>
                </c:pt>
                <c:pt idx="3">
                  <c:v>482.6</c:v>
                </c:pt>
              </c:numCache>
            </c:numRef>
          </c:xVal>
          <c:yVal>
            <c:numRef>
              <c:f>('HF Flexure'!$L$66,'HF Flexure'!$N$66,'HF Flexure'!$P$66,'HF Flexure'!$R$66)</c:f>
              <c:numCache>
                <c:formatCode>0.0%</c:formatCode>
                <c:ptCount val="4"/>
                <c:pt idx="0">
                  <c:v>0.013</c:v>
                </c:pt>
                <c:pt idx="1">
                  <c:v>0.016</c:v>
                </c:pt>
                <c:pt idx="2">
                  <c:v>0.033</c:v>
                </c:pt>
                <c:pt idx="3">
                  <c:v>0.051</c:v>
                </c:pt>
              </c:numCache>
            </c:numRef>
          </c:yVal>
          <c:smooth val="0"/>
        </c:ser>
        <c:ser>
          <c:idx val="1"/>
          <c:order val="1"/>
          <c:tx>
            <c:v>40% RH</c:v>
          </c:tx>
          <c:spPr>
            <a:ln w="28575">
              <a:noFill/>
            </a:ln>
          </c:spPr>
          <c:marker>
            <c:symbol val="circle"/>
            <c:size val="7"/>
            <c:spPr>
              <a:solidFill>
                <a:srgbClr val="C00000">
                  <a:alpha val="50000"/>
                </a:srgbClr>
              </a:solidFill>
              <a:ln w="12700">
                <a:solidFill>
                  <a:sysClr val="windowText" lastClr="000000"/>
                </a:solidFill>
              </a:ln>
            </c:spPr>
          </c:marker>
          <c:xVal>
            <c:numRef>
              <c:f>'HF Flexure'!$A$73:$A$76</c:f>
              <c:numCache>
                <c:formatCode>General</c:formatCode>
                <c:ptCount val="4"/>
                <c:pt idx="0">
                  <c:v>68.9</c:v>
                </c:pt>
                <c:pt idx="1">
                  <c:v>206.8</c:v>
                </c:pt>
                <c:pt idx="2">
                  <c:v>344.7</c:v>
                </c:pt>
                <c:pt idx="3">
                  <c:v>482.6</c:v>
                </c:pt>
              </c:numCache>
            </c:numRef>
          </c:xVal>
          <c:yVal>
            <c:numRef>
              <c:f>('HF Flexure'!$L$67,'HF Flexure'!$N$67,'HF Flexure'!$P$67,'HF Flexure'!$R$67)</c:f>
              <c:numCache>
                <c:formatCode>0.0%</c:formatCode>
                <c:ptCount val="4"/>
                <c:pt idx="0">
                  <c:v>0.015</c:v>
                </c:pt>
                <c:pt idx="1">
                  <c:v>0.018</c:v>
                </c:pt>
                <c:pt idx="2">
                  <c:v>0.043</c:v>
                </c:pt>
                <c:pt idx="3">
                  <c:v>0.038</c:v>
                </c:pt>
              </c:numCache>
            </c:numRef>
          </c:yVal>
          <c:smooth val="0"/>
        </c:ser>
        <c:ser>
          <c:idx val="2"/>
          <c:order val="2"/>
          <c:tx>
            <c:v>70% RH</c:v>
          </c:tx>
          <c:spPr>
            <a:ln w="28575">
              <a:noFill/>
            </a:ln>
          </c:spPr>
          <c:marker>
            <c:symbol val="triangle"/>
            <c:size val="7"/>
            <c:spPr>
              <a:solidFill>
                <a:srgbClr val="00B050">
                  <a:alpha val="50000"/>
                </a:srgbClr>
              </a:solidFill>
              <a:ln w="12700">
                <a:solidFill>
                  <a:schemeClr val="tx1"/>
                </a:solidFill>
              </a:ln>
            </c:spPr>
          </c:marker>
          <c:xVal>
            <c:numRef>
              <c:f>'HF Flexure'!$A$73:$A$76</c:f>
              <c:numCache>
                <c:formatCode>General</c:formatCode>
                <c:ptCount val="4"/>
                <c:pt idx="0">
                  <c:v>68.9</c:v>
                </c:pt>
                <c:pt idx="1">
                  <c:v>206.8</c:v>
                </c:pt>
                <c:pt idx="2">
                  <c:v>344.7</c:v>
                </c:pt>
                <c:pt idx="3">
                  <c:v>482.6</c:v>
                </c:pt>
              </c:numCache>
            </c:numRef>
          </c:xVal>
          <c:yVal>
            <c:numRef>
              <c:f>('HF Flexure'!$L$68,'HF Flexure'!$N$68,'HF Flexure'!$P$68,'HF Flexure'!$R$68)</c:f>
              <c:numCache>
                <c:formatCode>0.0%</c:formatCode>
                <c:ptCount val="4"/>
                <c:pt idx="0">
                  <c:v>0.011</c:v>
                </c:pt>
                <c:pt idx="1">
                  <c:v>0.0</c:v>
                </c:pt>
                <c:pt idx="2">
                  <c:v>0.044</c:v>
                </c:pt>
                <c:pt idx="3">
                  <c:v>0.044</c:v>
                </c:pt>
              </c:numCache>
            </c:numRef>
          </c:yVal>
          <c:smooth val="0"/>
        </c:ser>
        <c:ser>
          <c:idx val="3"/>
          <c:order val="3"/>
          <c:tx>
            <c:v>99% RH</c:v>
          </c:tx>
          <c:spPr>
            <a:ln w="28575">
              <a:noFill/>
            </a:ln>
          </c:spPr>
          <c:marker>
            <c:symbol val="x"/>
            <c:size val="7"/>
            <c:spPr>
              <a:noFill/>
              <a:ln w="25400">
                <a:solidFill>
                  <a:srgbClr val="7030A0"/>
                </a:solidFill>
              </a:ln>
            </c:spPr>
          </c:marker>
          <c:xVal>
            <c:numRef>
              <c:f>'HF Flexure'!$A$73:$A$76</c:f>
              <c:numCache>
                <c:formatCode>General</c:formatCode>
                <c:ptCount val="4"/>
                <c:pt idx="0">
                  <c:v>68.9</c:v>
                </c:pt>
                <c:pt idx="1">
                  <c:v>206.8</c:v>
                </c:pt>
                <c:pt idx="2">
                  <c:v>344.7</c:v>
                </c:pt>
                <c:pt idx="3">
                  <c:v>482.6</c:v>
                </c:pt>
              </c:numCache>
            </c:numRef>
          </c:xVal>
          <c:yVal>
            <c:numRef>
              <c:f>('HF Flexure'!$L$69,'HF Flexure'!$N$69,'HF Flexure'!$P$69,'HF Flexure'!$R$69)</c:f>
              <c:numCache>
                <c:formatCode>0.0%</c:formatCode>
                <c:ptCount val="4"/>
                <c:pt idx="0">
                  <c:v>0.024</c:v>
                </c:pt>
                <c:pt idx="1">
                  <c:v>0.046</c:v>
                </c:pt>
                <c:pt idx="2">
                  <c:v>0.046</c:v>
                </c:pt>
                <c:pt idx="3">
                  <c:v>0.049</c:v>
                </c:pt>
              </c:numCache>
            </c:numRef>
          </c:yVal>
          <c:smooth val="0"/>
        </c:ser>
        <c:dLbls>
          <c:showLegendKey val="0"/>
          <c:showVal val="0"/>
          <c:showCatName val="0"/>
          <c:showSerName val="0"/>
          <c:showPercent val="0"/>
          <c:showBubbleSize val="0"/>
        </c:dLbls>
        <c:axId val="463285672"/>
        <c:axId val="462766824"/>
      </c:scatterChart>
      <c:valAx>
        <c:axId val="463285672"/>
        <c:scaling>
          <c:orientation val="minMax"/>
          <c:max val="525.0"/>
          <c:min val="0.0"/>
        </c:scaling>
        <c:delete val="0"/>
        <c:axPos val="b"/>
        <c:title>
          <c:tx>
            <c:rich>
              <a:bodyPr/>
              <a:lstStyle/>
              <a:p>
                <a:pPr>
                  <a:defRPr/>
                </a:pPr>
                <a:r>
                  <a:rPr lang="en-US"/>
                  <a:t>Fabrication Pressure (kPa)</a:t>
                </a:r>
              </a:p>
            </c:rich>
          </c:tx>
          <c:overlay val="0"/>
        </c:title>
        <c:numFmt formatCode="#,##0" sourceLinked="0"/>
        <c:majorTickMark val="out"/>
        <c:minorTickMark val="in"/>
        <c:tickLblPos val="nextTo"/>
        <c:spPr>
          <a:ln w="12700" cmpd="sng">
            <a:solidFill>
              <a:sysClr val="windowText" lastClr="000000"/>
            </a:solidFill>
          </a:ln>
        </c:spPr>
        <c:txPr>
          <a:bodyPr rot="0" vert="horz"/>
          <a:lstStyle/>
          <a:p>
            <a:pPr>
              <a:defRPr/>
            </a:pPr>
            <a:endParaRPr lang="en-US"/>
          </a:p>
        </c:txPr>
        <c:crossAx val="462766824"/>
        <c:crosses val="autoZero"/>
        <c:crossBetween val="midCat"/>
        <c:majorUnit val="100.0"/>
        <c:minorUnit val="25.0"/>
      </c:valAx>
      <c:valAx>
        <c:axId val="462766824"/>
        <c:scaling>
          <c:orientation val="minMax"/>
          <c:max val="0.11"/>
          <c:min val="0.0"/>
        </c:scaling>
        <c:delete val="0"/>
        <c:axPos val="l"/>
        <c:title>
          <c:tx>
            <c:rich>
              <a:bodyPr rot="-5400000" vert="horz"/>
              <a:lstStyle/>
              <a:p>
                <a:pPr>
                  <a:defRPr/>
                </a:pPr>
                <a:r>
                  <a:rPr lang="en-US"/>
                  <a:t>Stiffness Percent Reduction</a:t>
                </a:r>
              </a:p>
            </c:rich>
          </c:tx>
          <c:overlay val="0"/>
        </c:title>
        <c:numFmt formatCode="0%" sourceLinked="0"/>
        <c:majorTickMark val="out"/>
        <c:minorTickMark val="in"/>
        <c:tickLblPos val="nextTo"/>
        <c:spPr>
          <a:ln w="12700" cmpd="sng">
            <a:solidFill>
              <a:sysClr val="windowText" lastClr="000000"/>
            </a:solidFill>
          </a:ln>
        </c:spPr>
        <c:crossAx val="463285672"/>
        <c:crosses val="autoZero"/>
        <c:crossBetween val="midCat"/>
        <c:minorUnit val="0.005"/>
      </c:valAx>
      <c:spPr>
        <a:ln w="12700" cmpd="sng">
          <a:solidFill>
            <a:sysClr val="windowText" lastClr="000000"/>
          </a:solidFill>
        </a:ln>
      </c:spPr>
    </c:plotArea>
    <c:legend>
      <c:legendPos val="r"/>
      <c:layout>
        <c:manualLayout>
          <c:xMode val="edge"/>
          <c:yMode val="edge"/>
          <c:x val="0.67908640657206"/>
          <c:y val="0.0468116837921687"/>
          <c:w val="0.235230659726856"/>
          <c:h val="0.225252555782957"/>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7976630039889"/>
          <c:y val="0.0398989898989899"/>
          <c:w val="0.675199445408307"/>
          <c:h val="0.752256637003257"/>
        </c:manualLayout>
      </c:layout>
      <c:scatterChart>
        <c:scatterStyle val="lineMarker"/>
        <c:varyColors val="0"/>
        <c:ser>
          <c:idx val="0"/>
          <c:order val="0"/>
          <c:tx>
            <c:v>69 kPa</c:v>
          </c:tx>
          <c:spPr>
            <a:ln w="28575">
              <a:noFill/>
            </a:ln>
          </c:spPr>
          <c:marker>
            <c:symbol val="square"/>
            <c:size val="7"/>
            <c:spPr>
              <a:solidFill>
                <a:srgbClr val="0070C0">
                  <a:alpha val="50000"/>
                </a:srgbClr>
              </a:solidFill>
              <a:ln w="12700">
                <a:solidFill>
                  <a:schemeClr val="tx1"/>
                </a:solidFill>
              </a:ln>
            </c:spPr>
          </c:marker>
          <c:xVal>
            <c:numLit>
              <c:formatCode>General</c:formatCode>
              <c:ptCount val="4"/>
              <c:pt idx="0">
                <c:v>2.0</c:v>
              </c:pt>
              <c:pt idx="1">
                <c:v>40.0</c:v>
              </c:pt>
              <c:pt idx="2">
                <c:v>70.0</c:v>
              </c:pt>
              <c:pt idx="3">
                <c:v>99.0</c:v>
              </c:pt>
            </c:numLit>
          </c:xVal>
          <c:yVal>
            <c:numRef>
              <c:f>'HF Flexure'!$B$60:$B$63</c:f>
              <c:numCache>
                <c:formatCode>0.0%</c:formatCode>
                <c:ptCount val="4"/>
                <c:pt idx="0">
                  <c:v>0.064</c:v>
                </c:pt>
                <c:pt idx="1">
                  <c:v>0.078</c:v>
                </c:pt>
                <c:pt idx="2">
                  <c:v>0.068</c:v>
                </c:pt>
                <c:pt idx="3">
                  <c:v>0.048</c:v>
                </c:pt>
              </c:numCache>
            </c:numRef>
          </c:yVal>
          <c:smooth val="0"/>
        </c:ser>
        <c:ser>
          <c:idx val="1"/>
          <c:order val="1"/>
          <c:tx>
            <c:v>207 kPa</c:v>
          </c:tx>
          <c:spPr>
            <a:ln w="28575">
              <a:noFill/>
            </a:ln>
          </c:spPr>
          <c:marker>
            <c:symbol val="circle"/>
            <c:size val="7"/>
            <c:spPr>
              <a:solidFill>
                <a:srgbClr val="C00000">
                  <a:alpha val="50000"/>
                </a:srgbClr>
              </a:solidFill>
              <a:ln w="12700">
                <a:solidFill>
                  <a:sysClr val="windowText" lastClr="000000"/>
                </a:solidFill>
              </a:ln>
            </c:spPr>
          </c:marker>
          <c:xVal>
            <c:numLit>
              <c:formatCode>General</c:formatCode>
              <c:ptCount val="4"/>
              <c:pt idx="0">
                <c:v>2.0</c:v>
              </c:pt>
              <c:pt idx="1">
                <c:v>40.0</c:v>
              </c:pt>
              <c:pt idx="2">
                <c:v>70.0</c:v>
              </c:pt>
              <c:pt idx="3">
                <c:v>99.0</c:v>
              </c:pt>
            </c:numLit>
          </c:xVal>
          <c:yVal>
            <c:numRef>
              <c:f>'HF Flexure'!$D$60:$D$63</c:f>
              <c:numCache>
                <c:formatCode>0.0%</c:formatCode>
                <c:ptCount val="4"/>
                <c:pt idx="0">
                  <c:v>0.079</c:v>
                </c:pt>
                <c:pt idx="1">
                  <c:v>0.045</c:v>
                </c:pt>
                <c:pt idx="2">
                  <c:v>0.055</c:v>
                </c:pt>
                <c:pt idx="3">
                  <c:v>0.073</c:v>
                </c:pt>
              </c:numCache>
            </c:numRef>
          </c:yVal>
          <c:smooth val="0"/>
        </c:ser>
        <c:ser>
          <c:idx val="2"/>
          <c:order val="2"/>
          <c:tx>
            <c:v>345 kPa</c:v>
          </c:tx>
          <c:spPr>
            <a:ln w="28575">
              <a:noFill/>
            </a:ln>
          </c:spPr>
          <c:marker>
            <c:symbol val="triangle"/>
            <c:size val="7"/>
            <c:spPr>
              <a:solidFill>
                <a:srgbClr val="00B050">
                  <a:alpha val="50000"/>
                </a:srgbClr>
              </a:solidFill>
              <a:ln w="12700">
                <a:solidFill>
                  <a:schemeClr val="tx1"/>
                </a:solidFill>
              </a:ln>
            </c:spPr>
          </c:marker>
          <c:xVal>
            <c:numLit>
              <c:formatCode>General</c:formatCode>
              <c:ptCount val="4"/>
              <c:pt idx="0">
                <c:v>2.0</c:v>
              </c:pt>
              <c:pt idx="1">
                <c:v>40.0</c:v>
              </c:pt>
              <c:pt idx="2">
                <c:v>70.0</c:v>
              </c:pt>
              <c:pt idx="3">
                <c:v>99.0</c:v>
              </c:pt>
            </c:numLit>
          </c:xVal>
          <c:yVal>
            <c:numRef>
              <c:f>'HF Flexure'!$F$60:$F$63</c:f>
              <c:numCache>
                <c:formatCode>0.0%</c:formatCode>
                <c:ptCount val="4"/>
                <c:pt idx="0">
                  <c:v>0.0</c:v>
                </c:pt>
                <c:pt idx="1">
                  <c:v>0.03</c:v>
                </c:pt>
                <c:pt idx="2">
                  <c:v>0.039</c:v>
                </c:pt>
                <c:pt idx="3">
                  <c:v>0.058</c:v>
                </c:pt>
              </c:numCache>
            </c:numRef>
          </c:yVal>
          <c:smooth val="0"/>
        </c:ser>
        <c:ser>
          <c:idx val="3"/>
          <c:order val="3"/>
          <c:tx>
            <c:v>483 kPa</c:v>
          </c:tx>
          <c:spPr>
            <a:ln w="28575">
              <a:noFill/>
            </a:ln>
          </c:spPr>
          <c:marker>
            <c:symbol val="x"/>
            <c:size val="7"/>
            <c:spPr>
              <a:noFill/>
              <a:ln w="25400">
                <a:solidFill>
                  <a:srgbClr val="7030A0"/>
                </a:solidFill>
              </a:ln>
            </c:spPr>
          </c:marker>
          <c:xVal>
            <c:numLit>
              <c:formatCode>General</c:formatCode>
              <c:ptCount val="4"/>
              <c:pt idx="0">
                <c:v>2.0</c:v>
              </c:pt>
              <c:pt idx="1">
                <c:v>40.0</c:v>
              </c:pt>
              <c:pt idx="2">
                <c:v>70.0</c:v>
              </c:pt>
              <c:pt idx="3">
                <c:v>99.0</c:v>
              </c:pt>
            </c:numLit>
          </c:xVal>
          <c:yVal>
            <c:numRef>
              <c:f>'HF Flexure'!$H$60:$H$63</c:f>
              <c:numCache>
                <c:formatCode>0.0%</c:formatCode>
                <c:ptCount val="4"/>
                <c:pt idx="0">
                  <c:v>0.024</c:v>
                </c:pt>
                <c:pt idx="1">
                  <c:v>0.043</c:v>
                </c:pt>
                <c:pt idx="2">
                  <c:v>0.059</c:v>
                </c:pt>
                <c:pt idx="3">
                  <c:v>0.06</c:v>
                </c:pt>
              </c:numCache>
            </c:numRef>
          </c:yVal>
          <c:smooth val="0"/>
        </c:ser>
        <c:dLbls>
          <c:showLegendKey val="0"/>
          <c:showVal val="0"/>
          <c:showCatName val="0"/>
          <c:showSerName val="0"/>
          <c:showPercent val="0"/>
          <c:showBubbleSize val="0"/>
        </c:dLbls>
        <c:axId val="512957192"/>
        <c:axId val="463420344"/>
      </c:scatterChart>
      <c:valAx>
        <c:axId val="512957192"/>
        <c:scaling>
          <c:orientation val="minMax"/>
          <c:max val="100.0"/>
          <c:min val="0.0"/>
        </c:scaling>
        <c:delete val="0"/>
        <c:axPos val="b"/>
        <c:title>
          <c:tx>
            <c:rich>
              <a:bodyPr/>
              <a:lstStyle/>
              <a:p>
                <a:pPr>
                  <a:defRPr/>
                </a:pPr>
                <a:r>
                  <a:rPr lang="en-US"/>
                  <a:t>Humidity Exposure (% RH)</a:t>
                </a:r>
              </a:p>
            </c:rich>
          </c:tx>
          <c:overlay val="0"/>
        </c:title>
        <c:numFmt formatCode="#,##0" sourceLinked="0"/>
        <c:majorTickMark val="out"/>
        <c:minorTickMark val="in"/>
        <c:tickLblPos val="nextTo"/>
        <c:spPr>
          <a:ln w="12700" cmpd="sng">
            <a:solidFill>
              <a:sysClr val="windowText" lastClr="000000"/>
            </a:solidFill>
          </a:ln>
        </c:spPr>
        <c:txPr>
          <a:bodyPr rot="0" vert="horz"/>
          <a:lstStyle/>
          <a:p>
            <a:pPr>
              <a:defRPr/>
            </a:pPr>
            <a:endParaRPr lang="en-US"/>
          </a:p>
        </c:txPr>
        <c:crossAx val="463420344"/>
        <c:crosses val="autoZero"/>
        <c:crossBetween val="midCat"/>
        <c:majorUnit val="20.0"/>
        <c:minorUnit val="5.0"/>
      </c:valAx>
      <c:valAx>
        <c:axId val="463420344"/>
        <c:scaling>
          <c:orientation val="minMax"/>
          <c:max val="0.2"/>
          <c:min val="0.0"/>
        </c:scaling>
        <c:delete val="0"/>
        <c:axPos val="l"/>
        <c:title>
          <c:tx>
            <c:rich>
              <a:bodyPr rot="-5400000" vert="horz"/>
              <a:lstStyle/>
              <a:p>
                <a:pPr>
                  <a:defRPr/>
                </a:pPr>
                <a:r>
                  <a:rPr lang="en-US"/>
                  <a:t>Strength Percent Reduction</a:t>
                </a:r>
              </a:p>
            </c:rich>
          </c:tx>
          <c:overlay val="0"/>
        </c:title>
        <c:numFmt formatCode="0%" sourceLinked="0"/>
        <c:majorTickMark val="out"/>
        <c:minorTickMark val="in"/>
        <c:tickLblPos val="nextTo"/>
        <c:spPr>
          <a:ln w="12700" cmpd="sng">
            <a:solidFill>
              <a:sysClr val="windowText" lastClr="000000"/>
            </a:solidFill>
          </a:ln>
        </c:spPr>
        <c:crossAx val="512957192"/>
        <c:crosses val="autoZero"/>
        <c:crossBetween val="midCat"/>
        <c:majorUnit val="0.05"/>
        <c:minorUnit val="0.01"/>
      </c:valAx>
      <c:spPr>
        <a:ln w="12700" cmpd="sng">
          <a:solidFill>
            <a:sysClr val="windowText" lastClr="000000"/>
          </a:solidFill>
        </a:ln>
      </c:spPr>
    </c:plotArea>
    <c:legend>
      <c:legendPos val="r"/>
      <c:layout>
        <c:manualLayout>
          <c:xMode val="edge"/>
          <c:yMode val="edge"/>
          <c:x val="0.67908640657206"/>
          <c:y val="0.0468116966148462"/>
          <c:w val="0.235230659726856"/>
          <c:h val="0.230594252641497"/>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7976630039889"/>
          <c:y val="0.0398989898989899"/>
          <c:w val="0.675199445408307"/>
          <c:h val="0.752256637003257"/>
        </c:manualLayout>
      </c:layout>
      <c:scatterChart>
        <c:scatterStyle val="lineMarker"/>
        <c:varyColors val="0"/>
        <c:ser>
          <c:idx val="0"/>
          <c:order val="0"/>
          <c:tx>
            <c:v>69 kPa</c:v>
          </c:tx>
          <c:spPr>
            <a:ln w="28575">
              <a:noFill/>
            </a:ln>
          </c:spPr>
          <c:marker>
            <c:symbol val="square"/>
            <c:size val="7"/>
            <c:spPr>
              <a:solidFill>
                <a:srgbClr val="0070C0">
                  <a:alpha val="50000"/>
                </a:srgbClr>
              </a:solidFill>
              <a:ln w="12700">
                <a:solidFill>
                  <a:schemeClr val="tx1"/>
                </a:solidFill>
              </a:ln>
            </c:spPr>
          </c:marker>
          <c:xVal>
            <c:numLit>
              <c:formatCode>General</c:formatCode>
              <c:ptCount val="4"/>
              <c:pt idx="0">
                <c:v>2.0</c:v>
              </c:pt>
              <c:pt idx="1">
                <c:v>40.0</c:v>
              </c:pt>
              <c:pt idx="2">
                <c:v>70.0</c:v>
              </c:pt>
              <c:pt idx="3">
                <c:v>99.0</c:v>
              </c:pt>
            </c:numLit>
          </c:xVal>
          <c:yVal>
            <c:numRef>
              <c:f>'HF Flexure'!$B$66:$B$69</c:f>
              <c:numCache>
                <c:formatCode>0.0%</c:formatCode>
                <c:ptCount val="4"/>
                <c:pt idx="0">
                  <c:v>0.092</c:v>
                </c:pt>
                <c:pt idx="1">
                  <c:v>0.081</c:v>
                </c:pt>
                <c:pt idx="2">
                  <c:v>0.076</c:v>
                </c:pt>
                <c:pt idx="3">
                  <c:v>0.003</c:v>
                </c:pt>
              </c:numCache>
            </c:numRef>
          </c:yVal>
          <c:smooth val="0"/>
        </c:ser>
        <c:ser>
          <c:idx val="1"/>
          <c:order val="1"/>
          <c:tx>
            <c:v>207 kPa</c:v>
          </c:tx>
          <c:spPr>
            <a:ln w="28575">
              <a:noFill/>
            </a:ln>
          </c:spPr>
          <c:marker>
            <c:symbol val="circle"/>
            <c:size val="7"/>
            <c:spPr>
              <a:solidFill>
                <a:srgbClr val="C00000">
                  <a:alpha val="50000"/>
                </a:srgbClr>
              </a:solidFill>
              <a:ln w="12700">
                <a:solidFill>
                  <a:sysClr val="windowText" lastClr="000000"/>
                </a:solidFill>
              </a:ln>
            </c:spPr>
          </c:marker>
          <c:xVal>
            <c:numLit>
              <c:formatCode>General</c:formatCode>
              <c:ptCount val="4"/>
              <c:pt idx="0">
                <c:v>2.0</c:v>
              </c:pt>
              <c:pt idx="1">
                <c:v>40.0</c:v>
              </c:pt>
              <c:pt idx="2">
                <c:v>70.0</c:v>
              </c:pt>
              <c:pt idx="3">
                <c:v>99.0</c:v>
              </c:pt>
            </c:numLit>
          </c:xVal>
          <c:yVal>
            <c:numRef>
              <c:f>'HF Flexure'!$D$66:$D$69</c:f>
              <c:numCache>
                <c:formatCode>0.0%</c:formatCode>
                <c:ptCount val="4"/>
                <c:pt idx="0">
                  <c:v>0.05</c:v>
                </c:pt>
                <c:pt idx="1">
                  <c:v>0.112</c:v>
                </c:pt>
                <c:pt idx="2">
                  <c:v>0.11</c:v>
                </c:pt>
                <c:pt idx="3">
                  <c:v>0.096</c:v>
                </c:pt>
              </c:numCache>
            </c:numRef>
          </c:yVal>
          <c:smooth val="0"/>
        </c:ser>
        <c:ser>
          <c:idx val="2"/>
          <c:order val="2"/>
          <c:tx>
            <c:v>345 kPa</c:v>
          </c:tx>
          <c:spPr>
            <a:ln w="28575">
              <a:noFill/>
            </a:ln>
          </c:spPr>
          <c:marker>
            <c:symbol val="triangle"/>
            <c:size val="7"/>
            <c:spPr>
              <a:solidFill>
                <a:srgbClr val="00B050">
                  <a:alpha val="50000"/>
                </a:srgbClr>
              </a:solidFill>
              <a:ln w="12700">
                <a:solidFill>
                  <a:schemeClr val="tx1"/>
                </a:solidFill>
              </a:ln>
            </c:spPr>
          </c:marker>
          <c:xVal>
            <c:numLit>
              <c:formatCode>General</c:formatCode>
              <c:ptCount val="4"/>
              <c:pt idx="0">
                <c:v>2.0</c:v>
              </c:pt>
              <c:pt idx="1">
                <c:v>40.0</c:v>
              </c:pt>
              <c:pt idx="2">
                <c:v>70.0</c:v>
              </c:pt>
              <c:pt idx="3">
                <c:v>99.0</c:v>
              </c:pt>
            </c:numLit>
          </c:xVal>
          <c:yVal>
            <c:numRef>
              <c:f>'HF Flexure'!$F$66:$F$69</c:f>
              <c:numCache>
                <c:formatCode>0.0%</c:formatCode>
                <c:ptCount val="4"/>
                <c:pt idx="0">
                  <c:v>0.056</c:v>
                </c:pt>
                <c:pt idx="1">
                  <c:v>0.053</c:v>
                </c:pt>
                <c:pt idx="2">
                  <c:v>0.114</c:v>
                </c:pt>
                <c:pt idx="3">
                  <c:v>0.082</c:v>
                </c:pt>
              </c:numCache>
            </c:numRef>
          </c:yVal>
          <c:smooth val="0"/>
        </c:ser>
        <c:ser>
          <c:idx val="3"/>
          <c:order val="3"/>
          <c:tx>
            <c:v>483 kPa</c:v>
          </c:tx>
          <c:spPr>
            <a:ln w="28575">
              <a:noFill/>
            </a:ln>
          </c:spPr>
          <c:marker>
            <c:symbol val="x"/>
            <c:size val="7"/>
            <c:spPr>
              <a:noFill/>
              <a:ln w="25400">
                <a:solidFill>
                  <a:srgbClr val="7030A0"/>
                </a:solidFill>
              </a:ln>
            </c:spPr>
          </c:marker>
          <c:xVal>
            <c:numLit>
              <c:formatCode>General</c:formatCode>
              <c:ptCount val="4"/>
              <c:pt idx="0">
                <c:v>2.0</c:v>
              </c:pt>
              <c:pt idx="1">
                <c:v>40.0</c:v>
              </c:pt>
              <c:pt idx="2">
                <c:v>70.0</c:v>
              </c:pt>
              <c:pt idx="3">
                <c:v>99.0</c:v>
              </c:pt>
            </c:numLit>
          </c:xVal>
          <c:yVal>
            <c:numRef>
              <c:f>'HF Flexure'!$H$66:$H$69</c:f>
              <c:numCache>
                <c:formatCode>0.0%</c:formatCode>
                <c:ptCount val="4"/>
                <c:pt idx="0">
                  <c:v>0.0</c:v>
                </c:pt>
                <c:pt idx="1">
                  <c:v>0.143</c:v>
                </c:pt>
                <c:pt idx="2">
                  <c:v>0.11</c:v>
                </c:pt>
                <c:pt idx="3">
                  <c:v>0.09</c:v>
                </c:pt>
              </c:numCache>
            </c:numRef>
          </c:yVal>
          <c:smooth val="0"/>
        </c:ser>
        <c:dLbls>
          <c:showLegendKey val="0"/>
          <c:showVal val="0"/>
          <c:showCatName val="0"/>
          <c:showSerName val="0"/>
          <c:showPercent val="0"/>
          <c:showBubbleSize val="0"/>
        </c:dLbls>
        <c:axId val="463405224"/>
        <c:axId val="463396744"/>
      </c:scatterChart>
      <c:valAx>
        <c:axId val="463405224"/>
        <c:scaling>
          <c:orientation val="minMax"/>
          <c:max val="100.0"/>
          <c:min val="0.0"/>
        </c:scaling>
        <c:delete val="0"/>
        <c:axPos val="b"/>
        <c:title>
          <c:tx>
            <c:rich>
              <a:bodyPr/>
              <a:lstStyle/>
              <a:p>
                <a:pPr>
                  <a:defRPr/>
                </a:pPr>
                <a:r>
                  <a:rPr lang="en-US"/>
                  <a:t>Humidity Exposure (% RH)</a:t>
                </a:r>
              </a:p>
            </c:rich>
          </c:tx>
          <c:overlay val="0"/>
        </c:title>
        <c:numFmt formatCode="#,##0" sourceLinked="0"/>
        <c:majorTickMark val="out"/>
        <c:minorTickMark val="in"/>
        <c:tickLblPos val="nextTo"/>
        <c:spPr>
          <a:ln w="12700" cmpd="sng">
            <a:solidFill>
              <a:sysClr val="windowText" lastClr="000000"/>
            </a:solidFill>
          </a:ln>
        </c:spPr>
        <c:txPr>
          <a:bodyPr rot="0" vert="horz"/>
          <a:lstStyle/>
          <a:p>
            <a:pPr>
              <a:defRPr/>
            </a:pPr>
            <a:endParaRPr lang="en-US"/>
          </a:p>
        </c:txPr>
        <c:crossAx val="463396744"/>
        <c:crosses val="autoZero"/>
        <c:crossBetween val="midCat"/>
        <c:majorUnit val="20.0"/>
        <c:minorUnit val="5.0"/>
      </c:valAx>
      <c:valAx>
        <c:axId val="463396744"/>
        <c:scaling>
          <c:orientation val="minMax"/>
          <c:max val="0.2"/>
          <c:min val="0.0"/>
        </c:scaling>
        <c:delete val="0"/>
        <c:axPos val="l"/>
        <c:title>
          <c:tx>
            <c:rich>
              <a:bodyPr rot="-5400000" vert="horz"/>
              <a:lstStyle/>
              <a:p>
                <a:pPr>
                  <a:defRPr/>
                </a:pPr>
                <a:r>
                  <a:rPr lang="en-US"/>
                  <a:t>Strength Percent Reduction</a:t>
                </a:r>
              </a:p>
            </c:rich>
          </c:tx>
          <c:overlay val="0"/>
        </c:title>
        <c:numFmt formatCode="0%" sourceLinked="0"/>
        <c:majorTickMark val="out"/>
        <c:minorTickMark val="in"/>
        <c:tickLblPos val="nextTo"/>
        <c:spPr>
          <a:ln w="12700" cmpd="sng">
            <a:solidFill>
              <a:sysClr val="windowText" lastClr="000000"/>
            </a:solidFill>
          </a:ln>
        </c:spPr>
        <c:crossAx val="463405224"/>
        <c:crosses val="autoZero"/>
        <c:crossBetween val="midCat"/>
        <c:majorUnit val="0.05"/>
        <c:minorUnit val="0.01"/>
      </c:valAx>
      <c:spPr>
        <a:ln w="12700" cmpd="sng">
          <a:solidFill>
            <a:sysClr val="windowText" lastClr="000000"/>
          </a:solidFill>
        </a:ln>
      </c:spPr>
    </c:plotArea>
    <c:legend>
      <c:legendPos val="r"/>
      <c:layout>
        <c:manualLayout>
          <c:xMode val="edge"/>
          <c:yMode val="edge"/>
          <c:x val="0.674371000643833"/>
          <c:y val="0.0414792458914385"/>
          <c:w val="0.23994614676862"/>
          <c:h val="0.230584971152631"/>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7976259323517"/>
          <c:y val="0.0398989898989899"/>
          <c:w val="0.675199445408307"/>
          <c:h val="0.752256637003257"/>
        </c:manualLayout>
      </c:layout>
      <c:scatterChart>
        <c:scatterStyle val="lineMarker"/>
        <c:varyColors val="0"/>
        <c:ser>
          <c:idx val="0"/>
          <c:order val="0"/>
          <c:tx>
            <c:v>2% RH</c:v>
          </c:tx>
          <c:spPr>
            <a:ln w="28575">
              <a:noFill/>
            </a:ln>
          </c:spPr>
          <c:marker>
            <c:symbol val="square"/>
            <c:size val="7"/>
            <c:spPr>
              <a:solidFill>
                <a:srgbClr val="0070C0">
                  <a:alpha val="50000"/>
                </a:srgbClr>
              </a:solidFill>
              <a:ln w="12700">
                <a:solidFill>
                  <a:schemeClr val="tx1"/>
                </a:solidFill>
              </a:ln>
            </c:spPr>
          </c:marker>
          <c:xVal>
            <c:numRef>
              <c:f>'HF Flexure'!$A$73:$A$76</c:f>
              <c:numCache>
                <c:formatCode>General</c:formatCode>
                <c:ptCount val="4"/>
                <c:pt idx="0">
                  <c:v>68.9</c:v>
                </c:pt>
                <c:pt idx="1">
                  <c:v>206.8</c:v>
                </c:pt>
                <c:pt idx="2">
                  <c:v>344.7</c:v>
                </c:pt>
                <c:pt idx="3">
                  <c:v>482.6</c:v>
                </c:pt>
              </c:numCache>
            </c:numRef>
          </c:xVal>
          <c:yVal>
            <c:numRef>
              <c:f>('HF Flexure'!$B$60,'HF Flexure'!$D$60,'HF Flexure'!$F$60,'HF Flexure'!$H$60)</c:f>
              <c:numCache>
                <c:formatCode>0.0%</c:formatCode>
                <c:ptCount val="4"/>
                <c:pt idx="0">
                  <c:v>0.064</c:v>
                </c:pt>
                <c:pt idx="1">
                  <c:v>0.079</c:v>
                </c:pt>
                <c:pt idx="2">
                  <c:v>0.0</c:v>
                </c:pt>
                <c:pt idx="3">
                  <c:v>0.024</c:v>
                </c:pt>
              </c:numCache>
            </c:numRef>
          </c:yVal>
          <c:smooth val="0"/>
        </c:ser>
        <c:ser>
          <c:idx val="1"/>
          <c:order val="1"/>
          <c:tx>
            <c:v>40% RH</c:v>
          </c:tx>
          <c:spPr>
            <a:ln w="28575">
              <a:noFill/>
            </a:ln>
          </c:spPr>
          <c:marker>
            <c:symbol val="circle"/>
            <c:size val="7"/>
            <c:spPr>
              <a:solidFill>
                <a:srgbClr val="C00000">
                  <a:alpha val="50000"/>
                </a:srgbClr>
              </a:solidFill>
              <a:ln w="12700">
                <a:solidFill>
                  <a:sysClr val="windowText" lastClr="000000"/>
                </a:solidFill>
              </a:ln>
            </c:spPr>
          </c:marker>
          <c:xVal>
            <c:numRef>
              <c:f>'HF Flexure'!$A$73:$A$76</c:f>
              <c:numCache>
                <c:formatCode>General</c:formatCode>
                <c:ptCount val="4"/>
                <c:pt idx="0">
                  <c:v>68.9</c:v>
                </c:pt>
                <c:pt idx="1">
                  <c:v>206.8</c:v>
                </c:pt>
                <c:pt idx="2">
                  <c:v>344.7</c:v>
                </c:pt>
                <c:pt idx="3">
                  <c:v>482.6</c:v>
                </c:pt>
              </c:numCache>
            </c:numRef>
          </c:xVal>
          <c:yVal>
            <c:numRef>
              <c:f>('HF Flexure'!$B$61,'HF Flexure'!$D$61,'HF Flexure'!$F$61,'HF Flexure'!$H$61)</c:f>
              <c:numCache>
                <c:formatCode>0.0%</c:formatCode>
                <c:ptCount val="4"/>
                <c:pt idx="0">
                  <c:v>0.078</c:v>
                </c:pt>
                <c:pt idx="1">
                  <c:v>0.045</c:v>
                </c:pt>
                <c:pt idx="2">
                  <c:v>0.03</c:v>
                </c:pt>
                <c:pt idx="3">
                  <c:v>0.043</c:v>
                </c:pt>
              </c:numCache>
            </c:numRef>
          </c:yVal>
          <c:smooth val="0"/>
        </c:ser>
        <c:ser>
          <c:idx val="2"/>
          <c:order val="2"/>
          <c:tx>
            <c:v>70% RH</c:v>
          </c:tx>
          <c:spPr>
            <a:ln w="28575">
              <a:noFill/>
            </a:ln>
          </c:spPr>
          <c:marker>
            <c:symbol val="triangle"/>
            <c:size val="7"/>
            <c:spPr>
              <a:solidFill>
                <a:srgbClr val="00B050">
                  <a:alpha val="50000"/>
                </a:srgbClr>
              </a:solidFill>
              <a:ln w="12700">
                <a:solidFill>
                  <a:schemeClr val="tx1"/>
                </a:solidFill>
              </a:ln>
            </c:spPr>
          </c:marker>
          <c:xVal>
            <c:numRef>
              <c:f>'HF Flexure'!$A$73:$A$76</c:f>
              <c:numCache>
                <c:formatCode>General</c:formatCode>
                <c:ptCount val="4"/>
                <c:pt idx="0">
                  <c:v>68.9</c:v>
                </c:pt>
                <c:pt idx="1">
                  <c:v>206.8</c:v>
                </c:pt>
                <c:pt idx="2">
                  <c:v>344.7</c:v>
                </c:pt>
                <c:pt idx="3">
                  <c:v>482.6</c:v>
                </c:pt>
              </c:numCache>
            </c:numRef>
          </c:xVal>
          <c:yVal>
            <c:numRef>
              <c:f>('HF Flexure'!$B$62,'HF Flexure'!$D$62,'HF Flexure'!$F$62,'HF Flexure'!$H$62)</c:f>
              <c:numCache>
                <c:formatCode>0.0%</c:formatCode>
                <c:ptCount val="4"/>
                <c:pt idx="0">
                  <c:v>0.068</c:v>
                </c:pt>
                <c:pt idx="1">
                  <c:v>0.055</c:v>
                </c:pt>
                <c:pt idx="2">
                  <c:v>0.039</c:v>
                </c:pt>
                <c:pt idx="3">
                  <c:v>0.059</c:v>
                </c:pt>
              </c:numCache>
            </c:numRef>
          </c:yVal>
          <c:smooth val="0"/>
        </c:ser>
        <c:ser>
          <c:idx val="3"/>
          <c:order val="3"/>
          <c:tx>
            <c:v>99% RH</c:v>
          </c:tx>
          <c:spPr>
            <a:ln w="28575">
              <a:noFill/>
            </a:ln>
          </c:spPr>
          <c:marker>
            <c:symbol val="x"/>
            <c:size val="7"/>
            <c:spPr>
              <a:noFill/>
              <a:ln w="25400">
                <a:solidFill>
                  <a:srgbClr val="7030A0"/>
                </a:solidFill>
              </a:ln>
            </c:spPr>
          </c:marker>
          <c:xVal>
            <c:numRef>
              <c:f>'HF Flexure'!$A$73:$A$76</c:f>
              <c:numCache>
                <c:formatCode>General</c:formatCode>
                <c:ptCount val="4"/>
                <c:pt idx="0">
                  <c:v>68.9</c:v>
                </c:pt>
                <c:pt idx="1">
                  <c:v>206.8</c:v>
                </c:pt>
                <c:pt idx="2">
                  <c:v>344.7</c:v>
                </c:pt>
                <c:pt idx="3">
                  <c:v>482.6</c:v>
                </c:pt>
              </c:numCache>
            </c:numRef>
          </c:xVal>
          <c:yVal>
            <c:numRef>
              <c:f>('HF Flexure'!$B$63,'HF Flexure'!$D$63,'HF Flexure'!$F$63,'HF Flexure'!$H$63)</c:f>
              <c:numCache>
                <c:formatCode>0.0%</c:formatCode>
                <c:ptCount val="4"/>
                <c:pt idx="0">
                  <c:v>0.048</c:v>
                </c:pt>
                <c:pt idx="1">
                  <c:v>0.073</c:v>
                </c:pt>
                <c:pt idx="2">
                  <c:v>0.058</c:v>
                </c:pt>
                <c:pt idx="3">
                  <c:v>0.06</c:v>
                </c:pt>
              </c:numCache>
            </c:numRef>
          </c:yVal>
          <c:smooth val="0"/>
        </c:ser>
        <c:dLbls>
          <c:showLegendKey val="0"/>
          <c:showVal val="0"/>
          <c:showCatName val="0"/>
          <c:showSerName val="0"/>
          <c:showPercent val="0"/>
          <c:showBubbleSize val="0"/>
        </c:dLbls>
        <c:axId val="463284456"/>
        <c:axId val="463276312"/>
      </c:scatterChart>
      <c:valAx>
        <c:axId val="463284456"/>
        <c:scaling>
          <c:orientation val="minMax"/>
          <c:max val="525.0"/>
          <c:min val="0.0"/>
        </c:scaling>
        <c:delete val="0"/>
        <c:axPos val="b"/>
        <c:title>
          <c:tx>
            <c:rich>
              <a:bodyPr/>
              <a:lstStyle/>
              <a:p>
                <a:pPr>
                  <a:defRPr/>
                </a:pPr>
                <a:r>
                  <a:rPr lang="en-US"/>
                  <a:t>Fabrication Pressure (kPa)</a:t>
                </a:r>
              </a:p>
            </c:rich>
          </c:tx>
          <c:overlay val="0"/>
        </c:title>
        <c:numFmt formatCode="#,##0" sourceLinked="0"/>
        <c:majorTickMark val="out"/>
        <c:minorTickMark val="in"/>
        <c:tickLblPos val="nextTo"/>
        <c:spPr>
          <a:ln w="12700" cmpd="sng">
            <a:solidFill>
              <a:sysClr val="windowText" lastClr="000000"/>
            </a:solidFill>
          </a:ln>
        </c:spPr>
        <c:txPr>
          <a:bodyPr rot="0" vert="horz"/>
          <a:lstStyle/>
          <a:p>
            <a:pPr>
              <a:defRPr/>
            </a:pPr>
            <a:endParaRPr lang="en-US"/>
          </a:p>
        </c:txPr>
        <c:crossAx val="463276312"/>
        <c:crosses val="autoZero"/>
        <c:crossBetween val="midCat"/>
        <c:majorUnit val="100.0"/>
        <c:minorUnit val="25.0"/>
      </c:valAx>
      <c:valAx>
        <c:axId val="463276312"/>
        <c:scaling>
          <c:orientation val="minMax"/>
          <c:max val="0.2"/>
          <c:min val="0.0"/>
        </c:scaling>
        <c:delete val="0"/>
        <c:axPos val="l"/>
        <c:title>
          <c:tx>
            <c:rich>
              <a:bodyPr rot="-5400000" vert="horz"/>
              <a:lstStyle/>
              <a:p>
                <a:pPr>
                  <a:defRPr/>
                </a:pPr>
                <a:r>
                  <a:rPr lang="en-US"/>
                  <a:t>Strength Percent Reduction</a:t>
                </a:r>
              </a:p>
            </c:rich>
          </c:tx>
          <c:overlay val="0"/>
        </c:title>
        <c:numFmt formatCode="0%" sourceLinked="0"/>
        <c:majorTickMark val="out"/>
        <c:minorTickMark val="in"/>
        <c:tickLblPos val="nextTo"/>
        <c:spPr>
          <a:ln w="12700" cmpd="sng">
            <a:solidFill>
              <a:sysClr val="windowText" lastClr="000000"/>
            </a:solidFill>
          </a:ln>
        </c:spPr>
        <c:crossAx val="463284456"/>
        <c:crosses val="autoZero"/>
        <c:crossBetween val="midCat"/>
        <c:majorUnit val="0.05"/>
        <c:minorUnit val="0.01"/>
      </c:valAx>
      <c:spPr>
        <a:ln w="12700" cmpd="sng">
          <a:solidFill>
            <a:sysClr val="windowText" lastClr="000000"/>
          </a:solidFill>
        </a:ln>
      </c:spPr>
    </c:plotArea>
    <c:legend>
      <c:legendPos val="r"/>
      <c:layout>
        <c:manualLayout>
          <c:xMode val="edge"/>
          <c:yMode val="edge"/>
          <c:x val="0.278898082654922"/>
          <c:y val="0.126939901743051"/>
          <c:w val="0.475343654077139"/>
          <c:h val="0.113072885120129"/>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7976259323517"/>
          <c:y val="0.0398989898989899"/>
          <c:w val="0.675199445408307"/>
          <c:h val="0.752256637003257"/>
        </c:manualLayout>
      </c:layout>
      <c:scatterChart>
        <c:scatterStyle val="lineMarker"/>
        <c:varyColors val="0"/>
        <c:ser>
          <c:idx val="0"/>
          <c:order val="0"/>
          <c:tx>
            <c:v>2% RH</c:v>
          </c:tx>
          <c:spPr>
            <a:ln w="28575">
              <a:noFill/>
            </a:ln>
          </c:spPr>
          <c:marker>
            <c:symbol val="square"/>
            <c:size val="7"/>
            <c:spPr>
              <a:solidFill>
                <a:srgbClr val="0070C0">
                  <a:alpha val="50000"/>
                </a:srgbClr>
              </a:solidFill>
              <a:ln w="12700">
                <a:solidFill>
                  <a:schemeClr val="tx1"/>
                </a:solidFill>
              </a:ln>
            </c:spPr>
          </c:marker>
          <c:xVal>
            <c:numRef>
              <c:f>'HF Flexure'!$A$73:$A$76</c:f>
              <c:numCache>
                <c:formatCode>General</c:formatCode>
                <c:ptCount val="4"/>
                <c:pt idx="0">
                  <c:v>68.9</c:v>
                </c:pt>
                <c:pt idx="1">
                  <c:v>206.8</c:v>
                </c:pt>
                <c:pt idx="2">
                  <c:v>344.7</c:v>
                </c:pt>
                <c:pt idx="3">
                  <c:v>482.6</c:v>
                </c:pt>
              </c:numCache>
            </c:numRef>
          </c:xVal>
          <c:yVal>
            <c:numRef>
              <c:f>('HF Flexure'!$B$66,'HF Flexure'!$D$66,'HF Flexure'!$F$66,'HF Flexure'!$H$66)</c:f>
              <c:numCache>
                <c:formatCode>0.0%</c:formatCode>
                <c:ptCount val="4"/>
                <c:pt idx="0">
                  <c:v>0.092</c:v>
                </c:pt>
                <c:pt idx="1">
                  <c:v>0.05</c:v>
                </c:pt>
                <c:pt idx="2">
                  <c:v>0.056</c:v>
                </c:pt>
                <c:pt idx="3">
                  <c:v>0.0</c:v>
                </c:pt>
              </c:numCache>
            </c:numRef>
          </c:yVal>
          <c:smooth val="0"/>
        </c:ser>
        <c:ser>
          <c:idx val="1"/>
          <c:order val="1"/>
          <c:tx>
            <c:v>40% RH</c:v>
          </c:tx>
          <c:spPr>
            <a:ln w="28575">
              <a:noFill/>
            </a:ln>
          </c:spPr>
          <c:marker>
            <c:symbol val="circle"/>
            <c:size val="7"/>
            <c:spPr>
              <a:solidFill>
                <a:srgbClr val="C00000">
                  <a:alpha val="50000"/>
                </a:srgbClr>
              </a:solidFill>
              <a:ln w="12700">
                <a:solidFill>
                  <a:sysClr val="windowText" lastClr="000000"/>
                </a:solidFill>
              </a:ln>
            </c:spPr>
          </c:marker>
          <c:xVal>
            <c:numRef>
              <c:f>'HF Flexure'!$A$73:$A$76</c:f>
              <c:numCache>
                <c:formatCode>General</c:formatCode>
                <c:ptCount val="4"/>
                <c:pt idx="0">
                  <c:v>68.9</c:v>
                </c:pt>
                <c:pt idx="1">
                  <c:v>206.8</c:v>
                </c:pt>
                <c:pt idx="2">
                  <c:v>344.7</c:v>
                </c:pt>
                <c:pt idx="3">
                  <c:v>482.6</c:v>
                </c:pt>
              </c:numCache>
            </c:numRef>
          </c:xVal>
          <c:yVal>
            <c:numRef>
              <c:f>('HF Flexure'!$B$67,'HF Flexure'!$D$67,'HF Flexure'!$F$67,'HF Flexure'!$H$67)</c:f>
              <c:numCache>
                <c:formatCode>0.0%</c:formatCode>
                <c:ptCount val="4"/>
                <c:pt idx="0">
                  <c:v>0.081</c:v>
                </c:pt>
                <c:pt idx="1">
                  <c:v>0.112</c:v>
                </c:pt>
                <c:pt idx="2">
                  <c:v>0.053</c:v>
                </c:pt>
                <c:pt idx="3">
                  <c:v>0.143</c:v>
                </c:pt>
              </c:numCache>
            </c:numRef>
          </c:yVal>
          <c:smooth val="0"/>
        </c:ser>
        <c:ser>
          <c:idx val="2"/>
          <c:order val="2"/>
          <c:tx>
            <c:v>70% RH</c:v>
          </c:tx>
          <c:spPr>
            <a:ln w="28575">
              <a:noFill/>
            </a:ln>
          </c:spPr>
          <c:marker>
            <c:symbol val="triangle"/>
            <c:size val="7"/>
            <c:spPr>
              <a:solidFill>
                <a:srgbClr val="00B050">
                  <a:alpha val="50000"/>
                </a:srgbClr>
              </a:solidFill>
              <a:ln w="12700">
                <a:solidFill>
                  <a:schemeClr val="tx1"/>
                </a:solidFill>
              </a:ln>
            </c:spPr>
          </c:marker>
          <c:xVal>
            <c:numRef>
              <c:f>'HF Flexure'!$A$73:$A$76</c:f>
              <c:numCache>
                <c:formatCode>General</c:formatCode>
                <c:ptCount val="4"/>
                <c:pt idx="0">
                  <c:v>68.9</c:v>
                </c:pt>
                <c:pt idx="1">
                  <c:v>206.8</c:v>
                </c:pt>
                <c:pt idx="2">
                  <c:v>344.7</c:v>
                </c:pt>
                <c:pt idx="3">
                  <c:v>482.6</c:v>
                </c:pt>
              </c:numCache>
            </c:numRef>
          </c:xVal>
          <c:yVal>
            <c:numRef>
              <c:f>('HF Flexure'!$B$68,'HF Flexure'!$D$68,'HF Flexure'!$F$68,'HF Flexure'!$H$68)</c:f>
              <c:numCache>
                <c:formatCode>0.0%</c:formatCode>
                <c:ptCount val="4"/>
                <c:pt idx="0">
                  <c:v>0.076</c:v>
                </c:pt>
                <c:pt idx="1">
                  <c:v>0.11</c:v>
                </c:pt>
                <c:pt idx="2">
                  <c:v>0.114</c:v>
                </c:pt>
                <c:pt idx="3">
                  <c:v>0.11</c:v>
                </c:pt>
              </c:numCache>
            </c:numRef>
          </c:yVal>
          <c:smooth val="0"/>
        </c:ser>
        <c:ser>
          <c:idx val="3"/>
          <c:order val="3"/>
          <c:tx>
            <c:v>99% RH</c:v>
          </c:tx>
          <c:spPr>
            <a:ln w="28575">
              <a:noFill/>
            </a:ln>
          </c:spPr>
          <c:marker>
            <c:symbol val="x"/>
            <c:size val="7"/>
            <c:spPr>
              <a:noFill/>
              <a:ln w="25400">
                <a:solidFill>
                  <a:srgbClr val="7030A0"/>
                </a:solidFill>
              </a:ln>
            </c:spPr>
          </c:marker>
          <c:xVal>
            <c:numRef>
              <c:f>'HF Flexure'!$A$73:$A$76</c:f>
              <c:numCache>
                <c:formatCode>General</c:formatCode>
                <c:ptCount val="4"/>
                <c:pt idx="0">
                  <c:v>68.9</c:v>
                </c:pt>
                <c:pt idx="1">
                  <c:v>206.8</c:v>
                </c:pt>
                <c:pt idx="2">
                  <c:v>344.7</c:v>
                </c:pt>
                <c:pt idx="3">
                  <c:v>482.6</c:v>
                </c:pt>
              </c:numCache>
            </c:numRef>
          </c:xVal>
          <c:yVal>
            <c:numRef>
              <c:f>('HF Flexure'!$B$69,'HF Flexure'!$D$69,'HF Flexure'!$F$69,'HF Flexure'!$H$69)</c:f>
              <c:numCache>
                <c:formatCode>0.0%</c:formatCode>
                <c:ptCount val="4"/>
                <c:pt idx="0">
                  <c:v>0.003</c:v>
                </c:pt>
                <c:pt idx="1">
                  <c:v>0.096</c:v>
                </c:pt>
                <c:pt idx="2">
                  <c:v>0.082</c:v>
                </c:pt>
                <c:pt idx="3">
                  <c:v>0.09</c:v>
                </c:pt>
              </c:numCache>
            </c:numRef>
          </c:yVal>
          <c:smooth val="0"/>
        </c:ser>
        <c:dLbls>
          <c:showLegendKey val="0"/>
          <c:showVal val="0"/>
          <c:showCatName val="0"/>
          <c:showSerName val="0"/>
          <c:showPercent val="0"/>
          <c:showBubbleSize val="0"/>
        </c:dLbls>
        <c:axId val="463120744"/>
        <c:axId val="463128600"/>
      </c:scatterChart>
      <c:valAx>
        <c:axId val="463120744"/>
        <c:scaling>
          <c:orientation val="minMax"/>
          <c:max val="525.0"/>
          <c:min val="0.0"/>
        </c:scaling>
        <c:delete val="0"/>
        <c:axPos val="b"/>
        <c:title>
          <c:tx>
            <c:rich>
              <a:bodyPr/>
              <a:lstStyle/>
              <a:p>
                <a:pPr>
                  <a:defRPr/>
                </a:pPr>
                <a:r>
                  <a:rPr lang="en-US"/>
                  <a:t>Fabrication Pressure (kPa)</a:t>
                </a:r>
              </a:p>
            </c:rich>
          </c:tx>
          <c:overlay val="0"/>
        </c:title>
        <c:numFmt formatCode="#,##0" sourceLinked="0"/>
        <c:majorTickMark val="out"/>
        <c:minorTickMark val="in"/>
        <c:tickLblPos val="nextTo"/>
        <c:spPr>
          <a:ln w="12700" cmpd="sng">
            <a:solidFill>
              <a:sysClr val="windowText" lastClr="000000"/>
            </a:solidFill>
          </a:ln>
        </c:spPr>
        <c:txPr>
          <a:bodyPr rot="0" vert="horz"/>
          <a:lstStyle/>
          <a:p>
            <a:pPr>
              <a:defRPr/>
            </a:pPr>
            <a:endParaRPr lang="en-US"/>
          </a:p>
        </c:txPr>
        <c:crossAx val="463128600"/>
        <c:crosses val="autoZero"/>
        <c:crossBetween val="midCat"/>
        <c:majorUnit val="100.0"/>
        <c:minorUnit val="25.0"/>
      </c:valAx>
      <c:valAx>
        <c:axId val="463128600"/>
        <c:scaling>
          <c:orientation val="minMax"/>
          <c:max val="0.2"/>
          <c:min val="0.0"/>
        </c:scaling>
        <c:delete val="0"/>
        <c:axPos val="l"/>
        <c:title>
          <c:tx>
            <c:rich>
              <a:bodyPr rot="-5400000" vert="horz"/>
              <a:lstStyle/>
              <a:p>
                <a:pPr>
                  <a:defRPr/>
                </a:pPr>
                <a:r>
                  <a:rPr lang="en-US"/>
                  <a:t>Strength Percent Reduction</a:t>
                </a:r>
              </a:p>
            </c:rich>
          </c:tx>
          <c:overlay val="0"/>
        </c:title>
        <c:numFmt formatCode="0%" sourceLinked="0"/>
        <c:majorTickMark val="out"/>
        <c:minorTickMark val="in"/>
        <c:tickLblPos val="nextTo"/>
        <c:spPr>
          <a:ln w="12700" cmpd="sng">
            <a:solidFill>
              <a:sysClr val="windowText" lastClr="000000"/>
            </a:solidFill>
          </a:ln>
        </c:spPr>
        <c:crossAx val="463120744"/>
        <c:crosses val="autoZero"/>
        <c:crossBetween val="midCat"/>
        <c:minorUnit val="0.01"/>
      </c:valAx>
      <c:spPr>
        <a:ln w="12700" cmpd="sng">
          <a:solidFill>
            <a:sysClr val="windowText" lastClr="000000"/>
          </a:solidFill>
        </a:ln>
      </c:spPr>
    </c:plotArea>
    <c:legend>
      <c:legendPos val="r"/>
      <c:layout>
        <c:manualLayout>
          <c:xMode val="edge"/>
          <c:yMode val="edge"/>
          <c:x val="0.278898082654922"/>
          <c:y val="0.126797423491806"/>
          <c:w val="0.499017797348165"/>
          <c:h val="0.113272476952126"/>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7976630039889"/>
          <c:y val="0.0398989898989899"/>
          <c:w val="0.675199445408307"/>
          <c:h val="0.752256637003257"/>
        </c:manualLayout>
      </c:layout>
      <c:scatterChart>
        <c:scatterStyle val="lineMarker"/>
        <c:varyColors val="0"/>
        <c:ser>
          <c:idx val="0"/>
          <c:order val="0"/>
          <c:tx>
            <c:v>2% RH</c:v>
          </c:tx>
          <c:spPr>
            <a:ln w="28575">
              <a:noFill/>
            </a:ln>
          </c:spPr>
          <c:marker>
            <c:symbol val="square"/>
            <c:size val="7"/>
            <c:spPr>
              <a:solidFill>
                <a:srgbClr val="0070C0">
                  <a:alpha val="50000"/>
                </a:srgbClr>
              </a:solidFill>
              <a:ln w="12700">
                <a:solidFill>
                  <a:schemeClr val="tx1"/>
                </a:solidFill>
              </a:ln>
            </c:spPr>
          </c:marker>
          <c:xVal>
            <c:numRef>
              <c:f>('HF Flexure'!$B$89,'HF Flexure'!$D$89,'HF Flexure'!$F$89,'HF Flexure'!$H$89)</c:f>
              <c:numCache>
                <c:formatCode>General</c:formatCode>
                <c:ptCount val="4"/>
                <c:pt idx="0">
                  <c:v>3.308</c:v>
                </c:pt>
                <c:pt idx="1">
                  <c:v>2.1282</c:v>
                </c:pt>
                <c:pt idx="2">
                  <c:v>1.5767</c:v>
                </c:pt>
                <c:pt idx="3">
                  <c:v>1.4123</c:v>
                </c:pt>
              </c:numCache>
            </c:numRef>
          </c:xVal>
          <c:yVal>
            <c:numRef>
              <c:f>('HF Flexure'!$L$60,'HF Flexure'!$N$60,'HF Flexure'!$P$60,'HF Flexure'!$R$60)</c:f>
              <c:numCache>
                <c:formatCode>0.0%</c:formatCode>
                <c:ptCount val="4"/>
                <c:pt idx="0">
                  <c:v>0.088</c:v>
                </c:pt>
                <c:pt idx="1">
                  <c:v>0.047</c:v>
                </c:pt>
                <c:pt idx="2">
                  <c:v>0.01</c:v>
                </c:pt>
                <c:pt idx="3">
                  <c:v>0.03</c:v>
                </c:pt>
              </c:numCache>
            </c:numRef>
          </c:yVal>
          <c:smooth val="0"/>
        </c:ser>
        <c:ser>
          <c:idx val="1"/>
          <c:order val="1"/>
          <c:tx>
            <c:v>40% RH</c:v>
          </c:tx>
          <c:spPr>
            <a:ln w="28575">
              <a:noFill/>
            </a:ln>
          </c:spPr>
          <c:marker>
            <c:symbol val="circle"/>
            <c:size val="7"/>
            <c:spPr>
              <a:solidFill>
                <a:srgbClr val="C00000">
                  <a:alpha val="50000"/>
                </a:srgbClr>
              </a:solidFill>
              <a:ln w="12700">
                <a:solidFill>
                  <a:sysClr val="windowText" lastClr="000000"/>
                </a:solidFill>
              </a:ln>
            </c:spPr>
          </c:marker>
          <c:xVal>
            <c:numRef>
              <c:f>('HF Flexure'!$B$90,'HF Flexure'!$D$90,'HF Flexure'!$F$90,'HF Flexure'!$H$90)</c:f>
              <c:numCache>
                <c:formatCode>General</c:formatCode>
                <c:ptCount val="4"/>
                <c:pt idx="0">
                  <c:v>6.8199</c:v>
                </c:pt>
                <c:pt idx="1">
                  <c:v>2.8913</c:v>
                </c:pt>
                <c:pt idx="2">
                  <c:v>3.0097</c:v>
                </c:pt>
                <c:pt idx="3">
                  <c:v>2.3643</c:v>
                </c:pt>
              </c:numCache>
            </c:numRef>
          </c:xVal>
          <c:yVal>
            <c:numRef>
              <c:f>('HF Flexure'!$L$61,'HF Flexure'!$N$61,'HF Flexure'!$P$61,'HF Flexure'!$R$61)</c:f>
              <c:numCache>
                <c:formatCode>0.0%</c:formatCode>
                <c:ptCount val="4"/>
                <c:pt idx="0">
                  <c:v>0.035</c:v>
                </c:pt>
                <c:pt idx="1">
                  <c:v>0.047</c:v>
                </c:pt>
                <c:pt idx="2">
                  <c:v>0.013</c:v>
                </c:pt>
                <c:pt idx="3">
                  <c:v>0.029</c:v>
                </c:pt>
              </c:numCache>
            </c:numRef>
          </c:yVal>
          <c:smooth val="0"/>
        </c:ser>
        <c:ser>
          <c:idx val="2"/>
          <c:order val="2"/>
          <c:tx>
            <c:v>70% RH</c:v>
          </c:tx>
          <c:spPr>
            <a:ln w="28575">
              <a:noFill/>
            </a:ln>
          </c:spPr>
          <c:marker>
            <c:symbol val="triangle"/>
            <c:size val="7"/>
            <c:spPr>
              <a:solidFill>
                <a:srgbClr val="00B050">
                  <a:alpha val="50000"/>
                </a:srgbClr>
              </a:solidFill>
              <a:ln w="12700">
                <a:solidFill>
                  <a:schemeClr val="tx1"/>
                </a:solidFill>
              </a:ln>
            </c:spPr>
          </c:marker>
          <c:xVal>
            <c:numRef>
              <c:f>('HF Flexure'!$B$91,'HF Flexure'!$D$91,'HF Flexure'!$F$91,'HF Flexure'!$H$91)</c:f>
              <c:numCache>
                <c:formatCode>General</c:formatCode>
                <c:ptCount val="4"/>
                <c:pt idx="0">
                  <c:v>8.845600000000002</c:v>
                </c:pt>
                <c:pt idx="1">
                  <c:v>5.9444</c:v>
                </c:pt>
                <c:pt idx="2">
                  <c:v>4.8198</c:v>
                </c:pt>
                <c:pt idx="3">
                  <c:v>4.0156</c:v>
                </c:pt>
              </c:numCache>
            </c:numRef>
          </c:xVal>
          <c:yVal>
            <c:numRef>
              <c:f>('HF Flexure'!$L$62,'HF Flexure'!$N$62,'HF Flexure'!$P$62,'HF Flexure'!$R$62)</c:f>
              <c:numCache>
                <c:formatCode>0.0%</c:formatCode>
                <c:ptCount val="4"/>
                <c:pt idx="0">
                  <c:v>0.021</c:v>
                </c:pt>
                <c:pt idx="1">
                  <c:v>0.005</c:v>
                </c:pt>
                <c:pt idx="2">
                  <c:v>0.023</c:v>
                </c:pt>
                <c:pt idx="3">
                  <c:v>0.039</c:v>
                </c:pt>
              </c:numCache>
            </c:numRef>
          </c:yVal>
          <c:smooth val="0"/>
        </c:ser>
        <c:ser>
          <c:idx val="3"/>
          <c:order val="3"/>
          <c:tx>
            <c:v>99% RH</c:v>
          </c:tx>
          <c:spPr>
            <a:ln w="28575">
              <a:noFill/>
            </a:ln>
          </c:spPr>
          <c:marker>
            <c:symbol val="x"/>
            <c:size val="7"/>
            <c:spPr>
              <a:noFill/>
              <a:ln w="25400">
                <a:solidFill>
                  <a:srgbClr val="7030A0"/>
                </a:solidFill>
              </a:ln>
            </c:spPr>
          </c:marker>
          <c:xVal>
            <c:numRef>
              <c:f>('HF Flexure'!$B$92,'HF Flexure'!$D$92,'HF Flexure'!$F$92,'HF Flexure'!$H$92)</c:f>
              <c:numCache>
                <c:formatCode>General</c:formatCode>
                <c:ptCount val="4"/>
                <c:pt idx="0">
                  <c:v>8.1753</c:v>
                </c:pt>
                <c:pt idx="1">
                  <c:v>5.2802</c:v>
                </c:pt>
                <c:pt idx="2">
                  <c:v>4.568499999999998</c:v>
                </c:pt>
                <c:pt idx="3">
                  <c:v>4.2218</c:v>
                </c:pt>
              </c:numCache>
            </c:numRef>
          </c:xVal>
          <c:yVal>
            <c:numRef>
              <c:f>('HF Flexure'!$L$63,'HF Flexure'!$N$63,'HF Flexure'!$P$63,'HF Flexure'!$R$63)</c:f>
              <c:numCache>
                <c:formatCode>0.0%</c:formatCode>
                <c:ptCount val="4"/>
                <c:pt idx="0">
                  <c:v>0.015</c:v>
                </c:pt>
                <c:pt idx="1">
                  <c:v>0.01</c:v>
                </c:pt>
                <c:pt idx="2">
                  <c:v>0.041</c:v>
                </c:pt>
                <c:pt idx="3">
                  <c:v>0.022</c:v>
                </c:pt>
              </c:numCache>
            </c:numRef>
          </c:yVal>
          <c:smooth val="0"/>
        </c:ser>
        <c:dLbls>
          <c:showLegendKey val="0"/>
          <c:showVal val="0"/>
          <c:showCatName val="0"/>
          <c:showSerName val="0"/>
          <c:showPercent val="0"/>
          <c:showBubbleSize val="0"/>
        </c:dLbls>
        <c:axId val="462907432"/>
        <c:axId val="462915384"/>
      </c:scatterChart>
      <c:valAx>
        <c:axId val="462907432"/>
        <c:scaling>
          <c:orientation val="minMax"/>
          <c:max val="10.0"/>
          <c:min val="0.0"/>
        </c:scaling>
        <c:delete val="0"/>
        <c:axPos val="b"/>
        <c:title>
          <c:tx>
            <c:rich>
              <a:bodyPr/>
              <a:lstStyle/>
              <a:p>
                <a:pPr>
                  <a:defRPr/>
                </a:pPr>
                <a:r>
                  <a:rPr lang="en-US"/>
                  <a:t>Fluid Content (% wt.)</a:t>
                </a:r>
              </a:p>
            </c:rich>
          </c:tx>
          <c:overlay val="0"/>
        </c:title>
        <c:numFmt formatCode="#,##0" sourceLinked="0"/>
        <c:majorTickMark val="out"/>
        <c:minorTickMark val="in"/>
        <c:tickLblPos val="nextTo"/>
        <c:spPr>
          <a:ln w="12700" cmpd="sng">
            <a:solidFill>
              <a:sysClr val="windowText" lastClr="000000"/>
            </a:solidFill>
          </a:ln>
        </c:spPr>
        <c:txPr>
          <a:bodyPr rot="0" vert="horz"/>
          <a:lstStyle/>
          <a:p>
            <a:pPr>
              <a:defRPr/>
            </a:pPr>
            <a:endParaRPr lang="en-US"/>
          </a:p>
        </c:txPr>
        <c:crossAx val="462915384"/>
        <c:crosses val="autoZero"/>
        <c:crossBetween val="midCat"/>
        <c:majorUnit val="2.0"/>
        <c:minorUnit val="0.5"/>
      </c:valAx>
      <c:valAx>
        <c:axId val="462915384"/>
        <c:scaling>
          <c:orientation val="minMax"/>
          <c:max val="0.11"/>
          <c:min val="0.0"/>
        </c:scaling>
        <c:delete val="0"/>
        <c:axPos val="l"/>
        <c:title>
          <c:tx>
            <c:rich>
              <a:bodyPr rot="-5400000" vert="horz"/>
              <a:lstStyle/>
              <a:p>
                <a:pPr>
                  <a:defRPr/>
                </a:pPr>
                <a:r>
                  <a:rPr lang="en-US"/>
                  <a:t>Stiffness Percent Reduction</a:t>
                </a:r>
              </a:p>
            </c:rich>
          </c:tx>
          <c:overlay val="0"/>
        </c:title>
        <c:numFmt formatCode="0%" sourceLinked="0"/>
        <c:majorTickMark val="out"/>
        <c:minorTickMark val="in"/>
        <c:tickLblPos val="nextTo"/>
        <c:spPr>
          <a:ln w="12700" cmpd="sng">
            <a:solidFill>
              <a:sysClr val="windowText" lastClr="000000"/>
            </a:solidFill>
          </a:ln>
        </c:spPr>
        <c:crossAx val="462907432"/>
        <c:crosses val="autoZero"/>
        <c:crossBetween val="midCat"/>
        <c:minorUnit val="0.005"/>
      </c:valAx>
      <c:spPr>
        <a:ln w="12700" cmpd="sng">
          <a:solidFill>
            <a:sysClr val="windowText" lastClr="000000"/>
          </a:solidFill>
        </a:ln>
      </c:spPr>
    </c:plotArea>
    <c:legend>
      <c:legendPos val="r"/>
      <c:layout>
        <c:manualLayout>
          <c:xMode val="edge"/>
          <c:yMode val="edge"/>
          <c:x val="0.67908640657206"/>
          <c:y val="0.0468116837921687"/>
          <c:w val="0.235230659726856"/>
          <c:h val="0.225252555782957"/>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7976630039889"/>
          <c:y val="0.0398989898989899"/>
          <c:w val="0.675199445408307"/>
          <c:h val="0.752256637003257"/>
        </c:manualLayout>
      </c:layout>
      <c:scatterChart>
        <c:scatterStyle val="lineMarker"/>
        <c:varyColors val="0"/>
        <c:ser>
          <c:idx val="0"/>
          <c:order val="0"/>
          <c:tx>
            <c:v>2% RH</c:v>
          </c:tx>
          <c:spPr>
            <a:ln w="28575">
              <a:noFill/>
            </a:ln>
          </c:spPr>
          <c:marker>
            <c:symbol val="square"/>
            <c:size val="7"/>
            <c:spPr>
              <a:solidFill>
                <a:srgbClr val="0070C0">
                  <a:alpha val="50000"/>
                </a:srgbClr>
              </a:solidFill>
              <a:ln w="12700">
                <a:solidFill>
                  <a:schemeClr val="tx1"/>
                </a:solidFill>
              </a:ln>
            </c:spPr>
          </c:marker>
          <c:xVal>
            <c:numRef>
              <c:f>('HF Flexure'!$B$95,'HF Flexure'!$D$95,'HF Flexure'!$F$95,'HF Flexure'!$H$95)</c:f>
              <c:numCache>
                <c:formatCode>General</c:formatCode>
                <c:ptCount val="4"/>
                <c:pt idx="0">
                  <c:v>0.6281</c:v>
                </c:pt>
                <c:pt idx="1">
                  <c:v>0.5364</c:v>
                </c:pt>
                <c:pt idx="2">
                  <c:v>0.5058</c:v>
                </c:pt>
                <c:pt idx="3">
                  <c:v>0.4759</c:v>
                </c:pt>
              </c:numCache>
            </c:numRef>
          </c:xVal>
          <c:yVal>
            <c:numRef>
              <c:f>('HF Flexure'!$L$66,'HF Flexure'!$N$66,'HF Flexure'!$P$66,'HF Flexure'!$R$66)</c:f>
              <c:numCache>
                <c:formatCode>0.0%</c:formatCode>
                <c:ptCount val="4"/>
                <c:pt idx="0">
                  <c:v>0.013</c:v>
                </c:pt>
                <c:pt idx="1">
                  <c:v>0.016</c:v>
                </c:pt>
                <c:pt idx="2">
                  <c:v>0.033</c:v>
                </c:pt>
                <c:pt idx="3">
                  <c:v>0.051</c:v>
                </c:pt>
              </c:numCache>
            </c:numRef>
          </c:yVal>
          <c:smooth val="0"/>
        </c:ser>
        <c:ser>
          <c:idx val="1"/>
          <c:order val="1"/>
          <c:tx>
            <c:v>40% RH</c:v>
          </c:tx>
          <c:spPr>
            <a:ln w="28575">
              <a:noFill/>
            </a:ln>
          </c:spPr>
          <c:marker>
            <c:symbol val="circle"/>
            <c:size val="7"/>
            <c:spPr>
              <a:solidFill>
                <a:srgbClr val="C00000">
                  <a:alpha val="50000"/>
                </a:srgbClr>
              </a:solidFill>
              <a:ln w="12700">
                <a:solidFill>
                  <a:sysClr val="windowText" lastClr="000000"/>
                </a:solidFill>
              </a:ln>
            </c:spPr>
          </c:marker>
          <c:xVal>
            <c:numRef>
              <c:f>('HF Flexure'!$B$96,'HF Flexure'!$D$96,'HF Flexure'!$F$96,'HF Flexure'!$H$96)</c:f>
              <c:numCache>
                <c:formatCode>General</c:formatCode>
                <c:ptCount val="4"/>
                <c:pt idx="0">
                  <c:v>0.7613</c:v>
                </c:pt>
                <c:pt idx="1">
                  <c:v>0.6145</c:v>
                </c:pt>
                <c:pt idx="2">
                  <c:v>0.5391</c:v>
                </c:pt>
                <c:pt idx="3">
                  <c:v>0.5729</c:v>
                </c:pt>
              </c:numCache>
            </c:numRef>
          </c:xVal>
          <c:yVal>
            <c:numRef>
              <c:f>('HF Flexure'!$L$67,'HF Flexure'!$N$67,'HF Flexure'!$P$67,'HF Flexure'!$R$67)</c:f>
              <c:numCache>
                <c:formatCode>0.0%</c:formatCode>
                <c:ptCount val="4"/>
                <c:pt idx="0">
                  <c:v>0.015</c:v>
                </c:pt>
                <c:pt idx="1">
                  <c:v>0.018</c:v>
                </c:pt>
                <c:pt idx="2">
                  <c:v>0.043</c:v>
                </c:pt>
                <c:pt idx="3">
                  <c:v>0.038</c:v>
                </c:pt>
              </c:numCache>
            </c:numRef>
          </c:yVal>
          <c:smooth val="0"/>
        </c:ser>
        <c:ser>
          <c:idx val="2"/>
          <c:order val="2"/>
          <c:tx>
            <c:v>70% RH</c:v>
          </c:tx>
          <c:spPr>
            <a:ln w="28575">
              <a:noFill/>
            </a:ln>
          </c:spPr>
          <c:marker>
            <c:symbol val="triangle"/>
            <c:size val="7"/>
            <c:spPr>
              <a:solidFill>
                <a:srgbClr val="00B050">
                  <a:alpha val="50000"/>
                </a:srgbClr>
              </a:solidFill>
              <a:ln w="12700">
                <a:solidFill>
                  <a:schemeClr val="tx1"/>
                </a:solidFill>
              </a:ln>
            </c:spPr>
          </c:marker>
          <c:xVal>
            <c:numRef>
              <c:f>('HF Flexure'!$B$97,'HF Flexure'!$D$97,'HF Flexure'!$F$97,'HF Flexure'!$H$97)</c:f>
              <c:numCache>
                <c:formatCode>General</c:formatCode>
                <c:ptCount val="4"/>
                <c:pt idx="0">
                  <c:v>1.189</c:v>
                </c:pt>
                <c:pt idx="1">
                  <c:v>0.8283</c:v>
                </c:pt>
                <c:pt idx="2">
                  <c:v>0.7259</c:v>
                </c:pt>
                <c:pt idx="3">
                  <c:v>0.6699</c:v>
                </c:pt>
              </c:numCache>
            </c:numRef>
          </c:xVal>
          <c:yVal>
            <c:numRef>
              <c:f>('HF Flexure'!$L$68,'HF Flexure'!$N$68,'HF Flexure'!$P$68,'HF Flexure'!$R$68)</c:f>
              <c:numCache>
                <c:formatCode>0.0%</c:formatCode>
                <c:ptCount val="4"/>
                <c:pt idx="0">
                  <c:v>0.011</c:v>
                </c:pt>
                <c:pt idx="1">
                  <c:v>0.0</c:v>
                </c:pt>
                <c:pt idx="2">
                  <c:v>0.044</c:v>
                </c:pt>
                <c:pt idx="3">
                  <c:v>0.044</c:v>
                </c:pt>
              </c:numCache>
            </c:numRef>
          </c:yVal>
          <c:smooth val="0"/>
        </c:ser>
        <c:ser>
          <c:idx val="3"/>
          <c:order val="3"/>
          <c:tx>
            <c:v>99% RH</c:v>
          </c:tx>
          <c:spPr>
            <a:ln w="28575">
              <a:noFill/>
            </a:ln>
          </c:spPr>
          <c:marker>
            <c:symbol val="x"/>
            <c:size val="7"/>
            <c:spPr>
              <a:noFill/>
              <a:ln w="25400">
                <a:solidFill>
                  <a:srgbClr val="7030A0"/>
                </a:solidFill>
              </a:ln>
            </c:spPr>
          </c:marker>
          <c:xVal>
            <c:numRef>
              <c:f>('HF Flexure'!$B$98,'HF Flexure'!$D$98,'HF Flexure'!$F$98,'HF Flexure'!$H$98)</c:f>
              <c:numCache>
                <c:formatCode>General</c:formatCode>
                <c:ptCount val="4"/>
                <c:pt idx="0">
                  <c:v>1.6396</c:v>
                </c:pt>
                <c:pt idx="1">
                  <c:v>1.3197</c:v>
                </c:pt>
                <c:pt idx="2">
                  <c:v>1.0752</c:v>
                </c:pt>
                <c:pt idx="3">
                  <c:v>1.3197</c:v>
                </c:pt>
              </c:numCache>
            </c:numRef>
          </c:xVal>
          <c:yVal>
            <c:numRef>
              <c:f>('HF Flexure'!$L$69,'HF Flexure'!$N$69,'HF Flexure'!$P$69,'HF Flexure'!$R$69)</c:f>
              <c:numCache>
                <c:formatCode>0.0%</c:formatCode>
                <c:ptCount val="4"/>
                <c:pt idx="0">
                  <c:v>0.024</c:v>
                </c:pt>
                <c:pt idx="1">
                  <c:v>0.046</c:v>
                </c:pt>
                <c:pt idx="2">
                  <c:v>0.046</c:v>
                </c:pt>
                <c:pt idx="3">
                  <c:v>0.049</c:v>
                </c:pt>
              </c:numCache>
            </c:numRef>
          </c:yVal>
          <c:smooth val="0"/>
        </c:ser>
        <c:dLbls>
          <c:showLegendKey val="0"/>
          <c:showVal val="0"/>
          <c:showCatName val="0"/>
          <c:showSerName val="0"/>
          <c:showPercent val="0"/>
          <c:showBubbleSize val="0"/>
        </c:dLbls>
        <c:axId val="462958952"/>
        <c:axId val="462967000"/>
      </c:scatterChart>
      <c:valAx>
        <c:axId val="462958952"/>
        <c:scaling>
          <c:orientation val="minMax"/>
          <c:min val="0.0"/>
        </c:scaling>
        <c:delete val="0"/>
        <c:axPos val="b"/>
        <c:title>
          <c:tx>
            <c:rich>
              <a:bodyPr/>
              <a:lstStyle/>
              <a:p>
                <a:pPr>
                  <a:defRPr/>
                </a:pPr>
                <a:r>
                  <a:rPr lang="en-US"/>
                  <a:t>Fluid Content (% wt.)</a:t>
                </a:r>
              </a:p>
            </c:rich>
          </c:tx>
          <c:overlay val="0"/>
        </c:title>
        <c:numFmt formatCode="#,##0.0" sourceLinked="0"/>
        <c:majorTickMark val="out"/>
        <c:minorTickMark val="in"/>
        <c:tickLblPos val="nextTo"/>
        <c:spPr>
          <a:ln w="12700" cmpd="sng">
            <a:solidFill>
              <a:sysClr val="windowText" lastClr="000000"/>
            </a:solidFill>
          </a:ln>
        </c:spPr>
        <c:txPr>
          <a:bodyPr rot="0" vert="horz"/>
          <a:lstStyle/>
          <a:p>
            <a:pPr>
              <a:defRPr/>
            </a:pPr>
            <a:endParaRPr lang="en-US"/>
          </a:p>
        </c:txPr>
        <c:crossAx val="462967000"/>
        <c:crosses val="autoZero"/>
        <c:crossBetween val="midCat"/>
        <c:majorUnit val="0.5"/>
      </c:valAx>
      <c:valAx>
        <c:axId val="462967000"/>
        <c:scaling>
          <c:orientation val="minMax"/>
          <c:max val="0.11"/>
          <c:min val="0.0"/>
        </c:scaling>
        <c:delete val="0"/>
        <c:axPos val="l"/>
        <c:title>
          <c:tx>
            <c:rich>
              <a:bodyPr rot="-5400000" vert="horz"/>
              <a:lstStyle/>
              <a:p>
                <a:pPr>
                  <a:defRPr/>
                </a:pPr>
                <a:r>
                  <a:rPr lang="en-US"/>
                  <a:t>Stiffness Percent Reduction</a:t>
                </a:r>
              </a:p>
            </c:rich>
          </c:tx>
          <c:overlay val="0"/>
        </c:title>
        <c:numFmt formatCode="0%" sourceLinked="0"/>
        <c:majorTickMark val="out"/>
        <c:minorTickMark val="in"/>
        <c:tickLblPos val="nextTo"/>
        <c:spPr>
          <a:ln w="12700" cmpd="sng">
            <a:solidFill>
              <a:sysClr val="windowText" lastClr="000000"/>
            </a:solidFill>
          </a:ln>
        </c:spPr>
        <c:crossAx val="462958952"/>
        <c:crosses val="autoZero"/>
        <c:crossBetween val="midCat"/>
        <c:majorUnit val="0.02"/>
        <c:minorUnit val="0.005"/>
      </c:valAx>
      <c:spPr>
        <a:ln w="12700" cmpd="sng">
          <a:solidFill>
            <a:sysClr val="windowText" lastClr="000000"/>
          </a:solidFill>
        </a:ln>
      </c:spPr>
    </c:plotArea>
    <c:legend>
      <c:legendPos val="r"/>
      <c:layout>
        <c:manualLayout>
          <c:xMode val="edge"/>
          <c:yMode val="edge"/>
          <c:x val="0.67908640657206"/>
          <c:y val="0.0468116837921687"/>
          <c:w val="0.235230659726856"/>
          <c:h val="0.225252555782957"/>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3268532111452"/>
          <c:y val="0.0398989898989899"/>
          <c:w val="0.679907543336744"/>
          <c:h val="0.752256637003257"/>
        </c:manualLayout>
      </c:layout>
      <c:scatterChart>
        <c:scatterStyle val="lineMarker"/>
        <c:varyColors val="0"/>
        <c:ser>
          <c:idx val="0"/>
          <c:order val="0"/>
          <c:tx>
            <c:v>69 kPa</c:v>
          </c:tx>
          <c:spPr>
            <a:ln w="28575">
              <a:noFill/>
            </a:ln>
          </c:spPr>
          <c:marker>
            <c:symbol val="square"/>
            <c:size val="7"/>
            <c:spPr>
              <a:solidFill>
                <a:srgbClr val="0070C0">
                  <a:alpha val="50000"/>
                </a:srgbClr>
              </a:solidFill>
              <a:ln w="12700">
                <a:solidFill>
                  <a:schemeClr val="tx1"/>
                </a:solidFill>
              </a:ln>
            </c:spPr>
          </c:marker>
          <c:xVal>
            <c:numRef>
              <c:f>'HF Flexure'!$B$89:$B$92</c:f>
              <c:numCache>
                <c:formatCode>General</c:formatCode>
                <c:ptCount val="4"/>
                <c:pt idx="0">
                  <c:v>3.308</c:v>
                </c:pt>
                <c:pt idx="1">
                  <c:v>6.8199</c:v>
                </c:pt>
                <c:pt idx="2">
                  <c:v>8.845600000000002</c:v>
                </c:pt>
                <c:pt idx="3">
                  <c:v>8.1753</c:v>
                </c:pt>
              </c:numCache>
            </c:numRef>
          </c:xVal>
          <c:yVal>
            <c:numRef>
              <c:f>'HF Flexure'!$L$60:$L$63</c:f>
              <c:numCache>
                <c:formatCode>0.0%</c:formatCode>
                <c:ptCount val="4"/>
                <c:pt idx="0">
                  <c:v>0.088</c:v>
                </c:pt>
                <c:pt idx="1">
                  <c:v>0.035</c:v>
                </c:pt>
                <c:pt idx="2">
                  <c:v>0.021</c:v>
                </c:pt>
                <c:pt idx="3">
                  <c:v>0.015</c:v>
                </c:pt>
              </c:numCache>
            </c:numRef>
          </c:yVal>
          <c:smooth val="0"/>
        </c:ser>
        <c:ser>
          <c:idx val="1"/>
          <c:order val="1"/>
          <c:tx>
            <c:v>207 kPa</c:v>
          </c:tx>
          <c:spPr>
            <a:ln w="28575">
              <a:noFill/>
            </a:ln>
          </c:spPr>
          <c:marker>
            <c:symbol val="circle"/>
            <c:size val="7"/>
            <c:spPr>
              <a:solidFill>
                <a:srgbClr val="C00000">
                  <a:alpha val="50000"/>
                </a:srgbClr>
              </a:solidFill>
              <a:ln w="12700">
                <a:solidFill>
                  <a:sysClr val="windowText" lastClr="000000"/>
                </a:solidFill>
              </a:ln>
            </c:spPr>
          </c:marker>
          <c:xVal>
            <c:numRef>
              <c:f>'HF Flexure'!$D$89:$D$92</c:f>
              <c:numCache>
                <c:formatCode>General</c:formatCode>
                <c:ptCount val="4"/>
                <c:pt idx="0">
                  <c:v>2.1282</c:v>
                </c:pt>
                <c:pt idx="1">
                  <c:v>2.8913</c:v>
                </c:pt>
                <c:pt idx="2">
                  <c:v>5.9444</c:v>
                </c:pt>
                <c:pt idx="3">
                  <c:v>5.2802</c:v>
                </c:pt>
              </c:numCache>
            </c:numRef>
          </c:xVal>
          <c:yVal>
            <c:numRef>
              <c:f>'HF Flexure'!$N$60:$N$63</c:f>
              <c:numCache>
                <c:formatCode>0.0%</c:formatCode>
                <c:ptCount val="4"/>
                <c:pt idx="0">
                  <c:v>0.047</c:v>
                </c:pt>
                <c:pt idx="1">
                  <c:v>0.047</c:v>
                </c:pt>
                <c:pt idx="2">
                  <c:v>0.005</c:v>
                </c:pt>
                <c:pt idx="3">
                  <c:v>0.01</c:v>
                </c:pt>
              </c:numCache>
            </c:numRef>
          </c:yVal>
          <c:smooth val="0"/>
        </c:ser>
        <c:ser>
          <c:idx val="2"/>
          <c:order val="2"/>
          <c:tx>
            <c:v>345 kPa</c:v>
          </c:tx>
          <c:spPr>
            <a:ln w="28575">
              <a:noFill/>
            </a:ln>
          </c:spPr>
          <c:marker>
            <c:symbol val="triangle"/>
            <c:size val="7"/>
            <c:spPr>
              <a:solidFill>
                <a:srgbClr val="00B050">
                  <a:alpha val="50000"/>
                </a:srgbClr>
              </a:solidFill>
              <a:ln w="12700">
                <a:solidFill>
                  <a:schemeClr val="tx1"/>
                </a:solidFill>
              </a:ln>
            </c:spPr>
          </c:marker>
          <c:xVal>
            <c:numRef>
              <c:f>'HF Flexure'!$F$89:$F$92</c:f>
              <c:numCache>
                <c:formatCode>General</c:formatCode>
                <c:ptCount val="4"/>
                <c:pt idx="0">
                  <c:v>1.5767</c:v>
                </c:pt>
                <c:pt idx="1">
                  <c:v>3.0097</c:v>
                </c:pt>
                <c:pt idx="2">
                  <c:v>4.8198</c:v>
                </c:pt>
                <c:pt idx="3">
                  <c:v>4.568499999999998</c:v>
                </c:pt>
              </c:numCache>
            </c:numRef>
          </c:xVal>
          <c:yVal>
            <c:numRef>
              <c:f>'HF Flexure'!$P$60:$P$63</c:f>
              <c:numCache>
                <c:formatCode>0.0%</c:formatCode>
                <c:ptCount val="4"/>
                <c:pt idx="0">
                  <c:v>0.01</c:v>
                </c:pt>
                <c:pt idx="1">
                  <c:v>0.013</c:v>
                </c:pt>
                <c:pt idx="2">
                  <c:v>0.023</c:v>
                </c:pt>
                <c:pt idx="3">
                  <c:v>0.041</c:v>
                </c:pt>
              </c:numCache>
            </c:numRef>
          </c:yVal>
          <c:smooth val="0"/>
        </c:ser>
        <c:ser>
          <c:idx val="3"/>
          <c:order val="3"/>
          <c:tx>
            <c:v>483 kPa</c:v>
          </c:tx>
          <c:spPr>
            <a:ln w="28575">
              <a:noFill/>
            </a:ln>
          </c:spPr>
          <c:marker>
            <c:symbol val="x"/>
            <c:size val="7"/>
            <c:spPr>
              <a:noFill/>
              <a:ln w="25400">
                <a:solidFill>
                  <a:srgbClr val="7030A0"/>
                </a:solidFill>
              </a:ln>
            </c:spPr>
          </c:marker>
          <c:xVal>
            <c:numRef>
              <c:f>'HF Flexure'!$H$89:$H$92</c:f>
              <c:numCache>
                <c:formatCode>General</c:formatCode>
                <c:ptCount val="4"/>
                <c:pt idx="0">
                  <c:v>1.4123</c:v>
                </c:pt>
                <c:pt idx="1">
                  <c:v>2.3643</c:v>
                </c:pt>
                <c:pt idx="2">
                  <c:v>4.0156</c:v>
                </c:pt>
                <c:pt idx="3">
                  <c:v>4.2218</c:v>
                </c:pt>
              </c:numCache>
            </c:numRef>
          </c:xVal>
          <c:yVal>
            <c:numRef>
              <c:f>'HF Flexure'!$R$60:$R$63</c:f>
              <c:numCache>
                <c:formatCode>0.0%</c:formatCode>
                <c:ptCount val="4"/>
                <c:pt idx="0">
                  <c:v>0.03</c:v>
                </c:pt>
                <c:pt idx="1">
                  <c:v>0.029</c:v>
                </c:pt>
                <c:pt idx="2">
                  <c:v>0.039</c:v>
                </c:pt>
                <c:pt idx="3">
                  <c:v>0.022</c:v>
                </c:pt>
              </c:numCache>
            </c:numRef>
          </c:yVal>
          <c:smooth val="0"/>
        </c:ser>
        <c:dLbls>
          <c:showLegendKey val="0"/>
          <c:showVal val="0"/>
          <c:showCatName val="0"/>
          <c:showSerName val="0"/>
          <c:showPercent val="0"/>
          <c:showBubbleSize val="0"/>
        </c:dLbls>
        <c:axId val="463017400"/>
        <c:axId val="463025128"/>
      </c:scatterChart>
      <c:valAx>
        <c:axId val="463017400"/>
        <c:scaling>
          <c:orientation val="minMax"/>
          <c:max val="10.0"/>
          <c:min val="0.0"/>
        </c:scaling>
        <c:delete val="0"/>
        <c:axPos val="b"/>
        <c:title>
          <c:tx>
            <c:rich>
              <a:bodyPr/>
              <a:lstStyle/>
              <a:p>
                <a:pPr>
                  <a:defRPr/>
                </a:pPr>
                <a:r>
                  <a:rPr lang="en-US"/>
                  <a:t>Fluid Content (% wt.)</a:t>
                </a:r>
              </a:p>
            </c:rich>
          </c:tx>
          <c:overlay val="0"/>
        </c:title>
        <c:numFmt formatCode="#,##0" sourceLinked="0"/>
        <c:majorTickMark val="out"/>
        <c:minorTickMark val="in"/>
        <c:tickLblPos val="nextTo"/>
        <c:spPr>
          <a:ln w="12700" cmpd="sng">
            <a:solidFill>
              <a:sysClr val="windowText" lastClr="000000"/>
            </a:solidFill>
          </a:ln>
        </c:spPr>
        <c:txPr>
          <a:bodyPr rot="0" vert="horz"/>
          <a:lstStyle/>
          <a:p>
            <a:pPr>
              <a:defRPr/>
            </a:pPr>
            <a:endParaRPr lang="en-US"/>
          </a:p>
        </c:txPr>
        <c:crossAx val="463025128"/>
        <c:crosses val="autoZero"/>
        <c:crossBetween val="midCat"/>
        <c:majorUnit val="2.0"/>
        <c:minorUnit val="0.5"/>
      </c:valAx>
      <c:valAx>
        <c:axId val="463025128"/>
        <c:scaling>
          <c:orientation val="minMax"/>
          <c:max val="0.11"/>
          <c:min val="0.0"/>
        </c:scaling>
        <c:delete val="0"/>
        <c:axPos val="l"/>
        <c:title>
          <c:tx>
            <c:rich>
              <a:bodyPr rot="-5400000" vert="horz"/>
              <a:lstStyle/>
              <a:p>
                <a:pPr>
                  <a:defRPr/>
                </a:pPr>
                <a:r>
                  <a:rPr lang="en-US"/>
                  <a:t>Stiffness Percent Reduction</a:t>
                </a:r>
              </a:p>
            </c:rich>
          </c:tx>
          <c:overlay val="0"/>
        </c:title>
        <c:numFmt formatCode="0%" sourceLinked="0"/>
        <c:majorTickMark val="out"/>
        <c:minorTickMark val="in"/>
        <c:tickLblPos val="nextTo"/>
        <c:spPr>
          <a:ln w="12700" cmpd="sng">
            <a:solidFill>
              <a:sysClr val="windowText" lastClr="000000"/>
            </a:solidFill>
          </a:ln>
        </c:spPr>
        <c:crossAx val="463017400"/>
        <c:crosses val="autoZero"/>
        <c:crossBetween val="midCat"/>
        <c:minorUnit val="0.005"/>
      </c:valAx>
      <c:spPr>
        <a:ln w="12700" cmpd="sng">
          <a:solidFill>
            <a:sysClr val="windowText" lastClr="000000"/>
          </a:solidFill>
        </a:ln>
      </c:spPr>
    </c:plotArea>
    <c:legend>
      <c:legendPos val="r"/>
      <c:layout>
        <c:manualLayout>
          <c:xMode val="edge"/>
          <c:yMode val="edge"/>
          <c:x val="0.67908640657206"/>
          <c:y val="0.0468116837921687"/>
          <c:w val="0.235230659726856"/>
          <c:h val="0.225252555782957"/>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3268532111452"/>
          <c:y val="0.0398989898989899"/>
          <c:w val="0.679907543336744"/>
          <c:h val="0.752256637003257"/>
        </c:manualLayout>
      </c:layout>
      <c:scatterChart>
        <c:scatterStyle val="lineMarker"/>
        <c:varyColors val="0"/>
        <c:ser>
          <c:idx val="0"/>
          <c:order val="0"/>
          <c:tx>
            <c:v>69 kPa</c:v>
          </c:tx>
          <c:spPr>
            <a:ln w="28575">
              <a:noFill/>
            </a:ln>
          </c:spPr>
          <c:marker>
            <c:symbol val="square"/>
            <c:size val="7"/>
            <c:spPr>
              <a:solidFill>
                <a:srgbClr val="0070C0">
                  <a:alpha val="50000"/>
                </a:srgbClr>
              </a:solidFill>
              <a:ln w="12700">
                <a:solidFill>
                  <a:schemeClr val="tx1"/>
                </a:solidFill>
              </a:ln>
            </c:spPr>
          </c:marker>
          <c:xVal>
            <c:numRef>
              <c:f>'HF Flexure'!$B$95:$B$98</c:f>
              <c:numCache>
                <c:formatCode>General</c:formatCode>
                <c:ptCount val="4"/>
                <c:pt idx="0">
                  <c:v>0.6281</c:v>
                </c:pt>
                <c:pt idx="1">
                  <c:v>0.7613</c:v>
                </c:pt>
                <c:pt idx="2">
                  <c:v>1.189</c:v>
                </c:pt>
                <c:pt idx="3">
                  <c:v>1.6396</c:v>
                </c:pt>
              </c:numCache>
            </c:numRef>
          </c:xVal>
          <c:yVal>
            <c:numRef>
              <c:f>'HF Flexure'!$L$66:$L$69</c:f>
              <c:numCache>
                <c:formatCode>0.0%</c:formatCode>
                <c:ptCount val="4"/>
                <c:pt idx="0">
                  <c:v>0.013</c:v>
                </c:pt>
                <c:pt idx="1">
                  <c:v>0.015</c:v>
                </c:pt>
                <c:pt idx="2">
                  <c:v>0.011</c:v>
                </c:pt>
                <c:pt idx="3">
                  <c:v>0.024</c:v>
                </c:pt>
              </c:numCache>
            </c:numRef>
          </c:yVal>
          <c:smooth val="0"/>
        </c:ser>
        <c:ser>
          <c:idx val="1"/>
          <c:order val="1"/>
          <c:tx>
            <c:v>207 kPa</c:v>
          </c:tx>
          <c:spPr>
            <a:ln w="28575">
              <a:noFill/>
            </a:ln>
          </c:spPr>
          <c:marker>
            <c:symbol val="circle"/>
            <c:size val="7"/>
            <c:spPr>
              <a:solidFill>
                <a:srgbClr val="C00000">
                  <a:alpha val="50000"/>
                </a:srgbClr>
              </a:solidFill>
              <a:ln w="12700">
                <a:solidFill>
                  <a:sysClr val="windowText" lastClr="000000"/>
                </a:solidFill>
              </a:ln>
            </c:spPr>
          </c:marker>
          <c:xVal>
            <c:numRef>
              <c:f>'HF Flexure'!$D$95:$D$98</c:f>
              <c:numCache>
                <c:formatCode>General</c:formatCode>
                <c:ptCount val="4"/>
                <c:pt idx="0">
                  <c:v>0.5364</c:v>
                </c:pt>
                <c:pt idx="1">
                  <c:v>0.6145</c:v>
                </c:pt>
                <c:pt idx="2">
                  <c:v>0.8283</c:v>
                </c:pt>
                <c:pt idx="3">
                  <c:v>1.3197</c:v>
                </c:pt>
              </c:numCache>
            </c:numRef>
          </c:xVal>
          <c:yVal>
            <c:numRef>
              <c:f>'HF Flexure'!$N$66:$N$69</c:f>
              <c:numCache>
                <c:formatCode>0.0%</c:formatCode>
                <c:ptCount val="4"/>
                <c:pt idx="0">
                  <c:v>0.016</c:v>
                </c:pt>
                <c:pt idx="1">
                  <c:v>0.018</c:v>
                </c:pt>
                <c:pt idx="2">
                  <c:v>0.0</c:v>
                </c:pt>
                <c:pt idx="3">
                  <c:v>0.046</c:v>
                </c:pt>
              </c:numCache>
            </c:numRef>
          </c:yVal>
          <c:smooth val="0"/>
        </c:ser>
        <c:ser>
          <c:idx val="2"/>
          <c:order val="2"/>
          <c:tx>
            <c:v>345 kPa</c:v>
          </c:tx>
          <c:spPr>
            <a:ln w="28575">
              <a:noFill/>
            </a:ln>
          </c:spPr>
          <c:marker>
            <c:symbol val="triangle"/>
            <c:size val="7"/>
            <c:spPr>
              <a:solidFill>
                <a:srgbClr val="00B050">
                  <a:alpha val="50000"/>
                </a:srgbClr>
              </a:solidFill>
              <a:ln w="12700">
                <a:solidFill>
                  <a:schemeClr val="tx1"/>
                </a:solidFill>
              </a:ln>
            </c:spPr>
          </c:marker>
          <c:xVal>
            <c:numRef>
              <c:f>'HF Flexure'!$F$95:$F$98</c:f>
              <c:numCache>
                <c:formatCode>General</c:formatCode>
                <c:ptCount val="4"/>
                <c:pt idx="0">
                  <c:v>0.5058</c:v>
                </c:pt>
                <c:pt idx="1">
                  <c:v>0.5391</c:v>
                </c:pt>
                <c:pt idx="2">
                  <c:v>0.7259</c:v>
                </c:pt>
                <c:pt idx="3">
                  <c:v>1.0752</c:v>
                </c:pt>
              </c:numCache>
            </c:numRef>
          </c:xVal>
          <c:yVal>
            <c:numRef>
              <c:f>'HF Flexure'!$P$66:$P$69</c:f>
              <c:numCache>
                <c:formatCode>0.0%</c:formatCode>
                <c:ptCount val="4"/>
                <c:pt idx="0">
                  <c:v>0.033</c:v>
                </c:pt>
                <c:pt idx="1">
                  <c:v>0.043</c:v>
                </c:pt>
                <c:pt idx="2">
                  <c:v>0.044</c:v>
                </c:pt>
                <c:pt idx="3">
                  <c:v>0.046</c:v>
                </c:pt>
              </c:numCache>
            </c:numRef>
          </c:yVal>
          <c:smooth val="0"/>
        </c:ser>
        <c:ser>
          <c:idx val="3"/>
          <c:order val="3"/>
          <c:tx>
            <c:v>483 kPa</c:v>
          </c:tx>
          <c:spPr>
            <a:ln w="28575">
              <a:noFill/>
            </a:ln>
          </c:spPr>
          <c:marker>
            <c:symbol val="x"/>
            <c:size val="7"/>
            <c:spPr>
              <a:noFill/>
              <a:ln w="25400">
                <a:solidFill>
                  <a:srgbClr val="7030A0"/>
                </a:solidFill>
              </a:ln>
            </c:spPr>
          </c:marker>
          <c:xVal>
            <c:numRef>
              <c:f>'HF Flexure'!$H$95:$H$98</c:f>
              <c:numCache>
                <c:formatCode>General</c:formatCode>
                <c:ptCount val="4"/>
                <c:pt idx="0">
                  <c:v>0.4759</c:v>
                </c:pt>
                <c:pt idx="1">
                  <c:v>0.5729</c:v>
                </c:pt>
                <c:pt idx="2">
                  <c:v>0.6699</c:v>
                </c:pt>
                <c:pt idx="3">
                  <c:v>1.3197</c:v>
                </c:pt>
              </c:numCache>
            </c:numRef>
          </c:xVal>
          <c:yVal>
            <c:numRef>
              <c:f>'HF Flexure'!$R$66:$R$69</c:f>
              <c:numCache>
                <c:formatCode>0.0%</c:formatCode>
                <c:ptCount val="4"/>
                <c:pt idx="0">
                  <c:v>0.051</c:v>
                </c:pt>
                <c:pt idx="1">
                  <c:v>0.038</c:v>
                </c:pt>
                <c:pt idx="2">
                  <c:v>0.044</c:v>
                </c:pt>
                <c:pt idx="3">
                  <c:v>0.049</c:v>
                </c:pt>
              </c:numCache>
            </c:numRef>
          </c:yVal>
          <c:smooth val="0"/>
        </c:ser>
        <c:dLbls>
          <c:showLegendKey val="0"/>
          <c:showVal val="0"/>
          <c:showCatName val="0"/>
          <c:showSerName val="0"/>
          <c:showPercent val="0"/>
          <c:showBubbleSize val="0"/>
        </c:dLbls>
        <c:axId val="463067928"/>
        <c:axId val="462763800"/>
      </c:scatterChart>
      <c:valAx>
        <c:axId val="463067928"/>
        <c:scaling>
          <c:orientation val="minMax"/>
          <c:max val="2.0"/>
          <c:min val="0.0"/>
        </c:scaling>
        <c:delete val="0"/>
        <c:axPos val="b"/>
        <c:title>
          <c:tx>
            <c:rich>
              <a:bodyPr/>
              <a:lstStyle/>
              <a:p>
                <a:pPr>
                  <a:defRPr/>
                </a:pPr>
                <a:r>
                  <a:rPr lang="en-US"/>
                  <a:t>Fluid Content (% wt.)</a:t>
                </a:r>
              </a:p>
            </c:rich>
          </c:tx>
          <c:overlay val="0"/>
        </c:title>
        <c:numFmt formatCode="#,##0.0" sourceLinked="0"/>
        <c:majorTickMark val="out"/>
        <c:minorTickMark val="in"/>
        <c:tickLblPos val="nextTo"/>
        <c:spPr>
          <a:ln w="12700" cmpd="sng">
            <a:solidFill>
              <a:sysClr val="windowText" lastClr="000000"/>
            </a:solidFill>
          </a:ln>
        </c:spPr>
        <c:txPr>
          <a:bodyPr rot="0" vert="horz"/>
          <a:lstStyle/>
          <a:p>
            <a:pPr>
              <a:defRPr/>
            </a:pPr>
            <a:endParaRPr lang="en-US"/>
          </a:p>
        </c:txPr>
        <c:crossAx val="462763800"/>
        <c:crosses val="autoZero"/>
        <c:crossBetween val="midCat"/>
        <c:majorUnit val="0.5"/>
        <c:minorUnit val="0.1"/>
      </c:valAx>
      <c:valAx>
        <c:axId val="462763800"/>
        <c:scaling>
          <c:orientation val="minMax"/>
          <c:max val="0.11"/>
          <c:min val="0.0"/>
        </c:scaling>
        <c:delete val="0"/>
        <c:axPos val="l"/>
        <c:title>
          <c:tx>
            <c:rich>
              <a:bodyPr rot="-5400000" vert="horz"/>
              <a:lstStyle/>
              <a:p>
                <a:pPr>
                  <a:defRPr/>
                </a:pPr>
                <a:r>
                  <a:rPr lang="en-US"/>
                  <a:t>Stiffness Percent Reduction</a:t>
                </a:r>
              </a:p>
            </c:rich>
          </c:tx>
          <c:overlay val="0"/>
        </c:title>
        <c:numFmt formatCode="0%" sourceLinked="0"/>
        <c:majorTickMark val="out"/>
        <c:minorTickMark val="in"/>
        <c:tickLblPos val="nextTo"/>
        <c:spPr>
          <a:ln w="12700" cmpd="sng">
            <a:solidFill>
              <a:sysClr val="windowText" lastClr="000000"/>
            </a:solidFill>
          </a:ln>
        </c:spPr>
        <c:crossAx val="463067928"/>
        <c:crosses val="autoZero"/>
        <c:crossBetween val="midCat"/>
        <c:minorUnit val="0.005"/>
      </c:valAx>
      <c:spPr>
        <a:ln w="12700" cmpd="sng">
          <a:solidFill>
            <a:sysClr val="windowText" lastClr="000000"/>
          </a:solidFill>
        </a:ln>
      </c:spPr>
    </c:plotArea>
    <c:legend>
      <c:legendPos val="r"/>
      <c:layout>
        <c:manualLayout>
          <c:xMode val="edge"/>
          <c:yMode val="edge"/>
          <c:x val="0.67908640657206"/>
          <c:y val="0.0468116837921687"/>
          <c:w val="0.235230659726856"/>
          <c:h val="0.225252555782957"/>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7976630039889"/>
          <c:y val="0.0398989898989899"/>
          <c:w val="0.675199445408307"/>
          <c:h val="0.752256637003257"/>
        </c:manualLayout>
      </c:layout>
      <c:scatterChart>
        <c:scatterStyle val="lineMarker"/>
        <c:varyColors val="0"/>
        <c:ser>
          <c:idx val="0"/>
          <c:order val="0"/>
          <c:tx>
            <c:v>2% RH</c:v>
          </c:tx>
          <c:spPr>
            <a:ln w="28575">
              <a:noFill/>
            </a:ln>
          </c:spPr>
          <c:marker>
            <c:symbol val="square"/>
            <c:size val="7"/>
            <c:spPr>
              <a:solidFill>
                <a:srgbClr val="0070C0">
                  <a:alpha val="50000"/>
                </a:srgbClr>
              </a:solidFill>
              <a:ln w="12700">
                <a:solidFill>
                  <a:schemeClr val="tx1"/>
                </a:solidFill>
              </a:ln>
            </c:spPr>
          </c:marker>
          <c:xVal>
            <c:numRef>
              <c:f>('HF Flexure'!$B$89,'HF Flexure'!$D$89,'HF Flexure'!$F$89,'HF Flexure'!$H$89)</c:f>
              <c:numCache>
                <c:formatCode>General</c:formatCode>
                <c:ptCount val="4"/>
                <c:pt idx="0">
                  <c:v>3.308</c:v>
                </c:pt>
                <c:pt idx="1">
                  <c:v>2.1282</c:v>
                </c:pt>
                <c:pt idx="2">
                  <c:v>1.5767</c:v>
                </c:pt>
                <c:pt idx="3">
                  <c:v>1.4123</c:v>
                </c:pt>
              </c:numCache>
            </c:numRef>
          </c:xVal>
          <c:yVal>
            <c:numRef>
              <c:f>('HF Flexure'!$B$60,'HF Flexure'!$D$60,'HF Flexure'!$F$60,'HF Flexure'!$H$60)</c:f>
              <c:numCache>
                <c:formatCode>0.0%</c:formatCode>
                <c:ptCount val="4"/>
                <c:pt idx="0">
                  <c:v>0.064</c:v>
                </c:pt>
                <c:pt idx="1">
                  <c:v>0.079</c:v>
                </c:pt>
                <c:pt idx="2">
                  <c:v>0.0</c:v>
                </c:pt>
                <c:pt idx="3">
                  <c:v>0.024</c:v>
                </c:pt>
              </c:numCache>
            </c:numRef>
          </c:yVal>
          <c:smooth val="0"/>
        </c:ser>
        <c:ser>
          <c:idx val="1"/>
          <c:order val="1"/>
          <c:tx>
            <c:v>40% RH</c:v>
          </c:tx>
          <c:spPr>
            <a:ln w="28575">
              <a:noFill/>
            </a:ln>
          </c:spPr>
          <c:marker>
            <c:symbol val="circle"/>
            <c:size val="7"/>
            <c:spPr>
              <a:solidFill>
                <a:srgbClr val="C00000">
                  <a:alpha val="50000"/>
                </a:srgbClr>
              </a:solidFill>
              <a:ln w="12700">
                <a:solidFill>
                  <a:sysClr val="windowText" lastClr="000000"/>
                </a:solidFill>
              </a:ln>
            </c:spPr>
          </c:marker>
          <c:xVal>
            <c:numRef>
              <c:f>('HF Flexure'!$B$90,'HF Flexure'!$D$90,'HF Flexure'!$F$90,'HF Flexure'!$H$90)</c:f>
              <c:numCache>
                <c:formatCode>General</c:formatCode>
                <c:ptCount val="4"/>
                <c:pt idx="0">
                  <c:v>6.8199</c:v>
                </c:pt>
                <c:pt idx="1">
                  <c:v>2.8913</c:v>
                </c:pt>
                <c:pt idx="2">
                  <c:v>3.0097</c:v>
                </c:pt>
                <c:pt idx="3">
                  <c:v>2.3643</c:v>
                </c:pt>
              </c:numCache>
            </c:numRef>
          </c:xVal>
          <c:yVal>
            <c:numRef>
              <c:f>('HF Flexure'!$B$61,'HF Flexure'!$D$61,'HF Flexure'!$F$61,'HF Flexure'!$H$61)</c:f>
              <c:numCache>
                <c:formatCode>0.0%</c:formatCode>
                <c:ptCount val="4"/>
                <c:pt idx="0">
                  <c:v>0.078</c:v>
                </c:pt>
                <c:pt idx="1">
                  <c:v>0.045</c:v>
                </c:pt>
                <c:pt idx="2">
                  <c:v>0.03</c:v>
                </c:pt>
                <c:pt idx="3">
                  <c:v>0.043</c:v>
                </c:pt>
              </c:numCache>
            </c:numRef>
          </c:yVal>
          <c:smooth val="0"/>
        </c:ser>
        <c:ser>
          <c:idx val="2"/>
          <c:order val="2"/>
          <c:tx>
            <c:v>70% RH</c:v>
          </c:tx>
          <c:spPr>
            <a:ln w="28575">
              <a:noFill/>
            </a:ln>
          </c:spPr>
          <c:marker>
            <c:symbol val="triangle"/>
            <c:size val="7"/>
            <c:spPr>
              <a:solidFill>
                <a:srgbClr val="00B050">
                  <a:alpha val="50000"/>
                </a:srgbClr>
              </a:solidFill>
              <a:ln w="12700">
                <a:solidFill>
                  <a:schemeClr val="tx1"/>
                </a:solidFill>
              </a:ln>
            </c:spPr>
          </c:marker>
          <c:xVal>
            <c:numRef>
              <c:f>('HF Flexure'!$B$91,'HF Flexure'!$D$91,'HF Flexure'!$F$91,'HF Flexure'!$H$91)</c:f>
              <c:numCache>
                <c:formatCode>General</c:formatCode>
                <c:ptCount val="4"/>
                <c:pt idx="0">
                  <c:v>8.845600000000002</c:v>
                </c:pt>
                <c:pt idx="1">
                  <c:v>5.9444</c:v>
                </c:pt>
                <c:pt idx="2">
                  <c:v>4.8198</c:v>
                </c:pt>
                <c:pt idx="3">
                  <c:v>4.0156</c:v>
                </c:pt>
              </c:numCache>
            </c:numRef>
          </c:xVal>
          <c:yVal>
            <c:numRef>
              <c:f>('HF Flexure'!$B$62,'HF Flexure'!$D$62,'HF Flexure'!$F$62,'HF Flexure'!$H$62)</c:f>
              <c:numCache>
                <c:formatCode>0.0%</c:formatCode>
                <c:ptCount val="4"/>
                <c:pt idx="0">
                  <c:v>0.068</c:v>
                </c:pt>
                <c:pt idx="1">
                  <c:v>0.055</c:v>
                </c:pt>
                <c:pt idx="2">
                  <c:v>0.039</c:v>
                </c:pt>
                <c:pt idx="3">
                  <c:v>0.059</c:v>
                </c:pt>
              </c:numCache>
            </c:numRef>
          </c:yVal>
          <c:smooth val="0"/>
        </c:ser>
        <c:ser>
          <c:idx val="3"/>
          <c:order val="3"/>
          <c:tx>
            <c:v>99% RH</c:v>
          </c:tx>
          <c:spPr>
            <a:ln w="28575">
              <a:noFill/>
            </a:ln>
          </c:spPr>
          <c:marker>
            <c:symbol val="x"/>
            <c:size val="7"/>
            <c:spPr>
              <a:noFill/>
              <a:ln w="25400">
                <a:solidFill>
                  <a:srgbClr val="7030A0"/>
                </a:solidFill>
              </a:ln>
            </c:spPr>
          </c:marker>
          <c:xVal>
            <c:numRef>
              <c:f>('HF Flexure'!$B$92,'HF Flexure'!$D$92,'HF Flexure'!$F$92,'HF Flexure'!$H$92)</c:f>
              <c:numCache>
                <c:formatCode>General</c:formatCode>
                <c:ptCount val="4"/>
                <c:pt idx="0">
                  <c:v>8.1753</c:v>
                </c:pt>
                <c:pt idx="1">
                  <c:v>5.2802</c:v>
                </c:pt>
                <c:pt idx="2">
                  <c:v>4.568499999999998</c:v>
                </c:pt>
                <c:pt idx="3">
                  <c:v>4.2218</c:v>
                </c:pt>
              </c:numCache>
            </c:numRef>
          </c:xVal>
          <c:yVal>
            <c:numRef>
              <c:f>('HF Flexure'!$B$63,'HF Flexure'!$D$63,'HF Flexure'!$F$63,'HF Flexure'!$H$63)</c:f>
              <c:numCache>
                <c:formatCode>0.0%</c:formatCode>
                <c:ptCount val="4"/>
                <c:pt idx="0">
                  <c:v>0.048</c:v>
                </c:pt>
                <c:pt idx="1">
                  <c:v>0.073</c:v>
                </c:pt>
                <c:pt idx="2">
                  <c:v>0.058</c:v>
                </c:pt>
                <c:pt idx="3">
                  <c:v>0.06</c:v>
                </c:pt>
              </c:numCache>
            </c:numRef>
          </c:yVal>
          <c:smooth val="0"/>
        </c:ser>
        <c:dLbls>
          <c:showLegendKey val="0"/>
          <c:showVal val="0"/>
          <c:showCatName val="0"/>
          <c:showSerName val="0"/>
          <c:showPercent val="0"/>
          <c:showBubbleSize val="0"/>
        </c:dLbls>
        <c:axId val="462682888"/>
        <c:axId val="462690840"/>
      </c:scatterChart>
      <c:valAx>
        <c:axId val="462682888"/>
        <c:scaling>
          <c:orientation val="minMax"/>
          <c:max val="10.0"/>
          <c:min val="0.0"/>
        </c:scaling>
        <c:delete val="0"/>
        <c:axPos val="b"/>
        <c:title>
          <c:tx>
            <c:rich>
              <a:bodyPr/>
              <a:lstStyle/>
              <a:p>
                <a:pPr>
                  <a:defRPr/>
                </a:pPr>
                <a:r>
                  <a:rPr lang="en-US"/>
                  <a:t>Fluid Content (% wt.)</a:t>
                </a:r>
              </a:p>
            </c:rich>
          </c:tx>
          <c:overlay val="0"/>
        </c:title>
        <c:numFmt formatCode="#,##0" sourceLinked="0"/>
        <c:majorTickMark val="out"/>
        <c:minorTickMark val="in"/>
        <c:tickLblPos val="nextTo"/>
        <c:spPr>
          <a:ln w="12700" cmpd="sng">
            <a:solidFill>
              <a:sysClr val="windowText" lastClr="000000"/>
            </a:solidFill>
          </a:ln>
        </c:spPr>
        <c:txPr>
          <a:bodyPr rot="0" vert="horz"/>
          <a:lstStyle/>
          <a:p>
            <a:pPr>
              <a:defRPr/>
            </a:pPr>
            <a:endParaRPr lang="en-US"/>
          </a:p>
        </c:txPr>
        <c:crossAx val="462690840"/>
        <c:crosses val="autoZero"/>
        <c:crossBetween val="midCat"/>
        <c:majorUnit val="2.0"/>
        <c:minorUnit val="0.5"/>
      </c:valAx>
      <c:valAx>
        <c:axId val="462690840"/>
        <c:scaling>
          <c:orientation val="minMax"/>
          <c:max val="0.2"/>
          <c:min val="0.0"/>
        </c:scaling>
        <c:delete val="0"/>
        <c:axPos val="l"/>
        <c:title>
          <c:tx>
            <c:rich>
              <a:bodyPr rot="-5400000" vert="horz"/>
              <a:lstStyle/>
              <a:p>
                <a:pPr>
                  <a:defRPr/>
                </a:pPr>
                <a:r>
                  <a:rPr lang="en-US"/>
                  <a:t>Strength Percent Reduction</a:t>
                </a:r>
              </a:p>
            </c:rich>
          </c:tx>
          <c:overlay val="0"/>
        </c:title>
        <c:numFmt formatCode="0%" sourceLinked="0"/>
        <c:majorTickMark val="out"/>
        <c:minorTickMark val="in"/>
        <c:tickLblPos val="nextTo"/>
        <c:spPr>
          <a:ln w="12700" cmpd="sng">
            <a:solidFill>
              <a:sysClr val="windowText" lastClr="000000"/>
            </a:solidFill>
          </a:ln>
        </c:spPr>
        <c:crossAx val="462682888"/>
        <c:crosses val="autoZero"/>
        <c:crossBetween val="midCat"/>
        <c:majorUnit val="0.05"/>
        <c:minorUnit val="0.01"/>
      </c:valAx>
      <c:spPr>
        <a:ln w="12700" cmpd="sng">
          <a:solidFill>
            <a:sysClr val="windowText" lastClr="000000"/>
          </a:solidFill>
        </a:ln>
      </c:spPr>
    </c:plotArea>
    <c:legend>
      <c:legendPos val="r"/>
      <c:layout>
        <c:manualLayout>
          <c:xMode val="edge"/>
          <c:yMode val="edge"/>
          <c:x val="0.67908640657206"/>
          <c:y val="0.0468116837921687"/>
          <c:w val="0.235230659726856"/>
          <c:h val="0.225252555782957"/>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7976630039889"/>
          <c:y val="0.0398989898989899"/>
          <c:w val="0.675199445408307"/>
          <c:h val="0.752256637003257"/>
        </c:manualLayout>
      </c:layout>
      <c:scatterChart>
        <c:scatterStyle val="lineMarker"/>
        <c:varyColors val="0"/>
        <c:ser>
          <c:idx val="0"/>
          <c:order val="0"/>
          <c:tx>
            <c:v>2% RH</c:v>
          </c:tx>
          <c:spPr>
            <a:ln w="28575">
              <a:noFill/>
            </a:ln>
          </c:spPr>
          <c:marker>
            <c:symbol val="square"/>
            <c:size val="7"/>
            <c:spPr>
              <a:solidFill>
                <a:srgbClr val="0070C0">
                  <a:alpha val="50000"/>
                </a:srgbClr>
              </a:solidFill>
              <a:ln w="12700">
                <a:solidFill>
                  <a:schemeClr val="tx1"/>
                </a:solidFill>
              </a:ln>
            </c:spPr>
          </c:marker>
          <c:xVal>
            <c:numRef>
              <c:f>('HF Flexure'!$B$95,'HF Flexure'!$D$95,'HF Flexure'!$F$95,'HF Flexure'!$H$95)</c:f>
              <c:numCache>
                <c:formatCode>General</c:formatCode>
                <c:ptCount val="4"/>
                <c:pt idx="0">
                  <c:v>0.6281</c:v>
                </c:pt>
                <c:pt idx="1">
                  <c:v>0.5364</c:v>
                </c:pt>
                <c:pt idx="2">
                  <c:v>0.5058</c:v>
                </c:pt>
                <c:pt idx="3">
                  <c:v>0.4759</c:v>
                </c:pt>
              </c:numCache>
            </c:numRef>
          </c:xVal>
          <c:yVal>
            <c:numRef>
              <c:f>('HF Flexure'!$B$66,'HF Flexure'!$D$66,'HF Flexure'!$F$66,'HF Flexure'!$H$66)</c:f>
              <c:numCache>
                <c:formatCode>0.0%</c:formatCode>
                <c:ptCount val="4"/>
                <c:pt idx="0">
                  <c:v>0.092</c:v>
                </c:pt>
                <c:pt idx="1">
                  <c:v>0.05</c:v>
                </c:pt>
                <c:pt idx="2">
                  <c:v>0.056</c:v>
                </c:pt>
                <c:pt idx="3">
                  <c:v>0.0</c:v>
                </c:pt>
              </c:numCache>
            </c:numRef>
          </c:yVal>
          <c:smooth val="0"/>
        </c:ser>
        <c:ser>
          <c:idx val="1"/>
          <c:order val="1"/>
          <c:tx>
            <c:v>40% RH</c:v>
          </c:tx>
          <c:spPr>
            <a:ln w="28575">
              <a:noFill/>
            </a:ln>
          </c:spPr>
          <c:marker>
            <c:symbol val="circle"/>
            <c:size val="7"/>
            <c:spPr>
              <a:solidFill>
                <a:srgbClr val="C00000">
                  <a:alpha val="50000"/>
                </a:srgbClr>
              </a:solidFill>
              <a:ln w="12700">
                <a:solidFill>
                  <a:sysClr val="windowText" lastClr="000000"/>
                </a:solidFill>
              </a:ln>
            </c:spPr>
          </c:marker>
          <c:xVal>
            <c:numRef>
              <c:f>('HF Flexure'!$B$96,'HF Flexure'!$D$96,'HF Flexure'!$F$96,'HF Flexure'!$H$96)</c:f>
              <c:numCache>
                <c:formatCode>General</c:formatCode>
                <c:ptCount val="4"/>
                <c:pt idx="0">
                  <c:v>0.7613</c:v>
                </c:pt>
                <c:pt idx="1">
                  <c:v>0.6145</c:v>
                </c:pt>
                <c:pt idx="2">
                  <c:v>0.5391</c:v>
                </c:pt>
                <c:pt idx="3">
                  <c:v>0.5729</c:v>
                </c:pt>
              </c:numCache>
            </c:numRef>
          </c:xVal>
          <c:yVal>
            <c:numRef>
              <c:f>('HF Flexure'!$B$67,'HF Flexure'!$D$67,'HF Flexure'!$F$67,'HF Flexure'!$H$67)</c:f>
              <c:numCache>
                <c:formatCode>0.0%</c:formatCode>
                <c:ptCount val="4"/>
                <c:pt idx="0">
                  <c:v>0.081</c:v>
                </c:pt>
                <c:pt idx="1">
                  <c:v>0.112</c:v>
                </c:pt>
                <c:pt idx="2">
                  <c:v>0.053</c:v>
                </c:pt>
                <c:pt idx="3">
                  <c:v>0.143</c:v>
                </c:pt>
              </c:numCache>
            </c:numRef>
          </c:yVal>
          <c:smooth val="0"/>
        </c:ser>
        <c:ser>
          <c:idx val="2"/>
          <c:order val="2"/>
          <c:tx>
            <c:v>70% RH</c:v>
          </c:tx>
          <c:spPr>
            <a:ln w="28575">
              <a:noFill/>
            </a:ln>
          </c:spPr>
          <c:marker>
            <c:symbol val="triangle"/>
            <c:size val="7"/>
            <c:spPr>
              <a:solidFill>
                <a:srgbClr val="00B050">
                  <a:alpha val="50000"/>
                </a:srgbClr>
              </a:solidFill>
              <a:ln w="12700">
                <a:solidFill>
                  <a:schemeClr val="tx1"/>
                </a:solidFill>
              </a:ln>
            </c:spPr>
          </c:marker>
          <c:xVal>
            <c:numRef>
              <c:f>('HF Flexure'!$B$97,'HF Flexure'!$D$97,'HF Flexure'!$F$97,'HF Flexure'!$H$97)</c:f>
              <c:numCache>
                <c:formatCode>General</c:formatCode>
                <c:ptCount val="4"/>
                <c:pt idx="0">
                  <c:v>1.189</c:v>
                </c:pt>
                <c:pt idx="1">
                  <c:v>0.8283</c:v>
                </c:pt>
                <c:pt idx="2">
                  <c:v>0.7259</c:v>
                </c:pt>
                <c:pt idx="3">
                  <c:v>0.6699</c:v>
                </c:pt>
              </c:numCache>
            </c:numRef>
          </c:xVal>
          <c:yVal>
            <c:numRef>
              <c:f>('HF Flexure'!$B$68,'HF Flexure'!$D$68,'HF Flexure'!$F$68,'HF Flexure'!$H$68)</c:f>
              <c:numCache>
                <c:formatCode>0.0%</c:formatCode>
                <c:ptCount val="4"/>
                <c:pt idx="0">
                  <c:v>0.076</c:v>
                </c:pt>
                <c:pt idx="1">
                  <c:v>0.11</c:v>
                </c:pt>
                <c:pt idx="2">
                  <c:v>0.114</c:v>
                </c:pt>
                <c:pt idx="3">
                  <c:v>0.11</c:v>
                </c:pt>
              </c:numCache>
            </c:numRef>
          </c:yVal>
          <c:smooth val="0"/>
        </c:ser>
        <c:ser>
          <c:idx val="3"/>
          <c:order val="3"/>
          <c:tx>
            <c:v>99% RH</c:v>
          </c:tx>
          <c:spPr>
            <a:ln w="28575">
              <a:noFill/>
            </a:ln>
          </c:spPr>
          <c:marker>
            <c:symbol val="x"/>
            <c:size val="7"/>
            <c:spPr>
              <a:noFill/>
              <a:ln w="25400">
                <a:solidFill>
                  <a:srgbClr val="7030A0"/>
                </a:solidFill>
              </a:ln>
            </c:spPr>
          </c:marker>
          <c:xVal>
            <c:numRef>
              <c:f>('HF Flexure'!$B$98,'HF Flexure'!$D$98,'HF Flexure'!$F$98,'HF Flexure'!$H$98)</c:f>
              <c:numCache>
                <c:formatCode>General</c:formatCode>
                <c:ptCount val="4"/>
                <c:pt idx="0">
                  <c:v>1.6396</c:v>
                </c:pt>
                <c:pt idx="1">
                  <c:v>1.3197</c:v>
                </c:pt>
                <c:pt idx="2">
                  <c:v>1.0752</c:v>
                </c:pt>
                <c:pt idx="3">
                  <c:v>1.3197</c:v>
                </c:pt>
              </c:numCache>
            </c:numRef>
          </c:xVal>
          <c:yVal>
            <c:numRef>
              <c:f>('HF Flexure'!$B$69,'HF Flexure'!$D$69,'HF Flexure'!$F$69,'HF Flexure'!$H$69)</c:f>
              <c:numCache>
                <c:formatCode>0.0%</c:formatCode>
                <c:ptCount val="4"/>
                <c:pt idx="0">
                  <c:v>0.003</c:v>
                </c:pt>
                <c:pt idx="1">
                  <c:v>0.096</c:v>
                </c:pt>
                <c:pt idx="2">
                  <c:v>0.082</c:v>
                </c:pt>
                <c:pt idx="3">
                  <c:v>0.09</c:v>
                </c:pt>
              </c:numCache>
            </c:numRef>
          </c:yVal>
          <c:smooth val="0"/>
        </c:ser>
        <c:dLbls>
          <c:showLegendKey val="0"/>
          <c:showVal val="0"/>
          <c:showCatName val="0"/>
          <c:showSerName val="0"/>
          <c:showPercent val="0"/>
          <c:showBubbleSize val="0"/>
        </c:dLbls>
        <c:axId val="462463784"/>
        <c:axId val="462453928"/>
      </c:scatterChart>
      <c:valAx>
        <c:axId val="462463784"/>
        <c:scaling>
          <c:orientation val="minMax"/>
          <c:min val="0.0"/>
        </c:scaling>
        <c:delete val="0"/>
        <c:axPos val="b"/>
        <c:title>
          <c:tx>
            <c:rich>
              <a:bodyPr/>
              <a:lstStyle/>
              <a:p>
                <a:pPr>
                  <a:defRPr/>
                </a:pPr>
                <a:r>
                  <a:rPr lang="en-US"/>
                  <a:t>Fluid Content (% wt.)</a:t>
                </a:r>
              </a:p>
            </c:rich>
          </c:tx>
          <c:overlay val="0"/>
        </c:title>
        <c:numFmt formatCode="#,##0.0" sourceLinked="0"/>
        <c:majorTickMark val="out"/>
        <c:minorTickMark val="in"/>
        <c:tickLblPos val="nextTo"/>
        <c:spPr>
          <a:ln w="12700" cmpd="sng">
            <a:solidFill>
              <a:sysClr val="windowText" lastClr="000000"/>
            </a:solidFill>
          </a:ln>
        </c:spPr>
        <c:txPr>
          <a:bodyPr rot="0" vert="horz"/>
          <a:lstStyle/>
          <a:p>
            <a:pPr>
              <a:defRPr/>
            </a:pPr>
            <a:endParaRPr lang="en-US"/>
          </a:p>
        </c:txPr>
        <c:crossAx val="462453928"/>
        <c:crosses val="autoZero"/>
        <c:crossBetween val="midCat"/>
        <c:majorUnit val="0.5"/>
      </c:valAx>
      <c:valAx>
        <c:axId val="462453928"/>
        <c:scaling>
          <c:orientation val="minMax"/>
          <c:max val="0.2"/>
          <c:min val="0.0"/>
        </c:scaling>
        <c:delete val="0"/>
        <c:axPos val="l"/>
        <c:title>
          <c:tx>
            <c:rich>
              <a:bodyPr rot="-5400000" vert="horz"/>
              <a:lstStyle/>
              <a:p>
                <a:pPr>
                  <a:defRPr/>
                </a:pPr>
                <a:r>
                  <a:rPr lang="en-US"/>
                  <a:t>Strength Percent Reduction</a:t>
                </a:r>
              </a:p>
            </c:rich>
          </c:tx>
          <c:overlay val="0"/>
        </c:title>
        <c:numFmt formatCode="0%" sourceLinked="0"/>
        <c:majorTickMark val="out"/>
        <c:minorTickMark val="in"/>
        <c:tickLblPos val="nextTo"/>
        <c:spPr>
          <a:ln w="12700" cmpd="sng">
            <a:solidFill>
              <a:sysClr val="windowText" lastClr="000000"/>
            </a:solidFill>
          </a:ln>
        </c:spPr>
        <c:crossAx val="462463784"/>
        <c:crosses val="autoZero"/>
        <c:crossBetween val="midCat"/>
        <c:majorUnit val="0.05"/>
        <c:minorUnit val="0.01"/>
      </c:valAx>
      <c:spPr>
        <a:ln w="12700" cmpd="sng">
          <a:solidFill>
            <a:sysClr val="windowText" lastClr="000000"/>
          </a:solidFill>
        </a:ln>
      </c:spPr>
    </c:plotArea>
    <c:legend>
      <c:legendPos val="r"/>
      <c:layout>
        <c:manualLayout>
          <c:xMode val="edge"/>
          <c:yMode val="edge"/>
          <c:x val="0.67908640657206"/>
          <c:y val="0.0468116837921687"/>
          <c:w val="0.235230659726856"/>
          <c:h val="0.225252555782957"/>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3268532111452"/>
          <c:y val="0.0398989898989899"/>
          <c:w val="0.679907543336744"/>
          <c:h val="0.752256637003257"/>
        </c:manualLayout>
      </c:layout>
      <c:scatterChart>
        <c:scatterStyle val="lineMarker"/>
        <c:varyColors val="0"/>
        <c:ser>
          <c:idx val="0"/>
          <c:order val="0"/>
          <c:tx>
            <c:v>69 kPa</c:v>
          </c:tx>
          <c:spPr>
            <a:ln w="28575">
              <a:noFill/>
            </a:ln>
          </c:spPr>
          <c:marker>
            <c:symbol val="square"/>
            <c:size val="7"/>
            <c:spPr>
              <a:solidFill>
                <a:srgbClr val="0070C0">
                  <a:alpha val="50000"/>
                </a:srgbClr>
              </a:solidFill>
              <a:ln w="12700">
                <a:solidFill>
                  <a:schemeClr val="tx1"/>
                </a:solidFill>
              </a:ln>
            </c:spPr>
          </c:marker>
          <c:xVal>
            <c:numRef>
              <c:f>'HF Flexure'!$B$89:$B$92</c:f>
              <c:numCache>
                <c:formatCode>General</c:formatCode>
                <c:ptCount val="4"/>
                <c:pt idx="0">
                  <c:v>3.308</c:v>
                </c:pt>
                <c:pt idx="1">
                  <c:v>6.8199</c:v>
                </c:pt>
                <c:pt idx="2">
                  <c:v>8.845600000000002</c:v>
                </c:pt>
                <c:pt idx="3">
                  <c:v>8.1753</c:v>
                </c:pt>
              </c:numCache>
            </c:numRef>
          </c:xVal>
          <c:yVal>
            <c:numRef>
              <c:f>'HF Flexure'!$B$60:$B$63</c:f>
              <c:numCache>
                <c:formatCode>0.0%</c:formatCode>
                <c:ptCount val="4"/>
                <c:pt idx="0">
                  <c:v>0.064</c:v>
                </c:pt>
                <c:pt idx="1">
                  <c:v>0.078</c:v>
                </c:pt>
                <c:pt idx="2">
                  <c:v>0.068</c:v>
                </c:pt>
                <c:pt idx="3">
                  <c:v>0.048</c:v>
                </c:pt>
              </c:numCache>
            </c:numRef>
          </c:yVal>
          <c:smooth val="0"/>
        </c:ser>
        <c:ser>
          <c:idx val="1"/>
          <c:order val="1"/>
          <c:tx>
            <c:v>207 kPa</c:v>
          </c:tx>
          <c:spPr>
            <a:ln w="28575">
              <a:noFill/>
            </a:ln>
          </c:spPr>
          <c:marker>
            <c:symbol val="circle"/>
            <c:size val="7"/>
            <c:spPr>
              <a:solidFill>
                <a:srgbClr val="C00000">
                  <a:alpha val="50000"/>
                </a:srgbClr>
              </a:solidFill>
              <a:ln w="12700">
                <a:solidFill>
                  <a:sysClr val="windowText" lastClr="000000"/>
                </a:solidFill>
              </a:ln>
            </c:spPr>
          </c:marker>
          <c:xVal>
            <c:numRef>
              <c:f>'HF Flexure'!$D$89:$D$92</c:f>
              <c:numCache>
                <c:formatCode>General</c:formatCode>
                <c:ptCount val="4"/>
                <c:pt idx="0">
                  <c:v>2.1282</c:v>
                </c:pt>
                <c:pt idx="1">
                  <c:v>2.8913</c:v>
                </c:pt>
                <c:pt idx="2">
                  <c:v>5.9444</c:v>
                </c:pt>
                <c:pt idx="3">
                  <c:v>5.2802</c:v>
                </c:pt>
              </c:numCache>
            </c:numRef>
          </c:xVal>
          <c:yVal>
            <c:numRef>
              <c:f>'HF Flexure'!$D$60:$D$63</c:f>
              <c:numCache>
                <c:formatCode>0.0%</c:formatCode>
                <c:ptCount val="4"/>
                <c:pt idx="0">
                  <c:v>0.079</c:v>
                </c:pt>
                <c:pt idx="1">
                  <c:v>0.045</c:v>
                </c:pt>
                <c:pt idx="2">
                  <c:v>0.055</c:v>
                </c:pt>
                <c:pt idx="3">
                  <c:v>0.073</c:v>
                </c:pt>
              </c:numCache>
            </c:numRef>
          </c:yVal>
          <c:smooth val="0"/>
        </c:ser>
        <c:ser>
          <c:idx val="2"/>
          <c:order val="2"/>
          <c:tx>
            <c:v>345 kPa</c:v>
          </c:tx>
          <c:spPr>
            <a:ln w="28575">
              <a:noFill/>
            </a:ln>
          </c:spPr>
          <c:marker>
            <c:symbol val="triangle"/>
            <c:size val="7"/>
            <c:spPr>
              <a:solidFill>
                <a:srgbClr val="00B050">
                  <a:alpha val="50000"/>
                </a:srgbClr>
              </a:solidFill>
              <a:ln w="12700">
                <a:solidFill>
                  <a:schemeClr val="tx1"/>
                </a:solidFill>
              </a:ln>
            </c:spPr>
          </c:marker>
          <c:xVal>
            <c:numRef>
              <c:f>'HF Flexure'!$F$89:$F$92</c:f>
              <c:numCache>
                <c:formatCode>General</c:formatCode>
                <c:ptCount val="4"/>
                <c:pt idx="0">
                  <c:v>1.5767</c:v>
                </c:pt>
                <c:pt idx="1">
                  <c:v>3.0097</c:v>
                </c:pt>
                <c:pt idx="2">
                  <c:v>4.8198</c:v>
                </c:pt>
                <c:pt idx="3">
                  <c:v>4.568499999999998</c:v>
                </c:pt>
              </c:numCache>
            </c:numRef>
          </c:xVal>
          <c:yVal>
            <c:numRef>
              <c:f>'HF Flexure'!$F$60:$F$63</c:f>
              <c:numCache>
                <c:formatCode>0.0%</c:formatCode>
                <c:ptCount val="4"/>
                <c:pt idx="0">
                  <c:v>0.0</c:v>
                </c:pt>
                <c:pt idx="1">
                  <c:v>0.03</c:v>
                </c:pt>
                <c:pt idx="2">
                  <c:v>0.039</c:v>
                </c:pt>
                <c:pt idx="3">
                  <c:v>0.058</c:v>
                </c:pt>
              </c:numCache>
            </c:numRef>
          </c:yVal>
          <c:smooth val="0"/>
        </c:ser>
        <c:ser>
          <c:idx val="3"/>
          <c:order val="3"/>
          <c:tx>
            <c:v>483 kPa</c:v>
          </c:tx>
          <c:spPr>
            <a:ln w="28575">
              <a:noFill/>
            </a:ln>
          </c:spPr>
          <c:marker>
            <c:symbol val="x"/>
            <c:size val="7"/>
            <c:spPr>
              <a:noFill/>
              <a:ln w="25400">
                <a:solidFill>
                  <a:srgbClr val="7030A0"/>
                </a:solidFill>
              </a:ln>
            </c:spPr>
          </c:marker>
          <c:xVal>
            <c:numRef>
              <c:f>'HF Flexure'!$H$89:$H$92</c:f>
              <c:numCache>
                <c:formatCode>General</c:formatCode>
                <c:ptCount val="4"/>
                <c:pt idx="0">
                  <c:v>1.4123</c:v>
                </c:pt>
                <c:pt idx="1">
                  <c:v>2.3643</c:v>
                </c:pt>
                <c:pt idx="2">
                  <c:v>4.0156</c:v>
                </c:pt>
                <c:pt idx="3">
                  <c:v>4.2218</c:v>
                </c:pt>
              </c:numCache>
            </c:numRef>
          </c:xVal>
          <c:yVal>
            <c:numRef>
              <c:f>'HF Flexure'!$H$60:$H$63</c:f>
              <c:numCache>
                <c:formatCode>0.0%</c:formatCode>
                <c:ptCount val="4"/>
                <c:pt idx="0">
                  <c:v>0.024</c:v>
                </c:pt>
                <c:pt idx="1">
                  <c:v>0.043</c:v>
                </c:pt>
                <c:pt idx="2">
                  <c:v>0.059</c:v>
                </c:pt>
                <c:pt idx="3">
                  <c:v>0.06</c:v>
                </c:pt>
              </c:numCache>
            </c:numRef>
          </c:yVal>
          <c:smooth val="0"/>
        </c:ser>
        <c:dLbls>
          <c:showLegendKey val="0"/>
          <c:showVal val="0"/>
          <c:showCatName val="0"/>
          <c:showSerName val="0"/>
          <c:showPercent val="0"/>
          <c:showBubbleSize val="0"/>
        </c:dLbls>
        <c:axId val="462727736"/>
        <c:axId val="496952728"/>
      </c:scatterChart>
      <c:valAx>
        <c:axId val="462727736"/>
        <c:scaling>
          <c:orientation val="minMax"/>
          <c:max val="10.0"/>
          <c:min val="0.0"/>
        </c:scaling>
        <c:delete val="0"/>
        <c:axPos val="b"/>
        <c:title>
          <c:tx>
            <c:rich>
              <a:bodyPr/>
              <a:lstStyle/>
              <a:p>
                <a:pPr>
                  <a:defRPr/>
                </a:pPr>
                <a:r>
                  <a:rPr lang="en-US"/>
                  <a:t>Fluid Content (% wt.)</a:t>
                </a:r>
              </a:p>
            </c:rich>
          </c:tx>
          <c:overlay val="0"/>
        </c:title>
        <c:numFmt formatCode="#,##0" sourceLinked="0"/>
        <c:majorTickMark val="out"/>
        <c:minorTickMark val="in"/>
        <c:tickLblPos val="nextTo"/>
        <c:spPr>
          <a:ln w="12700" cmpd="sng">
            <a:solidFill>
              <a:sysClr val="windowText" lastClr="000000"/>
            </a:solidFill>
          </a:ln>
        </c:spPr>
        <c:txPr>
          <a:bodyPr rot="0" vert="horz"/>
          <a:lstStyle/>
          <a:p>
            <a:pPr>
              <a:defRPr/>
            </a:pPr>
            <a:endParaRPr lang="en-US"/>
          </a:p>
        </c:txPr>
        <c:crossAx val="496952728"/>
        <c:crosses val="autoZero"/>
        <c:crossBetween val="midCat"/>
        <c:majorUnit val="2.0"/>
        <c:minorUnit val="0.5"/>
      </c:valAx>
      <c:valAx>
        <c:axId val="496952728"/>
        <c:scaling>
          <c:orientation val="minMax"/>
          <c:max val="0.2"/>
          <c:min val="0.0"/>
        </c:scaling>
        <c:delete val="0"/>
        <c:axPos val="l"/>
        <c:title>
          <c:tx>
            <c:rich>
              <a:bodyPr rot="-5400000" vert="horz"/>
              <a:lstStyle/>
              <a:p>
                <a:pPr>
                  <a:defRPr/>
                </a:pPr>
                <a:r>
                  <a:rPr lang="en-US"/>
                  <a:t>Strength Percent Reduction</a:t>
                </a:r>
              </a:p>
            </c:rich>
          </c:tx>
          <c:overlay val="0"/>
        </c:title>
        <c:numFmt formatCode="0%" sourceLinked="0"/>
        <c:majorTickMark val="out"/>
        <c:minorTickMark val="in"/>
        <c:tickLblPos val="nextTo"/>
        <c:spPr>
          <a:ln w="12700" cmpd="sng">
            <a:solidFill>
              <a:sysClr val="windowText" lastClr="000000"/>
            </a:solidFill>
          </a:ln>
        </c:spPr>
        <c:crossAx val="462727736"/>
        <c:crosses val="autoZero"/>
        <c:crossBetween val="midCat"/>
        <c:majorUnit val="0.05"/>
        <c:minorUnit val="0.01"/>
      </c:valAx>
      <c:spPr>
        <a:ln w="12700" cmpd="sng">
          <a:solidFill>
            <a:sysClr val="windowText" lastClr="000000"/>
          </a:solidFill>
        </a:ln>
      </c:spPr>
    </c:plotArea>
    <c:legend>
      <c:legendPos val="r"/>
      <c:layout>
        <c:manualLayout>
          <c:xMode val="edge"/>
          <c:yMode val="edge"/>
          <c:x val="0.67908640657206"/>
          <c:y val="0.0468116837921687"/>
          <c:w val="0.235230659726856"/>
          <c:h val="0.225252555782957"/>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3268532111452"/>
          <c:y val="0.0398989898989899"/>
          <c:w val="0.679907543336744"/>
          <c:h val="0.752256637003257"/>
        </c:manualLayout>
      </c:layout>
      <c:scatterChart>
        <c:scatterStyle val="lineMarker"/>
        <c:varyColors val="0"/>
        <c:ser>
          <c:idx val="0"/>
          <c:order val="0"/>
          <c:tx>
            <c:v>69 kPa</c:v>
          </c:tx>
          <c:spPr>
            <a:ln w="28575">
              <a:noFill/>
            </a:ln>
          </c:spPr>
          <c:marker>
            <c:symbol val="square"/>
            <c:size val="7"/>
            <c:spPr>
              <a:solidFill>
                <a:srgbClr val="0070C0">
                  <a:alpha val="50000"/>
                </a:srgbClr>
              </a:solidFill>
              <a:ln w="12700">
                <a:solidFill>
                  <a:schemeClr val="tx1"/>
                </a:solidFill>
              </a:ln>
            </c:spPr>
          </c:marker>
          <c:xVal>
            <c:numRef>
              <c:f>'HF Flexure'!$B$95:$B$98</c:f>
              <c:numCache>
                <c:formatCode>General</c:formatCode>
                <c:ptCount val="4"/>
                <c:pt idx="0">
                  <c:v>0.6281</c:v>
                </c:pt>
                <c:pt idx="1">
                  <c:v>0.7613</c:v>
                </c:pt>
                <c:pt idx="2">
                  <c:v>1.189</c:v>
                </c:pt>
                <c:pt idx="3">
                  <c:v>1.6396</c:v>
                </c:pt>
              </c:numCache>
            </c:numRef>
          </c:xVal>
          <c:yVal>
            <c:numRef>
              <c:f>'HF Flexure'!$B$66:$B$69</c:f>
              <c:numCache>
                <c:formatCode>0.0%</c:formatCode>
                <c:ptCount val="4"/>
                <c:pt idx="0">
                  <c:v>0.092</c:v>
                </c:pt>
                <c:pt idx="1">
                  <c:v>0.081</c:v>
                </c:pt>
                <c:pt idx="2">
                  <c:v>0.076</c:v>
                </c:pt>
                <c:pt idx="3">
                  <c:v>0.003</c:v>
                </c:pt>
              </c:numCache>
            </c:numRef>
          </c:yVal>
          <c:smooth val="0"/>
        </c:ser>
        <c:ser>
          <c:idx val="1"/>
          <c:order val="1"/>
          <c:tx>
            <c:v>207 kPa</c:v>
          </c:tx>
          <c:spPr>
            <a:ln w="28575">
              <a:noFill/>
            </a:ln>
          </c:spPr>
          <c:marker>
            <c:symbol val="circle"/>
            <c:size val="7"/>
            <c:spPr>
              <a:solidFill>
                <a:srgbClr val="C00000">
                  <a:alpha val="50000"/>
                </a:srgbClr>
              </a:solidFill>
              <a:ln w="12700">
                <a:solidFill>
                  <a:sysClr val="windowText" lastClr="000000"/>
                </a:solidFill>
              </a:ln>
            </c:spPr>
          </c:marker>
          <c:xVal>
            <c:numRef>
              <c:f>'HF Flexure'!$D$95:$D$98</c:f>
              <c:numCache>
                <c:formatCode>General</c:formatCode>
                <c:ptCount val="4"/>
                <c:pt idx="0">
                  <c:v>0.5364</c:v>
                </c:pt>
                <c:pt idx="1">
                  <c:v>0.6145</c:v>
                </c:pt>
                <c:pt idx="2">
                  <c:v>0.8283</c:v>
                </c:pt>
                <c:pt idx="3">
                  <c:v>1.3197</c:v>
                </c:pt>
              </c:numCache>
            </c:numRef>
          </c:xVal>
          <c:yVal>
            <c:numRef>
              <c:f>'HF Flexure'!$D$66:$D$69</c:f>
              <c:numCache>
                <c:formatCode>0.0%</c:formatCode>
                <c:ptCount val="4"/>
                <c:pt idx="0">
                  <c:v>0.05</c:v>
                </c:pt>
                <c:pt idx="1">
                  <c:v>0.112</c:v>
                </c:pt>
                <c:pt idx="2">
                  <c:v>0.11</c:v>
                </c:pt>
                <c:pt idx="3">
                  <c:v>0.096</c:v>
                </c:pt>
              </c:numCache>
            </c:numRef>
          </c:yVal>
          <c:smooth val="0"/>
        </c:ser>
        <c:ser>
          <c:idx val="2"/>
          <c:order val="2"/>
          <c:tx>
            <c:v>345 kPa</c:v>
          </c:tx>
          <c:spPr>
            <a:ln w="28575">
              <a:noFill/>
            </a:ln>
          </c:spPr>
          <c:marker>
            <c:symbol val="triangle"/>
            <c:size val="7"/>
            <c:spPr>
              <a:solidFill>
                <a:srgbClr val="00B050">
                  <a:alpha val="50000"/>
                </a:srgbClr>
              </a:solidFill>
              <a:ln w="12700">
                <a:solidFill>
                  <a:schemeClr val="tx1"/>
                </a:solidFill>
              </a:ln>
            </c:spPr>
          </c:marker>
          <c:xVal>
            <c:numRef>
              <c:f>'HF Flexure'!$F$95:$F$98</c:f>
              <c:numCache>
                <c:formatCode>General</c:formatCode>
                <c:ptCount val="4"/>
                <c:pt idx="0">
                  <c:v>0.5058</c:v>
                </c:pt>
                <c:pt idx="1">
                  <c:v>0.5391</c:v>
                </c:pt>
                <c:pt idx="2">
                  <c:v>0.7259</c:v>
                </c:pt>
                <c:pt idx="3">
                  <c:v>1.0752</c:v>
                </c:pt>
              </c:numCache>
            </c:numRef>
          </c:xVal>
          <c:yVal>
            <c:numRef>
              <c:f>'HF Flexure'!$F$66:$F$69</c:f>
              <c:numCache>
                <c:formatCode>0.0%</c:formatCode>
                <c:ptCount val="4"/>
                <c:pt idx="0">
                  <c:v>0.056</c:v>
                </c:pt>
                <c:pt idx="1">
                  <c:v>0.053</c:v>
                </c:pt>
                <c:pt idx="2">
                  <c:v>0.114</c:v>
                </c:pt>
                <c:pt idx="3">
                  <c:v>0.082</c:v>
                </c:pt>
              </c:numCache>
            </c:numRef>
          </c:yVal>
          <c:smooth val="0"/>
        </c:ser>
        <c:ser>
          <c:idx val="3"/>
          <c:order val="3"/>
          <c:tx>
            <c:v>483 kPa</c:v>
          </c:tx>
          <c:spPr>
            <a:ln w="28575">
              <a:noFill/>
            </a:ln>
          </c:spPr>
          <c:marker>
            <c:symbol val="x"/>
            <c:size val="7"/>
            <c:spPr>
              <a:noFill/>
              <a:ln w="25400">
                <a:solidFill>
                  <a:srgbClr val="7030A0"/>
                </a:solidFill>
              </a:ln>
            </c:spPr>
          </c:marker>
          <c:xVal>
            <c:numRef>
              <c:f>'HF Flexure'!$H$95:$H$98</c:f>
              <c:numCache>
                <c:formatCode>General</c:formatCode>
                <c:ptCount val="4"/>
                <c:pt idx="0">
                  <c:v>0.4759</c:v>
                </c:pt>
                <c:pt idx="1">
                  <c:v>0.5729</c:v>
                </c:pt>
                <c:pt idx="2">
                  <c:v>0.6699</c:v>
                </c:pt>
                <c:pt idx="3">
                  <c:v>1.3197</c:v>
                </c:pt>
              </c:numCache>
            </c:numRef>
          </c:xVal>
          <c:yVal>
            <c:numRef>
              <c:f>'HF Flexure'!$H$66:$H$69</c:f>
              <c:numCache>
                <c:formatCode>0.0%</c:formatCode>
                <c:ptCount val="4"/>
                <c:pt idx="0">
                  <c:v>0.0</c:v>
                </c:pt>
                <c:pt idx="1">
                  <c:v>0.143</c:v>
                </c:pt>
                <c:pt idx="2">
                  <c:v>0.11</c:v>
                </c:pt>
                <c:pt idx="3">
                  <c:v>0.09</c:v>
                </c:pt>
              </c:numCache>
            </c:numRef>
          </c:yVal>
          <c:smooth val="0"/>
        </c:ser>
        <c:dLbls>
          <c:showLegendKey val="0"/>
          <c:showVal val="0"/>
          <c:showCatName val="0"/>
          <c:showSerName val="0"/>
          <c:showPercent val="0"/>
          <c:showBubbleSize val="0"/>
        </c:dLbls>
        <c:axId val="496994952"/>
        <c:axId val="497002632"/>
      </c:scatterChart>
      <c:valAx>
        <c:axId val="496994952"/>
        <c:scaling>
          <c:orientation val="minMax"/>
          <c:max val="2.0"/>
          <c:min val="0.0"/>
        </c:scaling>
        <c:delete val="0"/>
        <c:axPos val="b"/>
        <c:title>
          <c:tx>
            <c:rich>
              <a:bodyPr/>
              <a:lstStyle/>
              <a:p>
                <a:pPr>
                  <a:defRPr/>
                </a:pPr>
                <a:r>
                  <a:rPr lang="en-US"/>
                  <a:t>Fluid Content (% wt.)</a:t>
                </a:r>
              </a:p>
            </c:rich>
          </c:tx>
          <c:overlay val="0"/>
        </c:title>
        <c:numFmt formatCode="#,##0.0" sourceLinked="0"/>
        <c:majorTickMark val="out"/>
        <c:minorTickMark val="in"/>
        <c:tickLblPos val="nextTo"/>
        <c:spPr>
          <a:ln w="12700" cmpd="sng">
            <a:solidFill>
              <a:sysClr val="windowText" lastClr="000000"/>
            </a:solidFill>
          </a:ln>
        </c:spPr>
        <c:txPr>
          <a:bodyPr rot="0" vert="horz"/>
          <a:lstStyle/>
          <a:p>
            <a:pPr>
              <a:defRPr/>
            </a:pPr>
            <a:endParaRPr lang="en-US"/>
          </a:p>
        </c:txPr>
        <c:crossAx val="497002632"/>
        <c:crosses val="autoZero"/>
        <c:crossBetween val="midCat"/>
        <c:majorUnit val="0.5"/>
        <c:minorUnit val="0.1"/>
      </c:valAx>
      <c:valAx>
        <c:axId val="497002632"/>
        <c:scaling>
          <c:orientation val="minMax"/>
          <c:max val="0.2"/>
          <c:min val="0.0"/>
        </c:scaling>
        <c:delete val="0"/>
        <c:axPos val="l"/>
        <c:title>
          <c:tx>
            <c:rich>
              <a:bodyPr rot="-5400000" vert="horz"/>
              <a:lstStyle/>
              <a:p>
                <a:pPr>
                  <a:defRPr/>
                </a:pPr>
                <a:r>
                  <a:rPr lang="en-US"/>
                  <a:t>Strength Percent Reduction</a:t>
                </a:r>
              </a:p>
            </c:rich>
          </c:tx>
          <c:overlay val="0"/>
        </c:title>
        <c:numFmt formatCode="0%" sourceLinked="0"/>
        <c:majorTickMark val="out"/>
        <c:minorTickMark val="in"/>
        <c:tickLblPos val="nextTo"/>
        <c:spPr>
          <a:ln w="12700" cmpd="sng">
            <a:solidFill>
              <a:sysClr val="windowText" lastClr="000000"/>
            </a:solidFill>
          </a:ln>
        </c:spPr>
        <c:crossAx val="496994952"/>
        <c:crosses val="autoZero"/>
        <c:crossBetween val="midCat"/>
        <c:majorUnit val="0.05"/>
        <c:minorUnit val="0.01"/>
      </c:valAx>
      <c:spPr>
        <a:ln w="12700" cmpd="sng">
          <a:solidFill>
            <a:sysClr val="windowText" lastClr="000000"/>
          </a:solidFill>
        </a:ln>
      </c:spPr>
    </c:plotArea>
    <c:legend>
      <c:legendPos val="r"/>
      <c:layout>
        <c:manualLayout>
          <c:xMode val="edge"/>
          <c:yMode val="edge"/>
          <c:x val="0.67908640657206"/>
          <c:y val="0.0468116837921687"/>
          <c:w val="0.235230659726856"/>
          <c:h val="0.225252555782957"/>
        </c:manualLayout>
      </c:layout>
      <c:overlay val="1"/>
      <c:txPr>
        <a:bodyPr/>
        <a:lstStyle/>
        <a:p>
          <a:pPr>
            <a:defRPr sz="1000"/>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0.22915</cdr:x>
      <cdr:y>0.02778</cdr:y>
    </cdr:from>
    <cdr:to>
      <cdr:x>0.50414</cdr:x>
      <cdr:y>0.12778</cdr:y>
    </cdr:to>
    <cdr:sp macro="" textlink="">
      <cdr:nvSpPr>
        <cdr:cNvPr id="2" name="TextBox 1"/>
        <cdr:cNvSpPr txBox="1"/>
      </cdr:nvSpPr>
      <cdr:spPr>
        <a:xfrm xmlns:a="http://schemas.openxmlformats.org/drawingml/2006/main">
          <a:off x="609601" y="76199"/>
          <a:ext cx="731520" cy="27432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200" b="1" u="sng">
              <a:latin typeface="Times New Roman"/>
              <a:cs typeface="Times New Roman"/>
            </a:rPr>
            <a:t>a) BMI</a:t>
          </a:r>
        </a:p>
      </cdr:txBody>
    </cdr:sp>
  </cdr:relSizeAnchor>
</c:userShapes>
</file>

<file path=word/drawings/drawing2.xml><?xml version="1.0" encoding="utf-8"?>
<c:userShapes xmlns:c="http://schemas.openxmlformats.org/drawingml/2006/chart">
  <cdr:relSizeAnchor xmlns:cdr="http://schemas.openxmlformats.org/drawingml/2006/chartDrawing">
    <cdr:from>
      <cdr:x>0.22915</cdr:x>
      <cdr:y>0.02778</cdr:y>
    </cdr:from>
    <cdr:to>
      <cdr:x>0.6429</cdr:x>
      <cdr:y>0.12778</cdr:y>
    </cdr:to>
    <cdr:sp macro="" textlink="">
      <cdr:nvSpPr>
        <cdr:cNvPr id="2" name="TextBox 1"/>
        <cdr:cNvSpPr txBox="1"/>
      </cdr:nvSpPr>
      <cdr:spPr>
        <a:xfrm xmlns:a="http://schemas.openxmlformats.org/drawingml/2006/main">
          <a:off x="609591" y="76206"/>
          <a:ext cx="1100676" cy="27432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200" b="1" u="sng">
              <a:latin typeface="Times New Roman"/>
              <a:cs typeface="Times New Roman"/>
            </a:rPr>
            <a:t>b) Epoxy</a:t>
          </a:r>
        </a:p>
      </cdr:txBody>
    </cdr:sp>
  </cdr:relSizeAnchor>
</c:userShapes>
</file>

<file path=word/drawings/drawing3.xml><?xml version="1.0" encoding="utf-8"?>
<c:userShapes xmlns:c="http://schemas.openxmlformats.org/drawingml/2006/chart">
  <cdr:relSizeAnchor xmlns:cdr="http://schemas.openxmlformats.org/drawingml/2006/chartDrawing">
    <cdr:from>
      <cdr:x>0.2466</cdr:x>
      <cdr:y>0.28895</cdr:y>
    </cdr:from>
    <cdr:to>
      <cdr:x>0.2866</cdr:x>
      <cdr:y>0.53895</cdr:y>
    </cdr:to>
    <cdr:sp macro="" textlink="">
      <cdr:nvSpPr>
        <cdr:cNvPr id="2" name="TextBox 3"/>
        <cdr:cNvSpPr txBox="1"/>
      </cdr:nvSpPr>
      <cdr:spPr>
        <a:xfrm xmlns:a="http://schemas.openxmlformats.org/drawingml/2006/main" rot="16860000">
          <a:off x="388426" y="1080695"/>
          <a:ext cx="685800" cy="109728"/>
        </a:xfrm>
        <a:prstGeom xmlns:a="http://schemas.openxmlformats.org/drawingml/2006/main" prst="rect">
          <a:avLst/>
        </a:prstGeom>
        <a:solidFill xmlns:a="http://schemas.openxmlformats.org/drawingml/2006/main">
          <a:sysClr val="window" lastClr="FFFFFF"/>
        </a:solidFill>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r>
            <a:rPr lang="en-US" sz="1000" b="1">
              <a:latin typeface="Times New Roman" pitchFamily="18" charset="0"/>
              <a:cs typeface="Times New Roman" pitchFamily="18" charset="0"/>
            </a:rPr>
            <a:t>3°C</a:t>
          </a:r>
          <a:r>
            <a:rPr lang="en-US" sz="1000" b="1" baseline="0">
              <a:latin typeface="Times New Roman" pitchFamily="18" charset="0"/>
              <a:cs typeface="Times New Roman" pitchFamily="18" charset="0"/>
            </a:rPr>
            <a:t> / hr</a:t>
          </a:r>
          <a:endParaRPr lang="en-US" sz="1000" b="1">
            <a:latin typeface="Times New Roman" pitchFamily="18" charset="0"/>
            <a:cs typeface="Times New Roman" pitchFamily="18" charset="0"/>
          </a:endParaRPr>
        </a:p>
      </cdr:txBody>
    </cdr:sp>
  </cdr:relSizeAnchor>
  <cdr:relSizeAnchor xmlns:cdr="http://schemas.openxmlformats.org/drawingml/2006/chartDrawing">
    <cdr:from>
      <cdr:x>0.28003</cdr:x>
      <cdr:y>0.30159</cdr:y>
    </cdr:from>
    <cdr:to>
      <cdr:x>0.32003</cdr:x>
      <cdr:y>0.50159</cdr:y>
    </cdr:to>
    <cdr:cxnSp macro="">
      <cdr:nvCxnSpPr>
        <cdr:cNvPr id="7" name="Straight Arrow Connector 6"/>
        <cdr:cNvCxnSpPr/>
      </cdr:nvCxnSpPr>
      <cdr:spPr>
        <a:xfrm xmlns:a="http://schemas.openxmlformats.org/drawingml/2006/main" flipV="1">
          <a:off x="768180" y="827323"/>
          <a:ext cx="109728" cy="548640"/>
        </a:xfrm>
        <a:prstGeom xmlns:a="http://schemas.openxmlformats.org/drawingml/2006/main" prst="straightConnector1">
          <a:avLst/>
        </a:prstGeom>
        <a:noFill xmlns:a="http://schemas.openxmlformats.org/drawingml/2006/main"/>
        <a:ln xmlns:a="http://schemas.openxmlformats.org/drawingml/2006/main" w="12700" cap="flat" cmpd="sng" algn="ctr">
          <a:solidFill>
            <a:sysClr val="windowText" lastClr="000000"/>
          </a:solidFill>
          <a:prstDash val="solid"/>
          <a:tailEnd type="arrow"/>
        </a:ln>
        <a:effectLst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0.32515</cdr:x>
      <cdr:y>0.71865</cdr:y>
    </cdr:from>
    <cdr:to>
      <cdr:x>0.81944</cdr:x>
      <cdr:y>0.78531</cdr:y>
    </cdr:to>
    <cdr:sp macro="" textlink="">
      <cdr:nvSpPr>
        <cdr:cNvPr id="8" name="TextBox 3"/>
        <cdr:cNvSpPr txBox="1"/>
      </cdr:nvSpPr>
      <cdr:spPr>
        <a:xfrm xmlns:a="http://schemas.openxmlformats.org/drawingml/2006/main">
          <a:off x="891965" y="1971409"/>
          <a:ext cx="1355936" cy="182862"/>
        </a:xfrm>
        <a:prstGeom xmlns:a="http://schemas.openxmlformats.org/drawingml/2006/main" prst="rect">
          <a:avLst/>
        </a:prstGeom>
        <a:solidFill xmlns:a="http://schemas.openxmlformats.org/drawingml/2006/main">
          <a:sysClr val="window" lastClr="FFFFFF"/>
        </a:solidFill>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00" b="1">
              <a:latin typeface="Times New Roman" pitchFamily="18" charset="0"/>
              <a:cs typeface="Times New Roman" pitchFamily="18" charset="0"/>
            </a:rPr>
            <a:t>38°C hold for 30 min</a:t>
          </a:r>
        </a:p>
      </cdr:txBody>
    </cdr:sp>
  </cdr:relSizeAnchor>
  <cdr:relSizeAnchor xmlns:cdr="http://schemas.openxmlformats.org/drawingml/2006/chartDrawing">
    <cdr:from>
      <cdr:x>0.25992</cdr:x>
      <cdr:y>0.7242</cdr:y>
    </cdr:from>
    <cdr:to>
      <cdr:x>0.32992</cdr:x>
      <cdr:y>0.75754</cdr:y>
    </cdr:to>
    <cdr:cxnSp macro="">
      <cdr:nvCxnSpPr>
        <cdr:cNvPr id="9" name="Straight Arrow Connector 8"/>
        <cdr:cNvCxnSpPr/>
      </cdr:nvCxnSpPr>
      <cdr:spPr>
        <a:xfrm xmlns:a="http://schemas.openxmlformats.org/drawingml/2006/main" flipH="1" flipV="1">
          <a:off x="713026" y="1986634"/>
          <a:ext cx="192024" cy="91458"/>
        </a:xfrm>
        <a:prstGeom xmlns:a="http://schemas.openxmlformats.org/drawingml/2006/main" prst="straightConnector1">
          <a:avLst/>
        </a:prstGeom>
        <a:noFill xmlns:a="http://schemas.openxmlformats.org/drawingml/2006/main"/>
        <a:ln xmlns:a="http://schemas.openxmlformats.org/drawingml/2006/main" w="12700" cap="flat" cmpd="sng" algn="ctr">
          <a:solidFill>
            <a:sysClr val="windowText" lastClr="000000"/>
          </a:solidFill>
          <a:prstDash val="solid"/>
          <a:tailEnd type="arrow"/>
        </a:ln>
        <a:effectLst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0.36</cdr:x>
      <cdr:y>0.16513</cdr:y>
    </cdr:from>
    <cdr:to>
      <cdr:x>0.81834</cdr:x>
      <cdr:y>0.23179</cdr:y>
    </cdr:to>
    <cdr:sp macro="" textlink="">
      <cdr:nvSpPr>
        <cdr:cNvPr id="10" name="TextBox 3"/>
        <cdr:cNvSpPr txBox="1"/>
      </cdr:nvSpPr>
      <cdr:spPr>
        <a:xfrm xmlns:a="http://schemas.openxmlformats.org/drawingml/2006/main">
          <a:off x="987561" y="452973"/>
          <a:ext cx="1257319" cy="182862"/>
        </a:xfrm>
        <a:prstGeom xmlns:a="http://schemas.openxmlformats.org/drawingml/2006/main" prst="rect">
          <a:avLst/>
        </a:prstGeom>
        <a:solidFill xmlns:a="http://schemas.openxmlformats.org/drawingml/2006/main">
          <a:sysClr val="window" lastClr="FFFFFF"/>
        </a:solidFill>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r>
            <a:rPr lang="en-US" sz="1000" b="1">
              <a:latin typeface="Times New Roman" pitchFamily="18" charset="0"/>
              <a:cs typeface="Times New Roman" pitchFamily="18" charset="0"/>
            </a:rPr>
            <a:t>191°C hold for 4 hr</a:t>
          </a:r>
        </a:p>
      </cdr:txBody>
    </cdr:sp>
  </cdr:relSizeAnchor>
  <cdr:relSizeAnchor xmlns:cdr="http://schemas.openxmlformats.org/drawingml/2006/chartDrawing">
    <cdr:from>
      <cdr:x>0.85921</cdr:x>
      <cdr:y>0.1914</cdr:y>
    </cdr:from>
    <cdr:to>
      <cdr:x>0.89921</cdr:x>
      <cdr:y>0.52474</cdr:y>
    </cdr:to>
    <cdr:sp macro="" textlink="">
      <cdr:nvSpPr>
        <cdr:cNvPr id="13" name="TextBox 3"/>
        <cdr:cNvSpPr txBox="1"/>
      </cdr:nvSpPr>
      <cdr:spPr>
        <a:xfrm xmlns:a="http://schemas.openxmlformats.org/drawingml/2006/main" rot="4920000">
          <a:off x="1939747" y="927739"/>
          <a:ext cx="914418" cy="109051"/>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r>
            <a:rPr lang="en-US" sz="1000" b="1">
              <a:latin typeface="Times New Roman" pitchFamily="18" charset="0"/>
              <a:cs typeface="Times New Roman" pitchFamily="18" charset="0"/>
            </a:rPr>
            <a:t>Cool to 66°C</a:t>
          </a:r>
        </a:p>
      </cdr:txBody>
    </cdr:sp>
  </cdr:relSizeAnchor>
  <cdr:relSizeAnchor xmlns:cdr="http://schemas.openxmlformats.org/drawingml/2006/chartDrawing">
    <cdr:from>
      <cdr:x>0.84313</cdr:x>
      <cdr:y>0.3297</cdr:y>
    </cdr:from>
    <cdr:to>
      <cdr:x>0.87281</cdr:x>
      <cdr:y>0.5339</cdr:y>
    </cdr:to>
    <cdr:cxnSp macro="">
      <cdr:nvCxnSpPr>
        <cdr:cNvPr id="11" name="Straight Arrow Connector 10"/>
        <cdr:cNvCxnSpPr/>
      </cdr:nvCxnSpPr>
      <cdr:spPr>
        <a:xfrm xmlns:a="http://schemas.openxmlformats.org/drawingml/2006/main">
          <a:off x="2312864" y="904422"/>
          <a:ext cx="81430" cy="560160"/>
        </a:xfrm>
        <a:prstGeom xmlns:a="http://schemas.openxmlformats.org/drawingml/2006/main" prst="straightConnector1">
          <a:avLst/>
        </a:prstGeom>
        <a:noFill xmlns:a="http://schemas.openxmlformats.org/drawingml/2006/main"/>
        <a:ln xmlns:a="http://schemas.openxmlformats.org/drawingml/2006/main" w="12700" cap="flat" cmpd="sng" algn="ctr">
          <a:solidFill>
            <a:sysClr val="windowText" lastClr="000000"/>
          </a:solidFill>
          <a:prstDash val="solid"/>
          <a:tailEnd type="arrow"/>
        </a:ln>
        <a:effectLst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0.21196</cdr:x>
      <cdr:y>0.05887</cdr:y>
    </cdr:from>
    <cdr:to>
      <cdr:x>0.59095</cdr:x>
      <cdr:y>0.1422</cdr:y>
    </cdr:to>
    <cdr:sp macro="" textlink="">
      <cdr:nvSpPr>
        <cdr:cNvPr id="15" name="TextBox 3"/>
        <cdr:cNvSpPr txBox="1"/>
      </cdr:nvSpPr>
      <cdr:spPr>
        <a:xfrm xmlns:a="http://schemas.openxmlformats.org/drawingml/2006/main">
          <a:off x="577850" y="161484"/>
          <a:ext cx="1033236" cy="228600"/>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200" b="1" u="sng">
              <a:latin typeface="Times New Roman" pitchFamily="18" charset="0"/>
              <a:cs typeface="Times New Roman" pitchFamily="18" charset="0"/>
            </a:rPr>
            <a:t>a) BMI</a:t>
          </a:r>
        </a:p>
      </cdr:txBody>
    </cdr:sp>
  </cdr:relSizeAnchor>
</c:userShapes>
</file>

<file path=word/drawings/drawing4.xml><?xml version="1.0" encoding="utf-8"?>
<c:userShapes xmlns:c="http://schemas.openxmlformats.org/drawingml/2006/chart">
  <cdr:relSizeAnchor xmlns:cdr="http://schemas.openxmlformats.org/drawingml/2006/chartDrawing">
    <cdr:from>
      <cdr:x>0.24329</cdr:x>
      <cdr:y>0.27143</cdr:y>
    </cdr:from>
    <cdr:to>
      <cdr:x>0.28329</cdr:x>
      <cdr:y>0.52143</cdr:y>
    </cdr:to>
    <cdr:sp macro="" textlink="">
      <cdr:nvSpPr>
        <cdr:cNvPr id="2" name="TextBox 3"/>
        <cdr:cNvSpPr txBox="1"/>
      </cdr:nvSpPr>
      <cdr:spPr>
        <a:xfrm xmlns:a="http://schemas.openxmlformats.org/drawingml/2006/main" rot="17391884">
          <a:off x="379348" y="1032619"/>
          <a:ext cx="685800" cy="109728"/>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r>
            <a:rPr lang="en-US" sz="1000" b="1">
              <a:latin typeface="Times New Roman" pitchFamily="18" charset="0"/>
              <a:cs typeface="Times New Roman" pitchFamily="18" charset="0"/>
            </a:rPr>
            <a:t>3°C</a:t>
          </a:r>
          <a:r>
            <a:rPr lang="en-US" sz="1000" b="1" baseline="0">
              <a:latin typeface="Times New Roman" pitchFamily="18" charset="0"/>
              <a:cs typeface="Times New Roman" pitchFamily="18" charset="0"/>
            </a:rPr>
            <a:t> / hr</a:t>
          </a:r>
          <a:endParaRPr lang="en-US" sz="1000" b="1">
            <a:latin typeface="Times New Roman" pitchFamily="18" charset="0"/>
            <a:cs typeface="Times New Roman" pitchFamily="18" charset="0"/>
          </a:endParaRPr>
        </a:p>
      </cdr:txBody>
    </cdr:sp>
  </cdr:relSizeAnchor>
  <cdr:relSizeAnchor xmlns:cdr="http://schemas.openxmlformats.org/drawingml/2006/chartDrawing">
    <cdr:from>
      <cdr:x>0.25986</cdr:x>
      <cdr:y>0.29432</cdr:y>
    </cdr:from>
    <cdr:to>
      <cdr:x>0.3332</cdr:x>
      <cdr:y>0.49432</cdr:y>
    </cdr:to>
    <cdr:cxnSp macro="">
      <cdr:nvCxnSpPr>
        <cdr:cNvPr id="7" name="Straight Arrow Connector 6"/>
        <cdr:cNvCxnSpPr/>
      </cdr:nvCxnSpPr>
      <cdr:spPr>
        <a:xfrm xmlns:a="http://schemas.openxmlformats.org/drawingml/2006/main" flipV="1">
          <a:off x="712837" y="807378"/>
          <a:ext cx="201186" cy="548640"/>
        </a:xfrm>
        <a:prstGeom xmlns:a="http://schemas.openxmlformats.org/drawingml/2006/main" prst="straightConnector1">
          <a:avLst/>
        </a:prstGeom>
        <a:noFill xmlns:a="http://schemas.openxmlformats.org/drawingml/2006/main"/>
        <a:ln xmlns:a="http://schemas.openxmlformats.org/drawingml/2006/main" w="12700" cap="flat" cmpd="sng" algn="ctr">
          <a:solidFill>
            <a:sysClr val="windowText" lastClr="000000"/>
          </a:solidFill>
          <a:prstDash val="solid"/>
          <a:tailEnd type="arrow"/>
        </a:ln>
        <a:effectLst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0.34557</cdr:x>
      <cdr:y>0.21892</cdr:y>
    </cdr:from>
    <cdr:to>
      <cdr:x>0.8147</cdr:x>
      <cdr:y>0.27001</cdr:y>
    </cdr:to>
    <cdr:sp macro="" textlink="">
      <cdr:nvSpPr>
        <cdr:cNvPr id="10" name="TextBox 3"/>
        <cdr:cNvSpPr txBox="1"/>
      </cdr:nvSpPr>
      <cdr:spPr>
        <a:xfrm xmlns:a="http://schemas.openxmlformats.org/drawingml/2006/main">
          <a:off x="947956" y="600537"/>
          <a:ext cx="1286918" cy="140150"/>
        </a:xfrm>
        <a:prstGeom xmlns:a="http://schemas.openxmlformats.org/drawingml/2006/main" prst="rect">
          <a:avLst/>
        </a:prstGeom>
        <a:solidFill xmlns:a="http://schemas.openxmlformats.org/drawingml/2006/main">
          <a:sysClr val="window" lastClr="FFFFFF"/>
        </a:solidFill>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r>
            <a:rPr lang="en-US" sz="1000" b="1">
              <a:latin typeface="Times New Roman" pitchFamily="18" charset="0"/>
              <a:cs typeface="Times New Roman" pitchFamily="18" charset="0"/>
            </a:rPr>
            <a:t>166°C hold for 2 hr</a:t>
          </a:r>
        </a:p>
      </cdr:txBody>
    </cdr:sp>
  </cdr:relSizeAnchor>
  <cdr:relSizeAnchor xmlns:cdr="http://schemas.openxmlformats.org/drawingml/2006/chartDrawing">
    <cdr:from>
      <cdr:x>0.84693</cdr:x>
      <cdr:y>0.21455</cdr:y>
    </cdr:from>
    <cdr:to>
      <cdr:x>0.88693</cdr:x>
      <cdr:y>0.54789</cdr:y>
    </cdr:to>
    <cdr:sp macro="" textlink="">
      <cdr:nvSpPr>
        <cdr:cNvPr id="13" name="TextBox 3"/>
        <cdr:cNvSpPr txBox="1"/>
      </cdr:nvSpPr>
      <cdr:spPr>
        <a:xfrm xmlns:a="http://schemas.openxmlformats.org/drawingml/2006/main" rot="4380000">
          <a:off x="1920953" y="990898"/>
          <a:ext cx="914418" cy="109728"/>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r>
            <a:rPr lang="en-US" sz="1000" b="1">
              <a:latin typeface="Times New Roman" pitchFamily="18" charset="0"/>
              <a:cs typeface="Times New Roman" pitchFamily="18" charset="0"/>
            </a:rPr>
            <a:t>Cool to 66°C</a:t>
          </a:r>
        </a:p>
      </cdr:txBody>
    </cdr:sp>
  </cdr:relSizeAnchor>
  <cdr:relSizeAnchor xmlns:cdr="http://schemas.openxmlformats.org/drawingml/2006/chartDrawing">
    <cdr:from>
      <cdr:x>0.83016</cdr:x>
      <cdr:y>0.35582</cdr:y>
    </cdr:from>
    <cdr:to>
      <cdr:x>0.89016</cdr:x>
      <cdr:y>0.55582</cdr:y>
    </cdr:to>
    <cdr:cxnSp macro="">
      <cdr:nvCxnSpPr>
        <cdr:cNvPr id="11" name="Straight Arrow Connector 10"/>
        <cdr:cNvCxnSpPr/>
      </cdr:nvCxnSpPr>
      <cdr:spPr>
        <a:xfrm xmlns:a="http://schemas.openxmlformats.org/drawingml/2006/main">
          <a:off x="2277295" y="976084"/>
          <a:ext cx="164592" cy="548640"/>
        </a:xfrm>
        <a:prstGeom xmlns:a="http://schemas.openxmlformats.org/drawingml/2006/main" prst="straightConnector1">
          <a:avLst/>
        </a:prstGeom>
        <a:noFill xmlns:a="http://schemas.openxmlformats.org/drawingml/2006/main"/>
        <a:ln xmlns:a="http://schemas.openxmlformats.org/drawingml/2006/main" w="12700" cap="flat" cmpd="sng" algn="ctr">
          <a:solidFill>
            <a:sysClr val="windowText" lastClr="000000"/>
          </a:solidFill>
          <a:prstDash val="solid"/>
          <a:tailEnd type="arrow"/>
        </a:ln>
        <a:effectLst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0.21296</cdr:x>
      <cdr:y>0.05887</cdr:y>
    </cdr:from>
    <cdr:to>
      <cdr:x>0.59106</cdr:x>
      <cdr:y>0.1422</cdr:y>
    </cdr:to>
    <cdr:sp macro="" textlink="">
      <cdr:nvSpPr>
        <cdr:cNvPr id="15" name="TextBox 3"/>
        <cdr:cNvSpPr txBox="1"/>
      </cdr:nvSpPr>
      <cdr:spPr>
        <a:xfrm xmlns:a="http://schemas.openxmlformats.org/drawingml/2006/main">
          <a:off x="584200" y="161484"/>
          <a:ext cx="1037198" cy="228600"/>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200" b="1" u="sng">
              <a:latin typeface="Times New Roman" pitchFamily="18" charset="0"/>
              <a:cs typeface="Times New Roman" pitchFamily="18" charset="0"/>
            </a:rPr>
            <a:t>b) Epoxy</a:t>
          </a:r>
        </a:p>
      </cdr:txBody>
    </cdr:sp>
  </cdr:relSizeAnchor>
</c:userShapes>
</file>

<file path=word/drawings/drawing5.xml><?xml version="1.0" encoding="utf-8"?>
<c:userShapes xmlns:c="http://schemas.openxmlformats.org/drawingml/2006/chart">
  <cdr:relSizeAnchor xmlns:cdr="http://schemas.openxmlformats.org/drawingml/2006/chartDrawing">
    <cdr:from>
      <cdr:x>0.09952</cdr:x>
      <cdr:y>0.81271</cdr:y>
    </cdr:from>
    <cdr:to>
      <cdr:x>0.31923</cdr:x>
      <cdr:y>0.9218</cdr:y>
    </cdr:to>
    <cdr:sp macro="" textlink="">
      <cdr:nvSpPr>
        <cdr:cNvPr id="2" name="TextBox 3"/>
        <cdr:cNvSpPr txBox="1"/>
      </cdr:nvSpPr>
      <cdr:spPr>
        <a:xfrm xmlns:a="http://schemas.openxmlformats.org/drawingml/2006/main">
          <a:off x="536928"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0.08%)</a:t>
          </a:r>
        </a:p>
      </cdr:txBody>
    </cdr:sp>
  </cdr:relSizeAnchor>
  <cdr:relSizeAnchor xmlns:cdr="http://schemas.openxmlformats.org/drawingml/2006/chartDrawing">
    <cdr:from>
      <cdr:x>0.10201</cdr:x>
      <cdr:y>0.04916</cdr:y>
    </cdr:from>
    <cdr:to>
      <cdr:x>0.34147</cdr:x>
      <cdr:y>0.15825</cdr:y>
    </cdr:to>
    <cdr:sp macro="" textlink="">
      <cdr:nvSpPr>
        <cdr:cNvPr id="6" name="TextBox 5"/>
        <cdr:cNvSpPr txBox="1"/>
      </cdr:nvSpPr>
      <cdr:spPr>
        <a:xfrm xmlns:a="http://schemas.openxmlformats.org/drawingml/2006/main">
          <a:off x="550333" y="123616"/>
          <a:ext cx="1291872" cy="27431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200" b="1" u="sng">
              <a:latin typeface="Times New Roman"/>
              <a:cs typeface="Times New Roman"/>
            </a:rPr>
            <a:t>a) Quartz/BMI</a:t>
          </a:r>
        </a:p>
      </cdr:txBody>
    </cdr:sp>
  </cdr:relSizeAnchor>
  <cdr:relSizeAnchor xmlns:cdr="http://schemas.openxmlformats.org/drawingml/2006/chartDrawing">
    <cdr:from>
      <cdr:x>0.31937</cdr:x>
      <cdr:y>0.81271</cdr:y>
    </cdr:from>
    <cdr:to>
      <cdr:x>0.53908</cdr:x>
      <cdr:y>0.9218</cdr:y>
    </cdr:to>
    <cdr:sp macro="" textlink="">
      <cdr:nvSpPr>
        <cdr:cNvPr id="7" name="TextBox 6"/>
        <cdr:cNvSpPr txBox="1"/>
      </cdr:nvSpPr>
      <cdr:spPr>
        <a:xfrm xmlns:a="http://schemas.openxmlformats.org/drawingml/2006/main">
          <a:off x="1722967"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0.16%)</a:t>
          </a:r>
        </a:p>
      </cdr:txBody>
    </cdr:sp>
  </cdr:relSizeAnchor>
  <cdr:relSizeAnchor xmlns:cdr="http://schemas.openxmlformats.org/drawingml/2006/chartDrawing">
    <cdr:from>
      <cdr:x>0.53908</cdr:x>
      <cdr:y>0.81271</cdr:y>
    </cdr:from>
    <cdr:to>
      <cdr:x>0.75879</cdr:x>
      <cdr:y>0.9218</cdr:y>
    </cdr:to>
    <cdr:sp macro="" textlink="">
      <cdr:nvSpPr>
        <cdr:cNvPr id="8" name="TextBox 7"/>
        <cdr:cNvSpPr txBox="1"/>
      </cdr:nvSpPr>
      <cdr:spPr>
        <a:xfrm xmlns:a="http://schemas.openxmlformats.org/drawingml/2006/main">
          <a:off x="2908301"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0.32%)</a:t>
          </a:r>
        </a:p>
      </cdr:txBody>
    </cdr:sp>
  </cdr:relSizeAnchor>
  <cdr:relSizeAnchor xmlns:cdr="http://schemas.openxmlformats.org/drawingml/2006/chartDrawing">
    <cdr:from>
      <cdr:x>0.75879</cdr:x>
      <cdr:y>0.81271</cdr:y>
    </cdr:from>
    <cdr:to>
      <cdr:x>0.9785</cdr:x>
      <cdr:y>0.9218</cdr:y>
    </cdr:to>
    <cdr:sp macro="" textlink="">
      <cdr:nvSpPr>
        <cdr:cNvPr id="9" name="TextBox 8"/>
        <cdr:cNvSpPr txBox="1"/>
      </cdr:nvSpPr>
      <cdr:spPr>
        <a:xfrm xmlns:a="http://schemas.openxmlformats.org/drawingml/2006/main">
          <a:off x="4093633"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0.57%)</a:t>
          </a:r>
        </a:p>
      </cdr:txBody>
    </cdr:sp>
  </cdr:relSizeAnchor>
</c:userShapes>
</file>

<file path=word/drawings/drawing6.xml><?xml version="1.0" encoding="utf-8"?>
<c:userShapes xmlns:c="http://schemas.openxmlformats.org/drawingml/2006/chart">
  <cdr:relSizeAnchor xmlns:cdr="http://schemas.openxmlformats.org/drawingml/2006/chartDrawing">
    <cdr:from>
      <cdr:x>0.09952</cdr:x>
      <cdr:y>0.81271</cdr:y>
    </cdr:from>
    <cdr:to>
      <cdr:x>0.31923</cdr:x>
      <cdr:y>0.9218</cdr:y>
    </cdr:to>
    <cdr:sp macro="" textlink="">
      <cdr:nvSpPr>
        <cdr:cNvPr id="2" name="TextBox 3"/>
        <cdr:cNvSpPr txBox="1"/>
      </cdr:nvSpPr>
      <cdr:spPr>
        <a:xfrm xmlns:a="http://schemas.openxmlformats.org/drawingml/2006/main">
          <a:off x="536928"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0.04%)</a:t>
          </a:r>
        </a:p>
      </cdr:txBody>
    </cdr:sp>
  </cdr:relSizeAnchor>
  <cdr:relSizeAnchor xmlns:cdr="http://schemas.openxmlformats.org/drawingml/2006/chartDrawing">
    <cdr:from>
      <cdr:x>0.10201</cdr:x>
      <cdr:y>0.04916</cdr:y>
    </cdr:from>
    <cdr:to>
      <cdr:x>0.34147</cdr:x>
      <cdr:y>0.15825</cdr:y>
    </cdr:to>
    <cdr:sp macro="" textlink="">
      <cdr:nvSpPr>
        <cdr:cNvPr id="6" name="TextBox 5"/>
        <cdr:cNvSpPr txBox="1"/>
      </cdr:nvSpPr>
      <cdr:spPr>
        <a:xfrm xmlns:a="http://schemas.openxmlformats.org/drawingml/2006/main">
          <a:off x="550333" y="123616"/>
          <a:ext cx="1291872" cy="27431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200" b="1" u="sng">
              <a:latin typeface="Times New Roman"/>
              <a:cs typeface="Times New Roman"/>
            </a:rPr>
            <a:t>b) Quartz/Epoxy</a:t>
          </a:r>
        </a:p>
      </cdr:txBody>
    </cdr:sp>
  </cdr:relSizeAnchor>
  <cdr:relSizeAnchor xmlns:cdr="http://schemas.openxmlformats.org/drawingml/2006/chartDrawing">
    <cdr:from>
      <cdr:x>0.31937</cdr:x>
      <cdr:y>0.81271</cdr:y>
    </cdr:from>
    <cdr:to>
      <cdr:x>0.53908</cdr:x>
      <cdr:y>0.9218</cdr:y>
    </cdr:to>
    <cdr:sp macro="" textlink="">
      <cdr:nvSpPr>
        <cdr:cNvPr id="7" name="TextBox 6"/>
        <cdr:cNvSpPr txBox="1"/>
      </cdr:nvSpPr>
      <cdr:spPr>
        <a:xfrm xmlns:a="http://schemas.openxmlformats.org/drawingml/2006/main">
          <a:off x="1722967"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0.05%)</a:t>
          </a:r>
        </a:p>
      </cdr:txBody>
    </cdr:sp>
  </cdr:relSizeAnchor>
  <cdr:relSizeAnchor xmlns:cdr="http://schemas.openxmlformats.org/drawingml/2006/chartDrawing">
    <cdr:from>
      <cdr:x>0.53908</cdr:x>
      <cdr:y>0.81271</cdr:y>
    </cdr:from>
    <cdr:to>
      <cdr:x>0.75879</cdr:x>
      <cdr:y>0.9218</cdr:y>
    </cdr:to>
    <cdr:sp macro="" textlink="">
      <cdr:nvSpPr>
        <cdr:cNvPr id="8" name="TextBox 7"/>
        <cdr:cNvSpPr txBox="1"/>
      </cdr:nvSpPr>
      <cdr:spPr>
        <a:xfrm xmlns:a="http://schemas.openxmlformats.org/drawingml/2006/main">
          <a:off x="2908301"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0.07%)</a:t>
          </a:r>
        </a:p>
      </cdr:txBody>
    </cdr:sp>
  </cdr:relSizeAnchor>
  <cdr:relSizeAnchor xmlns:cdr="http://schemas.openxmlformats.org/drawingml/2006/chartDrawing">
    <cdr:from>
      <cdr:x>0.75879</cdr:x>
      <cdr:y>0.81271</cdr:y>
    </cdr:from>
    <cdr:to>
      <cdr:x>0.9785</cdr:x>
      <cdr:y>0.9218</cdr:y>
    </cdr:to>
    <cdr:sp macro="" textlink="">
      <cdr:nvSpPr>
        <cdr:cNvPr id="9" name="TextBox 8"/>
        <cdr:cNvSpPr txBox="1"/>
      </cdr:nvSpPr>
      <cdr:spPr>
        <a:xfrm xmlns:a="http://schemas.openxmlformats.org/drawingml/2006/main">
          <a:off x="4093633"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0.08%)</a:t>
          </a:r>
        </a:p>
      </cdr:txBody>
    </cdr:sp>
  </cdr:relSizeAnchor>
</c:userShapes>
</file>

<file path=word/drawings/drawing7.xml><?xml version="1.0" encoding="utf-8"?>
<c:userShapes xmlns:c="http://schemas.openxmlformats.org/drawingml/2006/chart">
  <cdr:relSizeAnchor xmlns:cdr="http://schemas.openxmlformats.org/drawingml/2006/chartDrawing">
    <cdr:from>
      <cdr:x>0.09952</cdr:x>
      <cdr:y>0.81271</cdr:y>
    </cdr:from>
    <cdr:to>
      <cdr:x>0.31923</cdr:x>
      <cdr:y>0.9218</cdr:y>
    </cdr:to>
    <cdr:sp macro="" textlink="">
      <cdr:nvSpPr>
        <cdr:cNvPr id="2" name="TextBox 3"/>
        <cdr:cNvSpPr txBox="1"/>
      </cdr:nvSpPr>
      <cdr:spPr>
        <a:xfrm xmlns:a="http://schemas.openxmlformats.org/drawingml/2006/main">
          <a:off x="536928"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0.04%)</a:t>
          </a:r>
        </a:p>
      </cdr:txBody>
    </cdr:sp>
  </cdr:relSizeAnchor>
  <cdr:relSizeAnchor xmlns:cdr="http://schemas.openxmlformats.org/drawingml/2006/chartDrawing">
    <cdr:from>
      <cdr:x>0.10201</cdr:x>
      <cdr:y>0.04916</cdr:y>
    </cdr:from>
    <cdr:to>
      <cdr:x>0.34147</cdr:x>
      <cdr:y>0.15825</cdr:y>
    </cdr:to>
    <cdr:sp macro="" textlink="">
      <cdr:nvSpPr>
        <cdr:cNvPr id="6" name="TextBox 5"/>
        <cdr:cNvSpPr txBox="1"/>
      </cdr:nvSpPr>
      <cdr:spPr>
        <a:xfrm xmlns:a="http://schemas.openxmlformats.org/drawingml/2006/main">
          <a:off x="550333" y="123616"/>
          <a:ext cx="1291872" cy="27431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200" b="1" u="sng">
              <a:latin typeface="Times New Roman"/>
              <a:cs typeface="Times New Roman"/>
            </a:rPr>
            <a:t>c) Carbon/Epoxy</a:t>
          </a:r>
        </a:p>
      </cdr:txBody>
    </cdr:sp>
  </cdr:relSizeAnchor>
  <cdr:relSizeAnchor xmlns:cdr="http://schemas.openxmlformats.org/drawingml/2006/chartDrawing">
    <cdr:from>
      <cdr:x>0.31937</cdr:x>
      <cdr:y>0.81271</cdr:y>
    </cdr:from>
    <cdr:to>
      <cdr:x>0.53908</cdr:x>
      <cdr:y>0.9218</cdr:y>
    </cdr:to>
    <cdr:sp macro="" textlink="">
      <cdr:nvSpPr>
        <cdr:cNvPr id="7" name="TextBox 6"/>
        <cdr:cNvSpPr txBox="1"/>
      </cdr:nvSpPr>
      <cdr:spPr>
        <a:xfrm xmlns:a="http://schemas.openxmlformats.org/drawingml/2006/main">
          <a:off x="1722967"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0.07%)</a:t>
          </a:r>
        </a:p>
      </cdr:txBody>
    </cdr:sp>
  </cdr:relSizeAnchor>
  <cdr:relSizeAnchor xmlns:cdr="http://schemas.openxmlformats.org/drawingml/2006/chartDrawing">
    <cdr:from>
      <cdr:x>0.53908</cdr:x>
      <cdr:y>0.81271</cdr:y>
    </cdr:from>
    <cdr:to>
      <cdr:x>0.75879</cdr:x>
      <cdr:y>0.9218</cdr:y>
    </cdr:to>
    <cdr:sp macro="" textlink="">
      <cdr:nvSpPr>
        <cdr:cNvPr id="8" name="TextBox 7"/>
        <cdr:cNvSpPr txBox="1"/>
      </cdr:nvSpPr>
      <cdr:spPr>
        <a:xfrm xmlns:a="http://schemas.openxmlformats.org/drawingml/2006/main">
          <a:off x="2908301"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0.08%)</a:t>
          </a:r>
        </a:p>
      </cdr:txBody>
    </cdr:sp>
  </cdr:relSizeAnchor>
  <cdr:relSizeAnchor xmlns:cdr="http://schemas.openxmlformats.org/drawingml/2006/chartDrawing">
    <cdr:from>
      <cdr:x>0.75879</cdr:x>
      <cdr:y>0.81271</cdr:y>
    </cdr:from>
    <cdr:to>
      <cdr:x>0.9785</cdr:x>
      <cdr:y>0.9218</cdr:y>
    </cdr:to>
    <cdr:sp macro="" textlink="">
      <cdr:nvSpPr>
        <cdr:cNvPr id="9" name="TextBox 8"/>
        <cdr:cNvSpPr txBox="1"/>
      </cdr:nvSpPr>
      <cdr:spPr>
        <a:xfrm xmlns:a="http://schemas.openxmlformats.org/drawingml/2006/main">
          <a:off x="4093633"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0.12%)</a:t>
          </a:r>
        </a:p>
      </cdr:txBody>
    </cdr:sp>
  </cdr:relSizeAnchor>
</c:userShapes>
</file>

<file path=word/drawings/drawing8.xml><?xml version="1.0" encoding="utf-8"?>
<c:userShapes xmlns:c="http://schemas.openxmlformats.org/drawingml/2006/chart">
  <cdr:relSizeAnchor xmlns:cdr="http://schemas.openxmlformats.org/drawingml/2006/chartDrawing">
    <cdr:from>
      <cdr:x>0.09952</cdr:x>
      <cdr:y>0.81271</cdr:y>
    </cdr:from>
    <cdr:to>
      <cdr:x>0.31923</cdr:x>
      <cdr:y>0.9218</cdr:y>
    </cdr:to>
    <cdr:sp macro="" textlink="">
      <cdr:nvSpPr>
        <cdr:cNvPr id="2" name="TextBox 3"/>
        <cdr:cNvSpPr txBox="1"/>
      </cdr:nvSpPr>
      <cdr:spPr>
        <a:xfrm xmlns:a="http://schemas.openxmlformats.org/drawingml/2006/main">
          <a:off x="536928"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0.08%)</a:t>
          </a:r>
        </a:p>
      </cdr:txBody>
    </cdr:sp>
  </cdr:relSizeAnchor>
  <cdr:relSizeAnchor xmlns:cdr="http://schemas.openxmlformats.org/drawingml/2006/chartDrawing">
    <cdr:from>
      <cdr:x>0.10201</cdr:x>
      <cdr:y>0.04916</cdr:y>
    </cdr:from>
    <cdr:to>
      <cdr:x>0.34147</cdr:x>
      <cdr:y>0.15825</cdr:y>
    </cdr:to>
    <cdr:sp macro="" textlink="">
      <cdr:nvSpPr>
        <cdr:cNvPr id="6" name="TextBox 5"/>
        <cdr:cNvSpPr txBox="1"/>
      </cdr:nvSpPr>
      <cdr:spPr>
        <a:xfrm xmlns:a="http://schemas.openxmlformats.org/drawingml/2006/main">
          <a:off x="550333" y="123616"/>
          <a:ext cx="1291872" cy="27431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200" b="1" u="sng">
              <a:latin typeface="Times New Roman"/>
              <a:cs typeface="Times New Roman"/>
            </a:rPr>
            <a:t>a) Quartz/BMI</a:t>
          </a:r>
        </a:p>
      </cdr:txBody>
    </cdr:sp>
  </cdr:relSizeAnchor>
  <cdr:relSizeAnchor xmlns:cdr="http://schemas.openxmlformats.org/drawingml/2006/chartDrawing">
    <cdr:from>
      <cdr:x>0.31937</cdr:x>
      <cdr:y>0.81271</cdr:y>
    </cdr:from>
    <cdr:to>
      <cdr:x>0.53908</cdr:x>
      <cdr:y>0.9218</cdr:y>
    </cdr:to>
    <cdr:sp macro="" textlink="">
      <cdr:nvSpPr>
        <cdr:cNvPr id="7" name="TextBox 6"/>
        <cdr:cNvSpPr txBox="1"/>
      </cdr:nvSpPr>
      <cdr:spPr>
        <a:xfrm xmlns:a="http://schemas.openxmlformats.org/drawingml/2006/main">
          <a:off x="1722967"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0.16%)</a:t>
          </a:r>
        </a:p>
      </cdr:txBody>
    </cdr:sp>
  </cdr:relSizeAnchor>
  <cdr:relSizeAnchor xmlns:cdr="http://schemas.openxmlformats.org/drawingml/2006/chartDrawing">
    <cdr:from>
      <cdr:x>0.53908</cdr:x>
      <cdr:y>0.81271</cdr:y>
    </cdr:from>
    <cdr:to>
      <cdr:x>0.75879</cdr:x>
      <cdr:y>0.9218</cdr:y>
    </cdr:to>
    <cdr:sp macro="" textlink="">
      <cdr:nvSpPr>
        <cdr:cNvPr id="8" name="TextBox 7"/>
        <cdr:cNvSpPr txBox="1"/>
      </cdr:nvSpPr>
      <cdr:spPr>
        <a:xfrm xmlns:a="http://schemas.openxmlformats.org/drawingml/2006/main">
          <a:off x="2908301"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0.32%)</a:t>
          </a:r>
        </a:p>
      </cdr:txBody>
    </cdr:sp>
  </cdr:relSizeAnchor>
  <cdr:relSizeAnchor xmlns:cdr="http://schemas.openxmlformats.org/drawingml/2006/chartDrawing">
    <cdr:from>
      <cdr:x>0.75879</cdr:x>
      <cdr:y>0.81271</cdr:y>
    </cdr:from>
    <cdr:to>
      <cdr:x>0.9785</cdr:x>
      <cdr:y>0.9218</cdr:y>
    </cdr:to>
    <cdr:sp macro="" textlink="">
      <cdr:nvSpPr>
        <cdr:cNvPr id="9" name="TextBox 8"/>
        <cdr:cNvSpPr txBox="1"/>
      </cdr:nvSpPr>
      <cdr:spPr>
        <a:xfrm xmlns:a="http://schemas.openxmlformats.org/drawingml/2006/main">
          <a:off x="4093633"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0.57%)</a:t>
          </a:r>
        </a:p>
      </cdr:txBody>
    </cdr:sp>
  </cdr:relSizeAnchor>
</c:userShapes>
</file>

<file path=word/drawings/drawing9.xml><?xml version="1.0" encoding="utf-8"?>
<c:userShapes xmlns:c="http://schemas.openxmlformats.org/drawingml/2006/chart">
  <cdr:relSizeAnchor xmlns:cdr="http://schemas.openxmlformats.org/drawingml/2006/chartDrawing">
    <cdr:from>
      <cdr:x>0.09952</cdr:x>
      <cdr:y>0.81271</cdr:y>
    </cdr:from>
    <cdr:to>
      <cdr:x>0.31923</cdr:x>
      <cdr:y>0.9218</cdr:y>
    </cdr:to>
    <cdr:sp macro="" textlink="">
      <cdr:nvSpPr>
        <cdr:cNvPr id="2" name="TextBox 3"/>
        <cdr:cNvSpPr txBox="1"/>
      </cdr:nvSpPr>
      <cdr:spPr>
        <a:xfrm xmlns:a="http://schemas.openxmlformats.org/drawingml/2006/main">
          <a:off x="536928"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0.04%)</a:t>
          </a:r>
        </a:p>
      </cdr:txBody>
    </cdr:sp>
  </cdr:relSizeAnchor>
  <cdr:relSizeAnchor xmlns:cdr="http://schemas.openxmlformats.org/drawingml/2006/chartDrawing">
    <cdr:from>
      <cdr:x>0.10201</cdr:x>
      <cdr:y>0.04916</cdr:y>
    </cdr:from>
    <cdr:to>
      <cdr:x>0.34147</cdr:x>
      <cdr:y>0.15825</cdr:y>
    </cdr:to>
    <cdr:sp macro="" textlink="">
      <cdr:nvSpPr>
        <cdr:cNvPr id="6" name="TextBox 5"/>
        <cdr:cNvSpPr txBox="1"/>
      </cdr:nvSpPr>
      <cdr:spPr>
        <a:xfrm xmlns:a="http://schemas.openxmlformats.org/drawingml/2006/main">
          <a:off x="550333" y="123616"/>
          <a:ext cx="1291872" cy="27431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200" b="1" u="sng">
              <a:latin typeface="Times New Roman"/>
              <a:cs typeface="Times New Roman"/>
            </a:rPr>
            <a:t>b) Quartz/Epoxy</a:t>
          </a:r>
        </a:p>
      </cdr:txBody>
    </cdr:sp>
  </cdr:relSizeAnchor>
  <cdr:relSizeAnchor xmlns:cdr="http://schemas.openxmlformats.org/drawingml/2006/chartDrawing">
    <cdr:from>
      <cdr:x>0.31937</cdr:x>
      <cdr:y>0.81271</cdr:y>
    </cdr:from>
    <cdr:to>
      <cdr:x>0.53908</cdr:x>
      <cdr:y>0.9218</cdr:y>
    </cdr:to>
    <cdr:sp macro="" textlink="">
      <cdr:nvSpPr>
        <cdr:cNvPr id="7" name="TextBox 6"/>
        <cdr:cNvSpPr txBox="1"/>
      </cdr:nvSpPr>
      <cdr:spPr>
        <a:xfrm xmlns:a="http://schemas.openxmlformats.org/drawingml/2006/main">
          <a:off x="1722967"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0.05%)</a:t>
          </a:r>
        </a:p>
      </cdr:txBody>
    </cdr:sp>
  </cdr:relSizeAnchor>
  <cdr:relSizeAnchor xmlns:cdr="http://schemas.openxmlformats.org/drawingml/2006/chartDrawing">
    <cdr:from>
      <cdr:x>0.53908</cdr:x>
      <cdr:y>0.81271</cdr:y>
    </cdr:from>
    <cdr:to>
      <cdr:x>0.75879</cdr:x>
      <cdr:y>0.9218</cdr:y>
    </cdr:to>
    <cdr:sp macro="" textlink="">
      <cdr:nvSpPr>
        <cdr:cNvPr id="8" name="TextBox 7"/>
        <cdr:cNvSpPr txBox="1"/>
      </cdr:nvSpPr>
      <cdr:spPr>
        <a:xfrm xmlns:a="http://schemas.openxmlformats.org/drawingml/2006/main">
          <a:off x="2908301"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0.07%)</a:t>
          </a:r>
        </a:p>
      </cdr:txBody>
    </cdr:sp>
  </cdr:relSizeAnchor>
  <cdr:relSizeAnchor xmlns:cdr="http://schemas.openxmlformats.org/drawingml/2006/chartDrawing">
    <cdr:from>
      <cdr:x>0.75879</cdr:x>
      <cdr:y>0.81271</cdr:y>
    </cdr:from>
    <cdr:to>
      <cdr:x>0.9785</cdr:x>
      <cdr:y>0.9218</cdr:y>
    </cdr:to>
    <cdr:sp macro="" textlink="">
      <cdr:nvSpPr>
        <cdr:cNvPr id="9" name="TextBox 8"/>
        <cdr:cNvSpPr txBox="1"/>
      </cdr:nvSpPr>
      <cdr:spPr>
        <a:xfrm xmlns:a="http://schemas.openxmlformats.org/drawingml/2006/main">
          <a:off x="4093633"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0.08%)</a:t>
          </a:r>
        </a:p>
      </cdr:txBody>
    </cdr:sp>
  </cdr:relSizeAnchor>
</c:userShapes>
</file>

<file path=word/drawings/drawing10.xml><?xml version="1.0" encoding="utf-8"?>
<c:userShapes xmlns:c="http://schemas.openxmlformats.org/drawingml/2006/chart">
  <cdr:relSizeAnchor xmlns:cdr="http://schemas.openxmlformats.org/drawingml/2006/chartDrawing">
    <cdr:from>
      <cdr:x>0.09952</cdr:x>
      <cdr:y>0.81271</cdr:y>
    </cdr:from>
    <cdr:to>
      <cdr:x>0.31923</cdr:x>
      <cdr:y>0.9218</cdr:y>
    </cdr:to>
    <cdr:sp macro="" textlink="">
      <cdr:nvSpPr>
        <cdr:cNvPr id="2" name="TextBox 3"/>
        <cdr:cNvSpPr txBox="1"/>
      </cdr:nvSpPr>
      <cdr:spPr>
        <a:xfrm xmlns:a="http://schemas.openxmlformats.org/drawingml/2006/main">
          <a:off x="536928"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0.04%)</a:t>
          </a:r>
        </a:p>
      </cdr:txBody>
    </cdr:sp>
  </cdr:relSizeAnchor>
  <cdr:relSizeAnchor xmlns:cdr="http://schemas.openxmlformats.org/drawingml/2006/chartDrawing">
    <cdr:from>
      <cdr:x>0.10201</cdr:x>
      <cdr:y>0.04916</cdr:y>
    </cdr:from>
    <cdr:to>
      <cdr:x>0.34147</cdr:x>
      <cdr:y>0.15825</cdr:y>
    </cdr:to>
    <cdr:sp macro="" textlink="">
      <cdr:nvSpPr>
        <cdr:cNvPr id="6" name="TextBox 5"/>
        <cdr:cNvSpPr txBox="1"/>
      </cdr:nvSpPr>
      <cdr:spPr>
        <a:xfrm xmlns:a="http://schemas.openxmlformats.org/drawingml/2006/main">
          <a:off x="550333" y="123616"/>
          <a:ext cx="1291872" cy="27431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200" b="1" u="sng">
              <a:latin typeface="Times New Roman"/>
              <a:cs typeface="Times New Roman"/>
            </a:rPr>
            <a:t>c) Carbon/Epoxy</a:t>
          </a:r>
        </a:p>
      </cdr:txBody>
    </cdr:sp>
  </cdr:relSizeAnchor>
  <cdr:relSizeAnchor xmlns:cdr="http://schemas.openxmlformats.org/drawingml/2006/chartDrawing">
    <cdr:from>
      <cdr:x>0.31937</cdr:x>
      <cdr:y>0.81271</cdr:y>
    </cdr:from>
    <cdr:to>
      <cdr:x>0.53908</cdr:x>
      <cdr:y>0.9218</cdr:y>
    </cdr:to>
    <cdr:sp macro="" textlink="">
      <cdr:nvSpPr>
        <cdr:cNvPr id="7" name="TextBox 6"/>
        <cdr:cNvSpPr txBox="1"/>
      </cdr:nvSpPr>
      <cdr:spPr>
        <a:xfrm xmlns:a="http://schemas.openxmlformats.org/drawingml/2006/main">
          <a:off x="1722967"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0.07%)</a:t>
          </a:r>
        </a:p>
      </cdr:txBody>
    </cdr:sp>
  </cdr:relSizeAnchor>
  <cdr:relSizeAnchor xmlns:cdr="http://schemas.openxmlformats.org/drawingml/2006/chartDrawing">
    <cdr:from>
      <cdr:x>0.53908</cdr:x>
      <cdr:y>0.81271</cdr:y>
    </cdr:from>
    <cdr:to>
      <cdr:x>0.75879</cdr:x>
      <cdr:y>0.9218</cdr:y>
    </cdr:to>
    <cdr:sp macro="" textlink="">
      <cdr:nvSpPr>
        <cdr:cNvPr id="8" name="TextBox 7"/>
        <cdr:cNvSpPr txBox="1"/>
      </cdr:nvSpPr>
      <cdr:spPr>
        <a:xfrm xmlns:a="http://schemas.openxmlformats.org/drawingml/2006/main">
          <a:off x="2908301"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0.08%)</a:t>
          </a:r>
        </a:p>
      </cdr:txBody>
    </cdr:sp>
  </cdr:relSizeAnchor>
  <cdr:relSizeAnchor xmlns:cdr="http://schemas.openxmlformats.org/drawingml/2006/chartDrawing">
    <cdr:from>
      <cdr:x>0.75879</cdr:x>
      <cdr:y>0.81271</cdr:y>
    </cdr:from>
    <cdr:to>
      <cdr:x>0.9785</cdr:x>
      <cdr:y>0.9218</cdr:y>
    </cdr:to>
    <cdr:sp macro="" textlink="">
      <cdr:nvSpPr>
        <cdr:cNvPr id="9" name="TextBox 8"/>
        <cdr:cNvSpPr txBox="1"/>
      </cdr:nvSpPr>
      <cdr:spPr>
        <a:xfrm xmlns:a="http://schemas.openxmlformats.org/drawingml/2006/main">
          <a:off x="4093633" y="2043634"/>
          <a:ext cx="1185332" cy="274320"/>
        </a:xfrm>
        <a:prstGeom xmlns:a="http://schemas.openxmlformats.org/drawingml/2006/main" prst="rect">
          <a:avLst/>
        </a:prstGeom>
        <a:noFill xmlns:a="http://schemas.openxmlformats.org/drawingml/2006/main"/>
        <a:ln xmlns:a="http://schemas.openxmlformats.org/drawingml/2006/main" w="12700"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b="0">
              <a:latin typeface="Times New Roman" pitchFamily="18" charset="0"/>
              <a:cs typeface="Times New Roman" pitchFamily="18" charset="0"/>
            </a:rPr>
            <a:t>(M</a:t>
          </a:r>
          <a:r>
            <a:rPr lang="en-US" sz="1200" b="0" baseline="-25000">
              <a:latin typeface="Times New Roman" pitchFamily="18" charset="0"/>
              <a:cs typeface="Times New Roman" pitchFamily="18" charset="0"/>
            </a:rPr>
            <a:t>P</a:t>
          </a:r>
          <a:r>
            <a:rPr lang="en-US" sz="1200" b="0">
              <a:latin typeface="Times New Roman" pitchFamily="18" charset="0"/>
              <a:cs typeface="Times New Roman" pitchFamily="18" charset="0"/>
            </a:rPr>
            <a:t> = 0.12%)</a:t>
          </a:r>
        </a:p>
      </cdr:txBody>
    </cdr:sp>
  </cdr:relSizeAnchor>
</c:userShapes>
</file>

<file path=word/drawings/drawing11.xml><?xml version="1.0" encoding="utf-8"?>
<c:userShapes xmlns:c="http://schemas.openxmlformats.org/drawingml/2006/chart">
  <cdr:relSizeAnchor xmlns:cdr="http://schemas.openxmlformats.org/drawingml/2006/chartDrawing">
    <cdr:from>
      <cdr:x>0.19296</cdr:x>
      <cdr:y>0.03323</cdr:y>
    </cdr:from>
    <cdr:to>
      <cdr:x>0.66469</cdr:x>
      <cdr:y>0.10876</cdr:y>
    </cdr:to>
    <cdr:sp macro="" textlink="">
      <cdr:nvSpPr>
        <cdr:cNvPr id="2" name="TextBox 1"/>
        <cdr:cNvSpPr txBox="1"/>
      </cdr:nvSpPr>
      <cdr:spPr>
        <a:xfrm xmlns:a="http://schemas.openxmlformats.org/drawingml/2006/main">
          <a:off x="533399" y="93135"/>
          <a:ext cx="1304042" cy="2116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b) Quartz/BMI</a:t>
          </a:r>
        </a:p>
      </cdr:txBody>
    </cdr:sp>
  </cdr:relSizeAnchor>
</c:userShapes>
</file>

<file path=word/drawings/drawing12.xml><?xml version="1.0" encoding="utf-8"?>
<c:userShapes xmlns:c="http://schemas.openxmlformats.org/drawingml/2006/chart">
  <cdr:relSizeAnchor xmlns:cdr="http://schemas.openxmlformats.org/drawingml/2006/chartDrawing">
    <cdr:from>
      <cdr:x>0.19296</cdr:x>
      <cdr:y>0.03323</cdr:y>
    </cdr:from>
    <cdr:to>
      <cdr:x>0.66469</cdr:x>
      <cdr:y>0.10876</cdr:y>
    </cdr:to>
    <cdr:sp macro="" textlink="">
      <cdr:nvSpPr>
        <cdr:cNvPr id="2" name="TextBox 1"/>
        <cdr:cNvSpPr txBox="1"/>
      </cdr:nvSpPr>
      <cdr:spPr>
        <a:xfrm xmlns:a="http://schemas.openxmlformats.org/drawingml/2006/main">
          <a:off x="533399" y="93135"/>
          <a:ext cx="1304042" cy="2116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a) Quartz/Epoxy</a:t>
          </a:r>
        </a:p>
      </cdr:txBody>
    </cdr:sp>
  </cdr:relSizeAnchor>
</c:userShapes>
</file>

<file path=word/drawings/drawing13.xml><?xml version="1.0" encoding="utf-8"?>
<c:userShapes xmlns:c="http://schemas.openxmlformats.org/drawingml/2006/chart">
  <cdr:relSizeAnchor xmlns:cdr="http://schemas.openxmlformats.org/drawingml/2006/chartDrawing">
    <cdr:from>
      <cdr:x>0.19296</cdr:x>
      <cdr:y>0.03323</cdr:y>
    </cdr:from>
    <cdr:to>
      <cdr:x>0.66469</cdr:x>
      <cdr:y>0.10876</cdr:y>
    </cdr:to>
    <cdr:sp macro="" textlink="">
      <cdr:nvSpPr>
        <cdr:cNvPr id="2" name="TextBox 1"/>
        <cdr:cNvSpPr txBox="1"/>
      </cdr:nvSpPr>
      <cdr:spPr>
        <a:xfrm xmlns:a="http://schemas.openxmlformats.org/drawingml/2006/main">
          <a:off x="533399" y="93135"/>
          <a:ext cx="1304042" cy="2116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c) Carbon/Epoxy</a:t>
          </a:r>
        </a:p>
      </cdr:txBody>
    </cdr:sp>
  </cdr:relSizeAnchor>
</c:userShapes>
</file>

<file path=word/drawings/drawing14.xml><?xml version="1.0" encoding="utf-8"?>
<c:userShapes xmlns:c="http://schemas.openxmlformats.org/drawingml/2006/chart">
  <cdr:relSizeAnchor xmlns:cdr="http://schemas.openxmlformats.org/drawingml/2006/chartDrawing">
    <cdr:from>
      <cdr:x>0.19296</cdr:x>
      <cdr:y>0.03323</cdr:y>
    </cdr:from>
    <cdr:to>
      <cdr:x>0.66469</cdr:x>
      <cdr:y>0.10876</cdr:y>
    </cdr:to>
    <cdr:sp macro="" textlink="">
      <cdr:nvSpPr>
        <cdr:cNvPr id="2" name="TextBox 1"/>
        <cdr:cNvSpPr txBox="1"/>
      </cdr:nvSpPr>
      <cdr:spPr>
        <a:xfrm xmlns:a="http://schemas.openxmlformats.org/drawingml/2006/main">
          <a:off x="533399" y="93135"/>
          <a:ext cx="1304042" cy="2116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b) Quartz/BMI</a:t>
          </a:r>
        </a:p>
      </cdr:txBody>
    </cdr:sp>
  </cdr:relSizeAnchor>
</c:userShapes>
</file>

<file path=word/drawings/drawing15.xml><?xml version="1.0" encoding="utf-8"?>
<c:userShapes xmlns:c="http://schemas.openxmlformats.org/drawingml/2006/chart">
  <cdr:relSizeAnchor xmlns:cdr="http://schemas.openxmlformats.org/drawingml/2006/chartDrawing">
    <cdr:from>
      <cdr:x>0.19296</cdr:x>
      <cdr:y>0.03323</cdr:y>
    </cdr:from>
    <cdr:to>
      <cdr:x>0.66469</cdr:x>
      <cdr:y>0.10876</cdr:y>
    </cdr:to>
    <cdr:sp macro="" textlink="">
      <cdr:nvSpPr>
        <cdr:cNvPr id="2" name="TextBox 1"/>
        <cdr:cNvSpPr txBox="1"/>
      </cdr:nvSpPr>
      <cdr:spPr>
        <a:xfrm xmlns:a="http://schemas.openxmlformats.org/drawingml/2006/main">
          <a:off x="533399" y="93135"/>
          <a:ext cx="1304042" cy="2116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a) Quartz/Epoxy</a:t>
          </a:r>
        </a:p>
      </cdr:txBody>
    </cdr:sp>
  </cdr:relSizeAnchor>
</c:userShapes>
</file>

<file path=word/drawings/drawing16.xml><?xml version="1.0" encoding="utf-8"?>
<c:userShapes xmlns:c="http://schemas.openxmlformats.org/drawingml/2006/chart">
  <cdr:relSizeAnchor xmlns:cdr="http://schemas.openxmlformats.org/drawingml/2006/chartDrawing">
    <cdr:from>
      <cdr:x>0.19296</cdr:x>
      <cdr:y>0.03323</cdr:y>
    </cdr:from>
    <cdr:to>
      <cdr:x>0.66469</cdr:x>
      <cdr:y>0.10876</cdr:y>
    </cdr:to>
    <cdr:sp macro="" textlink="">
      <cdr:nvSpPr>
        <cdr:cNvPr id="2" name="TextBox 1"/>
        <cdr:cNvSpPr txBox="1"/>
      </cdr:nvSpPr>
      <cdr:spPr>
        <a:xfrm xmlns:a="http://schemas.openxmlformats.org/drawingml/2006/main">
          <a:off x="533399" y="93135"/>
          <a:ext cx="1304042" cy="2116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c) Carbon/Epoxy</a:t>
          </a:r>
        </a:p>
      </cdr:txBody>
    </cdr:sp>
  </cdr:relSizeAnchor>
</c:userShapes>
</file>

<file path=word/drawings/drawing17.xml><?xml version="1.0" encoding="utf-8"?>
<c:userShapes xmlns:c="http://schemas.openxmlformats.org/drawingml/2006/chart">
  <cdr:relSizeAnchor xmlns:cdr="http://schemas.openxmlformats.org/drawingml/2006/chartDrawing">
    <cdr:from>
      <cdr:x>0.19296</cdr:x>
      <cdr:y>0.03323</cdr:y>
    </cdr:from>
    <cdr:to>
      <cdr:x>0.66469</cdr:x>
      <cdr:y>0.10876</cdr:y>
    </cdr:to>
    <cdr:sp macro="" textlink="">
      <cdr:nvSpPr>
        <cdr:cNvPr id="2" name="TextBox 1"/>
        <cdr:cNvSpPr txBox="1"/>
      </cdr:nvSpPr>
      <cdr:spPr>
        <a:xfrm xmlns:a="http://schemas.openxmlformats.org/drawingml/2006/main">
          <a:off x="533399" y="93135"/>
          <a:ext cx="1304042" cy="2116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b) Quartz/BMI</a:t>
          </a:r>
        </a:p>
      </cdr:txBody>
    </cdr:sp>
  </cdr:relSizeAnchor>
</c:userShapes>
</file>

<file path=word/drawings/drawing18.xml><?xml version="1.0" encoding="utf-8"?>
<c:userShapes xmlns:c="http://schemas.openxmlformats.org/drawingml/2006/chart">
  <cdr:relSizeAnchor xmlns:cdr="http://schemas.openxmlformats.org/drawingml/2006/chartDrawing">
    <cdr:from>
      <cdr:x>0.19296</cdr:x>
      <cdr:y>0.03323</cdr:y>
    </cdr:from>
    <cdr:to>
      <cdr:x>0.66469</cdr:x>
      <cdr:y>0.10876</cdr:y>
    </cdr:to>
    <cdr:sp macro="" textlink="">
      <cdr:nvSpPr>
        <cdr:cNvPr id="2" name="TextBox 1"/>
        <cdr:cNvSpPr txBox="1"/>
      </cdr:nvSpPr>
      <cdr:spPr>
        <a:xfrm xmlns:a="http://schemas.openxmlformats.org/drawingml/2006/main">
          <a:off x="533399" y="93135"/>
          <a:ext cx="1304042" cy="2116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a) Quartz/Epoxy</a:t>
          </a:r>
        </a:p>
      </cdr:txBody>
    </cdr:sp>
  </cdr:relSizeAnchor>
</c:userShapes>
</file>

<file path=word/drawings/drawing19.xml><?xml version="1.0" encoding="utf-8"?>
<c:userShapes xmlns:c="http://schemas.openxmlformats.org/drawingml/2006/chart">
  <cdr:relSizeAnchor xmlns:cdr="http://schemas.openxmlformats.org/drawingml/2006/chartDrawing">
    <cdr:from>
      <cdr:x>0.19296</cdr:x>
      <cdr:y>0.03323</cdr:y>
    </cdr:from>
    <cdr:to>
      <cdr:x>0.66469</cdr:x>
      <cdr:y>0.10876</cdr:y>
    </cdr:to>
    <cdr:sp macro="" textlink="">
      <cdr:nvSpPr>
        <cdr:cNvPr id="2" name="TextBox 1"/>
        <cdr:cNvSpPr txBox="1"/>
      </cdr:nvSpPr>
      <cdr:spPr>
        <a:xfrm xmlns:a="http://schemas.openxmlformats.org/drawingml/2006/main">
          <a:off x="533399" y="93135"/>
          <a:ext cx="1304042" cy="2116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c) Carbon/Epoxy</a:t>
          </a:r>
        </a:p>
      </cdr:txBody>
    </cdr:sp>
  </cdr:relSizeAnchor>
</c:userShapes>
</file>

<file path=word/drawings/drawing20.xml><?xml version="1.0" encoding="utf-8"?>
<c:userShapes xmlns:c="http://schemas.openxmlformats.org/drawingml/2006/chart">
  <cdr:relSizeAnchor xmlns:cdr="http://schemas.openxmlformats.org/drawingml/2006/chartDrawing">
    <cdr:from>
      <cdr:x>0.19296</cdr:x>
      <cdr:y>0.03323</cdr:y>
    </cdr:from>
    <cdr:to>
      <cdr:x>0.66469</cdr:x>
      <cdr:y>0.10876</cdr:y>
    </cdr:to>
    <cdr:sp macro="" textlink="">
      <cdr:nvSpPr>
        <cdr:cNvPr id="2" name="TextBox 1"/>
        <cdr:cNvSpPr txBox="1"/>
      </cdr:nvSpPr>
      <cdr:spPr>
        <a:xfrm xmlns:a="http://schemas.openxmlformats.org/drawingml/2006/main">
          <a:off x="533399" y="93135"/>
          <a:ext cx="1304042" cy="2116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b) Quartz/BMI</a:t>
          </a:r>
        </a:p>
      </cdr:txBody>
    </cdr:sp>
  </cdr:relSizeAnchor>
</c:userShapes>
</file>

<file path=word/drawings/drawing21.xml><?xml version="1.0" encoding="utf-8"?>
<c:userShapes xmlns:c="http://schemas.openxmlformats.org/drawingml/2006/chart">
  <cdr:relSizeAnchor xmlns:cdr="http://schemas.openxmlformats.org/drawingml/2006/chartDrawing">
    <cdr:from>
      <cdr:x>0.19296</cdr:x>
      <cdr:y>0.03323</cdr:y>
    </cdr:from>
    <cdr:to>
      <cdr:x>0.66469</cdr:x>
      <cdr:y>0.10876</cdr:y>
    </cdr:to>
    <cdr:sp macro="" textlink="">
      <cdr:nvSpPr>
        <cdr:cNvPr id="2" name="TextBox 1"/>
        <cdr:cNvSpPr txBox="1"/>
      </cdr:nvSpPr>
      <cdr:spPr>
        <a:xfrm xmlns:a="http://schemas.openxmlformats.org/drawingml/2006/main">
          <a:off x="533399" y="93135"/>
          <a:ext cx="1304042" cy="2116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a) Quartz/Epoxy</a:t>
          </a:r>
        </a:p>
      </cdr:txBody>
    </cdr:sp>
  </cdr:relSizeAnchor>
</c:userShapes>
</file>

<file path=word/drawings/drawing22.xml><?xml version="1.0" encoding="utf-8"?>
<c:userShapes xmlns:c="http://schemas.openxmlformats.org/drawingml/2006/chart">
  <cdr:relSizeAnchor xmlns:cdr="http://schemas.openxmlformats.org/drawingml/2006/chartDrawing">
    <cdr:from>
      <cdr:x>0.19296</cdr:x>
      <cdr:y>0.03323</cdr:y>
    </cdr:from>
    <cdr:to>
      <cdr:x>0.66469</cdr:x>
      <cdr:y>0.10876</cdr:y>
    </cdr:to>
    <cdr:sp macro="" textlink="">
      <cdr:nvSpPr>
        <cdr:cNvPr id="2" name="TextBox 1"/>
        <cdr:cNvSpPr txBox="1"/>
      </cdr:nvSpPr>
      <cdr:spPr>
        <a:xfrm xmlns:a="http://schemas.openxmlformats.org/drawingml/2006/main">
          <a:off x="533399" y="93135"/>
          <a:ext cx="1304042" cy="2116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c) Carbon/Epoxy</a:t>
          </a:r>
        </a:p>
      </cdr:txBody>
    </cdr:sp>
  </cdr:relSizeAnchor>
</c:userShapes>
</file>

<file path=word/drawings/drawing23.xml><?xml version="1.0" encoding="utf-8"?>
<c:userShapes xmlns:c="http://schemas.openxmlformats.org/drawingml/2006/chart">
  <cdr:relSizeAnchor xmlns:cdr="http://schemas.openxmlformats.org/drawingml/2006/chartDrawing">
    <cdr:from>
      <cdr:x>0.09981</cdr:x>
      <cdr:y>0.03838</cdr:y>
    </cdr:from>
    <cdr:to>
      <cdr:x>0.34275</cdr:x>
      <cdr:y>0.12929</cdr:y>
    </cdr:to>
    <cdr:sp macro="" textlink="">
      <cdr:nvSpPr>
        <cdr:cNvPr id="2" name="TextBox 1"/>
        <cdr:cNvSpPr txBox="1"/>
      </cdr:nvSpPr>
      <cdr:spPr>
        <a:xfrm xmlns:a="http://schemas.openxmlformats.org/drawingml/2006/main">
          <a:off x="538480" y="96522"/>
          <a:ext cx="1310640" cy="22860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200" b="1" u="sng">
              <a:latin typeface="Times New Roman"/>
              <a:cs typeface="Times New Roman"/>
            </a:rPr>
            <a:t>a) Quartz/BMI</a:t>
          </a:r>
        </a:p>
      </cdr:txBody>
    </cdr:sp>
  </cdr:relSizeAnchor>
</c:userShapes>
</file>

<file path=word/drawings/drawing24.xml><?xml version="1.0" encoding="utf-8"?>
<c:userShapes xmlns:c="http://schemas.openxmlformats.org/drawingml/2006/chart">
  <cdr:relSizeAnchor xmlns:cdr="http://schemas.openxmlformats.org/drawingml/2006/chartDrawing">
    <cdr:from>
      <cdr:x>0.10169</cdr:x>
      <cdr:y>0.04243</cdr:y>
    </cdr:from>
    <cdr:to>
      <cdr:x>0.35064</cdr:x>
      <cdr:y>0.13333</cdr:y>
    </cdr:to>
    <cdr:sp macro="" textlink="">
      <cdr:nvSpPr>
        <cdr:cNvPr id="2" name="TextBox 1"/>
        <cdr:cNvSpPr txBox="1"/>
      </cdr:nvSpPr>
      <cdr:spPr>
        <a:xfrm xmlns:a="http://schemas.openxmlformats.org/drawingml/2006/main">
          <a:off x="548640" y="106682"/>
          <a:ext cx="1343025" cy="22860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200" b="1" u="sng">
              <a:latin typeface="Times New Roman"/>
              <a:cs typeface="Times New Roman"/>
            </a:rPr>
            <a:t>b) Quartz/Epoxy</a:t>
          </a:r>
        </a:p>
      </cdr:txBody>
    </cdr:sp>
  </cdr:relSizeAnchor>
</c:userShapes>
</file>

<file path=word/drawings/drawing25.xml><?xml version="1.0" encoding="utf-8"?>
<c:userShapes xmlns:c="http://schemas.openxmlformats.org/drawingml/2006/chart">
  <cdr:relSizeAnchor xmlns:cdr="http://schemas.openxmlformats.org/drawingml/2006/chartDrawing">
    <cdr:from>
      <cdr:x>0.10169</cdr:x>
      <cdr:y>0.04647</cdr:y>
    </cdr:from>
    <cdr:to>
      <cdr:x>0.36217</cdr:x>
      <cdr:y>0.13737</cdr:y>
    </cdr:to>
    <cdr:sp macro="" textlink="">
      <cdr:nvSpPr>
        <cdr:cNvPr id="2" name="TextBox 1"/>
        <cdr:cNvSpPr txBox="1"/>
      </cdr:nvSpPr>
      <cdr:spPr>
        <a:xfrm xmlns:a="http://schemas.openxmlformats.org/drawingml/2006/main">
          <a:off x="548640" y="116842"/>
          <a:ext cx="1405255" cy="22860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200" b="1" u="sng">
              <a:latin typeface="Times New Roman"/>
              <a:cs typeface="Times New Roman"/>
            </a:rPr>
            <a:t>c) Carbon/Epoxy</a:t>
          </a:r>
        </a:p>
      </cdr:txBody>
    </cdr:sp>
  </cdr:relSizeAnchor>
</c:userShapes>
</file>

<file path=word/drawings/drawing26.xml><?xml version="1.0" encoding="utf-8"?>
<c:userShapes xmlns:c="http://schemas.openxmlformats.org/drawingml/2006/chart">
  <cdr:relSizeAnchor xmlns:cdr="http://schemas.openxmlformats.org/drawingml/2006/chartDrawing">
    <cdr:from>
      <cdr:x>0.12053</cdr:x>
      <cdr:y>0.04647</cdr:y>
    </cdr:from>
    <cdr:to>
      <cdr:x>0.37123</cdr:x>
      <cdr:y>0.13737</cdr:y>
    </cdr:to>
    <cdr:sp macro="" textlink="">
      <cdr:nvSpPr>
        <cdr:cNvPr id="2" name="TextBox 1"/>
        <cdr:cNvSpPr txBox="1"/>
      </cdr:nvSpPr>
      <cdr:spPr>
        <a:xfrm xmlns:a="http://schemas.openxmlformats.org/drawingml/2006/main">
          <a:off x="650240" y="116842"/>
          <a:ext cx="1352550" cy="228600"/>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200" b="1" u="sng">
              <a:latin typeface="Times New Roman"/>
              <a:cs typeface="Times New Roman"/>
            </a:rPr>
            <a:t>a) Quartz/BMI</a:t>
          </a:r>
        </a:p>
      </cdr:txBody>
    </cdr:sp>
  </cdr:relSizeAnchor>
</c:userShapes>
</file>

<file path=word/drawings/drawing27.xml><?xml version="1.0" encoding="utf-8"?>
<c:userShapes xmlns:c="http://schemas.openxmlformats.org/drawingml/2006/chart">
  <cdr:relSizeAnchor xmlns:cdr="http://schemas.openxmlformats.org/drawingml/2006/chartDrawing">
    <cdr:from>
      <cdr:x>0.12053</cdr:x>
      <cdr:y>0.03838</cdr:y>
    </cdr:from>
    <cdr:to>
      <cdr:x>0.36735</cdr:x>
      <cdr:y>0.12929</cdr:y>
    </cdr:to>
    <cdr:sp macro="" textlink="">
      <cdr:nvSpPr>
        <cdr:cNvPr id="2" name="TextBox 1"/>
        <cdr:cNvSpPr txBox="1"/>
      </cdr:nvSpPr>
      <cdr:spPr>
        <a:xfrm xmlns:a="http://schemas.openxmlformats.org/drawingml/2006/main">
          <a:off x="650240" y="96522"/>
          <a:ext cx="1331595" cy="22860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200" b="1" u="sng">
              <a:latin typeface="Times New Roman"/>
              <a:cs typeface="Times New Roman"/>
            </a:rPr>
            <a:t>b) Quartz/Epoxy</a:t>
          </a:r>
        </a:p>
      </cdr:txBody>
    </cdr:sp>
  </cdr:relSizeAnchor>
</c:userShapes>
</file>

<file path=word/drawings/drawing28.xml><?xml version="1.0" encoding="utf-8"?>
<c:userShapes xmlns:c="http://schemas.openxmlformats.org/drawingml/2006/chart">
  <cdr:relSizeAnchor xmlns:cdr="http://schemas.openxmlformats.org/drawingml/2006/chartDrawing">
    <cdr:from>
      <cdr:x>0.11864</cdr:x>
      <cdr:y>0.04243</cdr:y>
    </cdr:from>
    <cdr:to>
      <cdr:x>0.37288</cdr:x>
      <cdr:y>0.13333</cdr:y>
    </cdr:to>
    <cdr:sp macro="" textlink="">
      <cdr:nvSpPr>
        <cdr:cNvPr id="2" name="TextBox 1"/>
        <cdr:cNvSpPr txBox="1"/>
      </cdr:nvSpPr>
      <cdr:spPr>
        <a:xfrm xmlns:a="http://schemas.openxmlformats.org/drawingml/2006/main">
          <a:off x="640079" y="106682"/>
          <a:ext cx="1371600" cy="22860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200" b="1" u="sng">
              <a:latin typeface="Times New Roman"/>
              <a:cs typeface="Times New Roman"/>
            </a:rPr>
            <a:t>c) Carbon/Epoxy</a:t>
          </a:r>
        </a:p>
      </cdr:txBody>
    </cdr:sp>
  </cdr:relSizeAnchor>
</c:userShapes>
</file>

<file path=word/drawings/drawing29.xml><?xml version="1.0" encoding="utf-8"?>
<c:userShapes xmlns:c="http://schemas.openxmlformats.org/drawingml/2006/chart">
  <cdr:relSizeAnchor xmlns:cdr="http://schemas.openxmlformats.org/drawingml/2006/chartDrawing">
    <cdr:from>
      <cdr:x>0.19296</cdr:x>
      <cdr:y>0.03323</cdr:y>
    </cdr:from>
    <cdr:to>
      <cdr:x>0.66469</cdr:x>
      <cdr:y>0.10876</cdr:y>
    </cdr:to>
    <cdr:sp macro="" textlink="">
      <cdr:nvSpPr>
        <cdr:cNvPr id="2" name="TextBox 1"/>
        <cdr:cNvSpPr txBox="1"/>
      </cdr:nvSpPr>
      <cdr:spPr>
        <a:xfrm xmlns:a="http://schemas.openxmlformats.org/drawingml/2006/main">
          <a:off x="533399" y="93135"/>
          <a:ext cx="1304042" cy="2116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b) Quartz/BMI</a:t>
          </a:r>
        </a:p>
      </cdr:txBody>
    </cdr:sp>
  </cdr:relSizeAnchor>
</c:userShapes>
</file>

<file path=word/drawings/drawing30.xml><?xml version="1.0" encoding="utf-8"?>
<c:userShapes xmlns:c="http://schemas.openxmlformats.org/drawingml/2006/chart">
  <cdr:relSizeAnchor xmlns:cdr="http://schemas.openxmlformats.org/drawingml/2006/chartDrawing">
    <cdr:from>
      <cdr:x>0.19296</cdr:x>
      <cdr:y>0.03323</cdr:y>
    </cdr:from>
    <cdr:to>
      <cdr:x>0.66469</cdr:x>
      <cdr:y>0.10876</cdr:y>
    </cdr:to>
    <cdr:sp macro="" textlink="">
      <cdr:nvSpPr>
        <cdr:cNvPr id="2" name="TextBox 1"/>
        <cdr:cNvSpPr txBox="1"/>
      </cdr:nvSpPr>
      <cdr:spPr>
        <a:xfrm xmlns:a="http://schemas.openxmlformats.org/drawingml/2006/main">
          <a:off x="533399" y="93135"/>
          <a:ext cx="1304042" cy="2116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a) Quartz/Epoxy</a:t>
          </a:r>
        </a:p>
      </cdr:txBody>
    </cdr:sp>
  </cdr:relSizeAnchor>
</c:userShapes>
</file>

<file path=word/drawings/drawing31.xml><?xml version="1.0" encoding="utf-8"?>
<c:userShapes xmlns:c="http://schemas.openxmlformats.org/drawingml/2006/chart">
  <cdr:relSizeAnchor xmlns:cdr="http://schemas.openxmlformats.org/drawingml/2006/chartDrawing">
    <cdr:from>
      <cdr:x>0.19296</cdr:x>
      <cdr:y>0.03323</cdr:y>
    </cdr:from>
    <cdr:to>
      <cdr:x>0.66469</cdr:x>
      <cdr:y>0.10876</cdr:y>
    </cdr:to>
    <cdr:sp macro="" textlink="">
      <cdr:nvSpPr>
        <cdr:cNvPr id="2" name="TextBox 1"/>
        <cdr:cNvSpPr txBox="1"/>
      </cdr:nvSpPr>
      <cdr:spPr>
        <a:xfrm xmlns:a="http://schemas.openxmlformats.org/drawingml/2006/main">
          <a:off x="533399" y="93135"/>
          <a:ext cx="1304042" cy="2116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c) Carbon/Epoxy</a:t>
          </a:r>
        </a:p>
      </cdr:txBody>
    </cdr:sp>
  </cdr:relSizeAnchor>
</c:userShapes>
</file>

<file path=word/drawings/drawing32.xml><?xml version="1.0" encoding="utf-8"?>
<c:userShapes xmlns:c="http://schemas.openxmlformats.org/drawingml/2006/chart">
  <cdr:relSizeAnchor xmlns:cdr="http://schemas.openxmlformats.org/drawingml/2006/chartDrawing">
    <cdr:from>
      <cdr:x>0.19296</cdr:x>
      <cdr:y>0.03323</cdr:y>
    </cdr:from>
    <cdr:to>
      <cdr:x>0.66469</cdr:x>
      <cdr:y>0.10876</cdr:y>
    </cdr:to>
    <cdr:sp macro="" textlink="">
      <cdr:nvSpPr>
        <cdr:cNvPr id="2" name="TextBox 1"/>
        <cdr:cNvSpPr txBox="1"/>
      </cdr:nvSpPr>
      <cdr:spPr>
        <a:xfrm xmlns:a="http://schemas.openxmlformats.org/drawingml/2006/main">
          <a:off x="533399" y="93135"/>
          <a:ext cx="1304042" cy="2116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b) Quartz/BMI</a:t>
          </a:r>
        </a:p>
      </cdr:txBody>
    </cdr:sp>
  </cdr:relSizeAnchor>
</c:userShapes>
</file>

<file path=word/drawings/drawing33.xml><?xml version="1.0" encoding="utf-8"?>
<c:userShapes xmlns:c="http://schemas.openxmlformats.org/drawingml/2006/chart">
  <cdr:relSizeAnchor xmlns:cdr="http://schemas.openxmlformats.org/drawingml/2006/chartDrawing">
    <cdr:from>
      <cdr:x>0.19296</cdr:x>
      <cdr:y>0.03323</cdr:y>
    </cdr:from>
    <cdr:to>
      <cdr:x>0.66469</cdr:x>
      <cdr:y>0.10876</cdr:y>
    </cdr:to>
    <cdr:sp macro="" textlink="">
      <cdr:nvSpPr>
        <cdr:cNvPr id="2" name="TextBox 1"/>
        <cdr:cNvSpPr txBox="1"/>
      </cdr:nvSpPr>
      <cdr:spPr>
        <a:xfrm xmlns:a="http://schemas.openxmlformats.org/drawingml/2006/main">
          <a:off x="533399" y="93135"/>
          <a:ext cx="1304042" cy="2116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a) Quartz/Epoxy</a:t>
          </a:r>
        </a:p>
      </cdr:txBody>
    </cdr:sp>
  </cdr:relSizeAnchor>
</c:userShapes>
</file>

<file path=word/drawings/drawing34.xml><?xml version="1.0" encoding="utf-8"?>
<c:userShapes xmlns:c="http://schemas.openxmlformats.org/drawingml/2006/chart">
  <cdr:relSizeAnchor xmlns:cdr="http://schemas.openxmlformats.org/drawingml/2006/chartDrawing">
    <cdr:from>
      <cdr:x>0.19296</cdr:x>
      <cdr:y>0.03323</cdr:y>
    </cdr:from>
    <cdr:to>
      <cdr:x>0.66469</cdr:x>
      <cdr:y>0.10876</cdr:y>
    </cdr:to>
    <cdr:sp macro="" textlink="">
      <cdr:nvSpPr>
        <cdr:cNvPr id="2" name="TextBox 1"/>
        <cdr:cNvSpPr txBox="1"/>
      </cdr:nvSpPr>
      <cdr:spPr>
        <a:xfrm xmlns:a="http://schemas.openxmlformats.org/drawingml/2006/main">
          <a:off x="533399" y="93135"/>
          <a:ext cx="1304042" cy="2116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c) Carbon/Epoxy</a:t>
          </a:r>
        </a:p>
      </cdr:txBody>
    </cdr:sp>
  </cdr:relSizeAnchor>
</c:userShapes>
</file>

<file path=word/drawings/drawing35.xml><?xml version="1.0" encoding="utf-8"?>
<c:userShapes xmlns:c="http://schemas.openxmlformats.org/drawingml/2006/chart">
  <cdr:relSizeAnchor xmlns:cdr="http://schemas.openxmlformats.org/drawingml/2006/chartDrawing">
    <cdr:from>
      <cdr:x>0.23044</cdr:x>
      <cdr:y>0.03323</cdr:y>
    </cdr:from>
    <cdr:to>
      <cdr:x>0.70217</cdr:x>
      <cdr:y>0.10876</cdr:y>
    </cdr:to>
    <cdr:sp macro="" textlink="">
      <cdr:nvSpPr>
        <cdr:cNvPr id="2" name="TextBox 1"/>
        <cdr:cNvSpPr txBox="1"/>
      </cdr:nvSpPr>
      <cdr:spPr>
        <a:xfrm xmlns:a="http://schemas.openxmlformats.org/drawingml/2006/main">
          <a:off x="624714" y="90481"/>
          <a:ext cx="1278858" cy="205657"/>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b) Quartz/BMI</a:t>
          </a:r>
        </a:p>
      </cdr:txBody>
    </cdr:sp>
  </cdr:relSizeAnchor>
</c:userShapes>
</file>

<file path=word/drawings/drawing36.xml><?xml version="1.0" encoding="utf-8"?>
<c:userShapes xmlns:c="http://schemas.openxmlformats.org/drawingml/2006/chart">
  <cdr:relSizeAnchor xmlns:cdr="http://schemas.openxmlformats.org/drawingml/2006/chartDrawing">
    <cdr:from>
      <cdr:x>0.22294</cdr:x>
      <cdr:y>0.03696</cdr:y>
    </cdr:from>
    <cdr:to>
      <cdr:x>0.69467</cdr:x>
      <cdr:y>0.11249</cdr:y>
    </cdr:to>
    <cdr:sp macro="" textlink="">
      <cdr:nvSpPr>
        <cdr:cNvPr id="2" name="TextBox 1"/>
        <cdr:cNvSpPr txBox="1"/>
      </cdr:nvSpPr>
      <cdr:spPr>
        <a:xfrm xmlns:a="http://schemas.openxmlformats.org/drawingml/2006/main">
          <a:off x="604394" y="100641"/>
          <a:ext cx="1278858" cy="205657"/>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a) Quartz/Epoxy</a:t>
          </a:r>
        </a:p>
      </cdr:txBody>
    </cdr:sp>
  </cdr:relSizeAnchor>
</c:userShapes>
</file>

<file path=word/drawings/drawing37.xml><?xml version="1.0" encoding="utf-8"?>
<c:userShapes xmlns:c="http://schemas.openxmlformats.org/drawingml/2006/chart">
  <cdr:relSizeAnchor xmlns:cdr="http://schemas.openxmlformats.org/drawingml/2006/chartDrawing">
    <cdr:from>
      <cdr:x>0.24161</cdr:x>
      <cdr:y>0.03323</cdr:y>
    </cdr:from>
    <cdr:to>
      <cdr:x>0.71334</cdr:x>
      <cdr:y>0.10876</cdr:y>
    </cdr:to>
    <cdr:sp macro="" textlink="">
      <cdr:nvSpPr>
        <cdr:cNvPr id="2" name="TextBox 1"/>
        <cdr:cNvSpPr txBox="1"/>
      </cdr:nvSpPr>
      <cdr:spPr>
        <a:xfrm xmlns:a="http://schemas.openxmlformats.org/drawingml/2006/main">
          <a:off x="655998" y="90341"/>
          <a:ext cx="1280826" cy="205341"/>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c) Carbon/Epoxy</a:t>
          </a:r>
        </a:p>
      </cdr:txBody>
    </cdr:sp>
  </cdr:relSizeAnchor>
</c:userShapes>
</file>

<file path=word/drawings/drawing38.xml><?xml version="1.0" encoding="utf-8"?>
<c:userShapes xmlns:c="http://schemas.openxmlformats.org/drawingml/2006/chart">
  <cdr:relSizeAnchor xmlns:cdr="http://schemas.openxmlformats.org/drawingml/2006/chartDrawing">
    <cdr:from>
      <cdr:x>0.22294</cdr:x>
      <cdr:y>0.03323</cdr:y>
    </cdr:from>
    <cdr:to>
      <cdr:x>0.69467</cdr:x>
      <cdr:y>0.10876</cdr:y>
    </cdr:to>
    <cdr:sp macro="" textlink="">
      <cdr:nvSpPr>
        <cdr:cNvPr id="2" name="TextBox 1"/>
        <cdr:cNvSpPr txBox="1"/>
      </cdr:nvSpPr>
      <cdr:spPr>
        <a:xfrm xmlns:a="http://schemas.openxmlformats.org/drawingml/2006/main">
          <a:off x="604397" y="90369"/>
          <a:ext cx="1278868" cy="20540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a) Quartz/BMI</a:t>
          </a:r>
        </a:p>
      </cdr:txBody>
    </cdr:sp>
  </cdr:relSizeAnchor>
</c:userShapes>
</file>

<file path=word/drawings/drawing39.xml><?xml version="1.0" encoding="utf-8"?>
<c:userShapes xmlns:c="http://schemas.openxmlformats.org/drawingml/2006/chart">
  <cdr:relSizeAnchor xmlns:cdr="http://schemas.openxmlformats.org/drawingml/2006/chartDrawing">
    <cdr:from>
      <cdr:x>0.22669</cdr:x>
      <cdr:y>0.03323</cdr:y>
    </cdr:from>
    <cdr:to>
      <cdr:x>0.69842</cdr:x>
      <cdr:y>0.10876</cdr:y>
    </cdr:to>
    <cdr:sp macro="" textlink="">
      <cdr:nvSpPr>
        <cdr:cNvPr id="2" name="TextBox 1"/>
        <cdr:cNvSpPr txBox="1"/>
      </cdr:nvSpPr>
      <cdr:spPr>
        <a:xfrm xmlns:a="http://schemas.openxmlformats.org/drawingml/2006/main">
          <a:off x="614557" y="90369"/>
          <a:ext cx="1278867" cy="20540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b) Quartz/Epoxy</a:t>
          </a:r>
        </a:p>
      </cdr:txBody>
    </cdr:sp>
  </cdr:relSizeAnchor>
</c:userShapes>
</file>

<file path=word/drawings/drawing40.xml><?xml version="1.0" encoding="utf-8"?>
<c:userShapes xmlns:c="http://schemas.openxmlformats.org/drawingml/2006/chart">
  <cdr:relSizeAnchor xmlns:cdr="http://schemas.openxmlformats.org/drawingml/2006/chartDrawing">
    <cdr:from>
      <cdr:x>0.22294</cdr:x>
      <cdr:y>0.03323</cdr:y>
    </cdr:from>
    <cdr:to>
      <cdr:x>0.69467</cdr:x>
      <cdr:y>0.10876</cdr:y>
    </cdr:to>
    <cdr:sp macro="" textlink="">
      <cdr:nvSpPr>
        <cdr:cNvPr id="2" name="TextBox 1"/>
        <cdr:cNvSpPr txBox="1"/>
      </cdr:nvSpPr>
      <cdr:spPr>
        <a:xfrm xmlns:a="http://schemas.openxmlformats.org/drawingml/2006/main">
          <a:off x="604397" y="90369"/>
          <a:ext cx="1278868" cy="20540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c) Carbon/Epoxy</a:t>
          </a:r>
        </a:p>
      </cdr:txBody>
    </cdr:sp>
  </cdr:relSizeAnchor>
</c:userShapes>
</file>

<file path=word/drawings/drawing41.xml><?xml version="1.0" encoding="utf-8"?>
<c:userShapes xmlns:c="http://schemas.openxmlformats.org/drawingml/2006/chart">
  <cdr:relSizeAnchor xmlns:cdr="http://schemas.openxmlformats.org/drawingml/2006/chartDrawing">
    <cdr:from>
      <cdr:x>0.45755</cdr:x>
      <cdr:y>0.74467</cdr:y>
    </cdr:from>
    <cdr:to>
      <cdr:x>0.63089</cdr:x>
      <cdr:y>0.81019</cdr:y>
    </cdr:to>
    <cdr:grpSp>
      <cdr:nvGrpSpPr>
        <cdr:cNvPr id="7" name="Group 6"/>
        <cdr:cNvGrpSpPr/>
      </cdr:nvGrpSpPr>
      <cdr:grpSpPr>
        <a:xfrm xmlns:a="http://schemas.openxmlformats.org/drawingml/2006/main">
          <a:off x="1231334" y="2043712"/>
          <a:ext cx="466483" cy="179816"/>
          <a:chOff x="1234224" y="2049131"/>
          <a:chExt cx="467576" cy="179720"/>
        </a:xfrm>
      </cdr:grpSpPr>
      <cdr:sp macro="" textlink="">
        <cdr:nvSpPr>
          <cdr:cNvPr id="2" name="TextBox 4"/>
          <cdr:cNvSpPr txBox="1"/>
        </cdr:nvSpPr>
        <cdr:spPr>
          <a:xfrm xmlns:a="http://schemas.openxmlformats.org/drawingml/2006/main">
            <a:off x="1234224" y="2049131"/>
            <a:ext cx="411480" cy="17972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4" name="Straight Arrow Connector 3"/>
          <cdr:cNvCxnSpPr/>
        </cdr:nvCxnSpPr>
        <cdr:spPr>
          <a:xfrm xmlns:a="http://schemas.openxmlformats.org/drawingml/2006/main">
            <a:off x="1574800" y="2165351"/>
            <a:ext cx="127000" cy="0"/>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0.62996</cdr:x>
      <cdr:y>0.74467</cdr:y>
    </cdr:from>
    <cdr:to>
      <cdr:x>0.82627</cdr:x>
      <cdr:y>0.81134</cdr:y>
    </cdr:to>
    <cdr:grpSp>
      <cdr:nvGrpSpPr>
        <cdr:cNvPr id="8" name="Group 7"/>
        <cdr:cNvGrpSpPr/>
      </cdr:nvGrpSpPr>
      <cdr:grpSpPr>
        <a:xfrm xmlns:a="http://schemas.openxmlformats.org/drawingml/2006/main">
          <a:off x="1695314" y="2043712"/>
          <a:ext cx="528299" cy="182972"/>
          <a:chOff x="1699295" y="2042781"/>
          <a:chExt cx="529555" cy="182880"/>
        </a:xfrm>
      </cdr:grpSpPr>
      <cdr:sp macro="" textlink="">
        <cdr:nvSpPr>
          <cdr:cNvPr id="3" name="TextBox 4"/>
          <cdr:cNvSpPr txBox="1"/>
        </cdr:nvSpPr>
        <cdr:spPr>
          <a:xfrm xmlns:a="http://schemas.openxmlformats.org/drawingml/2006/main">
            <a:off x="1699295" y="2042781"/>
            <a:ext cx="457200" cy="18288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2 yrs</a:t>
            </a:r>
          </a:p>
        </cdr:txBody>
      </cdr:sp>
      <cdr:cxnSp macro="">
        <cdr:nvCxnSpPr>
          <cdr:cNvPr id="6" name="Straight Arrow Connector 5"/>
          <cdr:cNvCxnSpPr/>
        </cdr:nvCxnSpPr>
        <cdr:spPr>
          <a:xfrm xmlns:a="http://schemas.openxmlformats.org/drawingml/2006/main">
            <a:off x="2095500" y="2165350"/>
            <a:ext cx="133350" cy="1"/>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0.17655</cdr:x>
      <cdr:y>0.03704</cdr:y>
    </cdr:from>
    <cdr:to>
      <cdr:x>0.44774</cdr:x>
      <cdr:y>0.10255</cdr:y>
    </cdr:to>
    <cdr:sp macro="" textlink="">
      <cdr:nvSpPr>
        <cdr:cNvPr id="9" name="TextBox 8"/>
        <cdr:cNvSpPr txBox="1"/>
      </cdr:nvSpPr>
      <cdr:spPr>
        <a:xfrm xmlns:a="http://schemas.openxmlformats.org/drawingml/2006/main">
          <a:off x="476250" y="101600"/>
          <a:ext cx="731520" cy="17972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a)</a:t>
          </a:r>
          <a:r>
            <a:rPr lang="en-US" sz="1000" b="1" u="sng" baseline="0">
              <a:solidFill>
                <a:schemeClr val="tx1"/>
              </a:solidFill>
              <a:latin typeface="Times New Roman" pitchFamily="18" charset="0"/>
              <a:cs typeface="Times New Roman" pitchFamily="18" charset="0"/>
            </a:rPr>
            <a:t> 69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42.xml><?xml version="1.0" encoding="utf-8"?>
<c:userShapes xmlns:c="http://schemas.openxmlformats.org/drawingml/2006/chart">
  <cdr:relSizeAnchor xmlns:cdr="http://schemas.openxmlformats.org/drawingml/2006/chartDrawing">
    <cdr:from>
      <cdr:x>0.45755</cdr:x>
      <cdr:y>0.74698</cdr:y>
    </cdr:from>
    <cdr:to>
      <cdr:x>0.63088</cdr:x>
      <cdr:y>0.81249</cdr:y>
    </cdr:to>
    <cdr:grpSp>
      <cdr:nvGrpSpPr>
        <cdr:cNvPr id="7" name="Group 6"/>
        <cdr:cNvGrpSpPr/>
      </cdr:nvGrpSpPr>
      <cdr:grpSpPr>
        <a:xfrm xmlns:a="http://schemas.openxmlformats.org/drawingml/2006/main">
          <a:off x="1237131" y="2050052"/>
          <a:ext cx="468653" cy="179789"/>
          <a:chOff x="1234224" y="2049131"/>
          <a:chExt cx="467584" cy="179720"/>
        </a:xfrm>
      </cdr:grpSpPr>
      <cdr:sp macro="" textlink="">
        <cdr:nvSpPr>
          <cdr:cNvPr id="2" name="TextBox 4"/>
          <cdr:cNvSpPr txBox="1"/>
        </cdr:nvSpPr>
        <cdr:spPr>
          <a:xfrm xmlns:a="http://schemas.openxmlformats.org/drawingml/2006/main">
            <a:off x="1234224" y="2049131"/>
            <a:ext cx="411480" cy="17972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4" name="Straight Arrow Connector 3"/>
          <cdr:cNvCxnSpPr/>
        </cdr:nvCxnSpPr>
        <cdr:spPr>
          <a:xfrm xmlns:a="http://schemas.openxmlformats.org/drawingml/2006/main" flipV="1">
            <a:off x="1574800" y="2158998"/>
            <a:ext cx="127008" cy="5"/>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0.63937</cdr:x>
      <cdr:y>0.74698</cdr:y>
    </cdr:from>
    <cdr:to>
      <cdr:x>0.83098</cdr:x>
      <cdr:y>0.81365</cdr:y>
    </cdr:to>
    <cdr:grpSp>
      <cdr:nvGrpSpPr>
        <cdr:cNvPr id="8" name="Group 7"/>
        <cdr:cNvGrpSpPr/>
      </cdr:nvGrpSpPr>
      <cdr:grpSpPr>
        <a:xfrm xmlns:a="http://schemas.openxmlformats.org/drawingml/2006/main">
          <a:off x="1728739" y="2050052"/>
          <a:ext cx="518079" cy="182972"/>
          <a:chOff x="1724696" y="2049131"/>
          <a:chExt cx="516841" cy="182880"/>
        </a:xfrm>
      </cdr:grpSpPr>
      <cdr:sp macro="" textlink="">
        <cdr:nvSpPr>
          <cdr:cNvPr id="3" name="TextBox 4"/>
          <cdr:cNvSpPr txBox="1"/>
        </cdr:nvSpPr>
        <cdr:spPr>
          <a:xfrm xmlns:a="http://schemas.openxmlformats.org/drawingml/2006/main">
            <a:off x="1724696" y="2049131"/>
            <a:ext cx="457200" cy="18288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2 yrs</a:t>
            </a:r>
          </a:p>
        </cdr:txBody>
      </cdr:sp>
      <cdr:cxnSp macro="">
        <cdr:nvCxnSpPr>
          <cdr:cNvPr id="6" name="Straight Arrow Connector 5"/>
          <cdr:cNvCxnSpPr/>
        </cdr:nvCxnSpPr>
        <cdr:spPr>
          <a:xfrm xmlns:a="http://schemas.openxmlformats.org/drawingml/2006/main">
            <a:off x="2101850" y="2165349"/>
            <a:ext cx="139687" cy="7"/>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0.17655</cdr:x>
      <cdr:y>0.03704</cdr:y>
    </cdr:from>
    <cdr:to>
      <cdr:x>0.48163</cdr:x>
      <cdr:y>0.10255</cdr:y>
    </cdr:to>
    <cdr:sp macro="" textlink="">
      <cdr:nvSpPr>
        <cdr:cNvPr id="9" name="TextBox 8"/>
        <cdr:cNvSpPr txBox="1"/>
      </cdr:nvSpPr>
      <cdr:spPr>
        <a:xfrm xmlns:a="http://schemas.openxmlformats.org/drawingml/2006/main">
          <a:off x="476240" y="101608"/>
          <a:ext cx="822960" cy="179707"/>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b)</a:t>
          </a:r>
          <a:r>
            <a:rPr lang="en-US" sz="1000" b="1" u="sng" baseline="0">
              <a:solidFill>
                <a:schemeClr val="tx1"/>
              </a:solidFill>
              <a:latin typeface="Times New Roman" pitchFamily="18" charset="0"/>
              <a:cs typeface="Times New Roman" pitchFamily="18" charset="0"/>
            </a:rPr>
            <a:t> 207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43.xml><?xml version="1.0" encoding="utf-8"?>
<c:userShapes xmlns:c="http://schemas.openxmlformats.org/drawingml/2006/chart">
  <cdr:relSizeAnchor xmlns:cdr="http://schemas.openxmlformats.org/drawingml/2006/chartDrawing">
    <cdr:from>
      <cdr:x>0.45755</cdr:x>
      <cdr:y>0.03865</cdr:y>
    </cdr:from>
    <cdr:to>
      <cdr:x>0.63088</cdr:x>
      <cdr:y>0.10416</cdr:y>
    </cdr:to>
    <cdr:grpSp>
      <cdr:nvGrpSpPr>
        <cdr:cNvPr id="7" name="Group 6"/>
        <cdr:cNvGrpSpPr/>
      </cdr:nvGrpSpPr>
      <cdr:grpSpPr>
        <a:xfrm xmlns:a="http://schemas.openxmlformats.org/drawingml/2006/main">
          <a:off x="1231334" y="105976"/>
          <a:ext cx="466456" cy="179625"/>
          <a:chOff x="1234224" y="2049131"/>
          <a:chExt cx="467584" cy="179720"/>
        </a:xfrm>
      </cdr:grpSpPr>
      <cdr:sp macro="" textlink="">
        <cdr:nvSpPr>
          <cdr:cNvPr id="2" name="TextBox 4"/>
          <cdr:cNvSpPr txBox="1"/>
        </cdr:nvSpPr>
        <cdr:spPr>
          <a:xfrm xmlns:a="http://schemas.openxmlformats.org/drawingml/2006/main">
            <a:off x="1234224" y="2049131"/>
            <a:ext cx="411480" cy="17972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4" name="Straight Arrow Connector 3"/>
          <cdr:cNvCxnSpPr/>
        </cdr:nvCxnSpPr>
        <cdr:spPr>
          <a:xfrm xmlns:a="http://schemas.openxmlformats.org/drawingml/2006/main" flipV="1">
            <a:off x="1574800" y="2158998"/>
            <a:ext cx="127008" cy="5"/>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0.63937</cdr:x>
      <cdr:y>0.03865</cdr:y>
    </cdr:from>
    <cdr:to>
      <cdr:x>0.83098</cdr:x>
      <cdr:y>0.10532</cdr:y>
    </cdr:to>
    <cdr:grpSp>
      <cdr:nvGrpSpPr>
        <cdr:cNvPr id="8" name="Group 7"/>
        <cdr:cNvGrpSpPr/>
      </cdr:nvGrpSpPr>
      <cdr:grpSpPr>
        <a:xfrm xmlns:a="http://schemas.openxmlformats.org/drawingml/2006/main">
          <a:off x="1720638" y="105976"/>
          <a:ext cx="515651" cy="182806"/>
          <a:chOff x="1724696" y="2049131"/>
          <a:chExt cx="516841" cy="182880"/>
        </a:xfrm>
      </cdr:grpSpPr>
      <cdr:sp macro="" textlink="">
        <cdr:nvSpPr>
          <cdr:cNvPr id="3" name="TextBox 4"/>
          <cdr:cNvSpPr txBox="1"/>
        </cdr:nvSpPr>
        <cdr:spPr>
          <a:xfrm xmlns:a="http://schemas.openxmlformats.org/drawingml/2006/main">
            <a:off x="1724696" y="2049131"/>
            <a:ext cx="457200" cy="18288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2 yrs</a:t>
            </a:r>
          </a:p>
        </cdr:txBody>
      </cdr:sp>
      <cdr:cxnSp macro="">
        <cdr:nvCxnSpPr>
          <cdr:cNvPr id="6" name="Straight Arrow Connector 5"/>
          <cdr:cNvCxnSpPr/>
        </cdr:nvCxnSpPr>
        <cdr:spPr>
          <a:xfrm xmlns:a="http://schemas.openxmlformats.org/drawingml/2006/main">
            <a:off x="2101850" y="2165349"/>
            <a:ext cx="139687" cy="7"/>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0.17655</cdr:x>
      <cdr:y>0.03704</cdr:y>
    </cdr:from>
    <cdr:to>
      <cdr:x>0.48163</cdr:x>
      <cdr:y>0.10255</cdr:y>
    </cdr:to>
    <cdr:sp macro="" textlink="">
      <cdr:nvSpPr>
        <cdr:cNvPr id="9" name="TextBox 8"/>
        <cdr:cNvSpPr txBox="1"/>
      </cdr:nvSpPr>
      <cdr:spPr>
        <a:xfrm xmlns:a="http://schemas.openxmlformats.org/drawingml/2006/main">
          <a:off x="476240" y="101608"/>
          <a:ext cx="822960" cy="179707"/>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c)</a:t>
          </a:r>
          <a:r>
            <a:rPr lang="en-US" sz="1000" b="1" u="sng" baseline="0">
              <a:solidFill>
                <a:schemeClr val="tx1"/>
              </a:solidFill>
              <a:latin typeface="Times New Roman" pitchFamily="18" charset="0"/>
              <a:cs typeface="Times New Roman" pitchFamily="18" charset="0"/>
            </a:rPr>
            <a:t> 345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44.xml><?xml version="1.0" encoding="utf-8"?>
<c:userShapes xmlns:c="http://schemas.openxmlformats.org/drawingml/2006/chart">
  <cdr:relSizeAnchor xmlns:cdr="http://schemas.openxmlformats.org/drawingml/2006/chartDrawing">
    <cdr:from>
      <cdr:x>0.4599</cdr:x>
      <cdr:y>0.03865</cdr:y>
    </cdr:from>
    <cdr:to>
      <cdr:x>0.63323</cdr:x>
      <cdr:y>0.10416</cdr:y>
    </cdr:to>
    <cdr:grpSp>
      <cdr:nvGrpSpPr>
        <cdr:cNvPr id="7" name="Group 6"/>
        <cdr:cNvGrpSpPr/>
      </cdr:nvGrpSpPr>
      <cdr:grpSpPr>
        <a:xfrm xmlns:a="http://schemas.openxmlformats.org/drawingml/2006/main">
          <a:off x="1243485" y="105976"/>
          <a:ext cx="468653" cy="179625"/>
          <a:chOff x="1234224" y="2049131"/>
          <a:chExt cx="467584" cy="179720"/>
        </a:xfrm>
      </cdr:grpSpPr>
      <cdr:sp macro="" textlink="">
        <cdr:nvSpPr>
          <cdr:cNvPr id="2" name="TextBox 4"/>
          <cdr:cNvSpPr txBox="1"/>
        </cdr:nvSpPr>
        <cdr:spPr>
          <a:xfrm xmlns:a="http://schemas.openxmlformats.org/drawingml/2006/main">
            <a:off x="1234224" y="2049131"/>
            <a:ext cx="411480" cy="17972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4" name="Straight Arrow Connector 3"/>
          <cdr:cNvCxnSpPr/>
        </cdr:nvCxnSpPr>
        <cdr:spPr>
          <a:xfrm xmlns:a="http://schemas.openxmlformats.org/drawingml/2006/main" flipV="1">
            <a:off x="1574800" y="2158998"/>
            <a:ext cx="127008" cy="5"/>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0.64172</cdr:x>
      <cdr:y>0.03865</cdr:y>
    </cdr:from>
    <cdr:to>
      <cdr:x>0.83333</cdr:x>
      <cdr:y>0.10532</cdr:y>
    </cdr:to>
    <cdr:grpSp>
      <cdr:nvGrpSpPr>
        <cdr:cNvPr id="8" name="Group 7"/>
        <cdr:cNvGrpSpPr/>
      </cdr:nvGrpSpPr>
      <cdr:grpSpPr>
        <a:xfrm xmlns:a="http://schemas.openxmlformats.org/drawingml/2006/main">
          <a:off x="1735093" y="105976"/>
          <a:ext cx="518079" cy="182806"/>
          <a:chOff x="1724696" y="2049131"/>
          <a:chExt cx="516841" cy="182880"/>
        </a:xfrm>
      </cdr:grpSpPr>
      <cdr:sp macro="" textlink="">
        <cdr:nvSpPr>
          <cdr:cNvPr id="3" name="TextBox 4"/>
          <cdr:cNvSpPr txBox="1"/>
        </cdr:nvSpPr>
        <cdr:spPr>
          <a:xfrm xmlns:a="http://schemas.openxmlformats.org/drawingml/2006/main">
            <a:off x="1724696" y="2049131"/>
            <a:ext cx="457200" cy="18288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2 yrs</a:t>
            </a:r>
          </a:p>
        </cdr:txBody>
      </cdr:sp>
      <cdr:cxnSp macro="">
        <cdr:nvCxnSpPr>
          <cdr:cNvPr id="6" name="Straight Arrow Connector 5"/>
          <cdr:cNvCxnSpPr/>
        </cdr:nvCxnSpPr>
        <cdr:spPr>
          <a:xfrm xmlns:a="http://schemas.openxmlformats.org/drawingml/2006/main">
            <a:off x="2101850" y="2165349"/>
            <a:ext cx="139687" cy="7"/>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0.17655</cdr:x>
      <cdr:y>0.03704</cdr:y>
    </cdr:from>
    <cdr:to>
      <cdr:x>0.48163</cdr:x>
      <cdr:y>0.10255</cdr:y>
    </cdr:to>
    <cdr:sp macro="" textlink="">
      <cdr:nvSpPr>
        <cdr:cNvPr id="9" name="TextBox 8"/>
        <cdr:cNvSpPr txBox="1"/>
      </cdr:nvSpPr>
      <cdr:spPr>
        <a:xfrm xmlns:a="http://schemas.openxmlformats.org/drawingml/2006/main">
          <a:off x="476240" y="101608"/>
          <a:ext cx="822960" cy="179707"/>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d)</a:t>
          </a:r>
          <a:r>
            <a:rPr lang="en-US" sz="1000" b="1" u="sng" baseline="0">
              <a:solidFill>
                <a:schemeClr val="tx1"/>
              </a:solidFill>
              <a:latin typeface="Times New Roman" pitchFamily="18" charset="0"/>
              <a:cs typeface="Times New Roman" pitchFamily="18" charset="0"/>
            </a:rPr>
            <a:t> 483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45.xml><?xml version="1.0" encoding="utf-8"?>
<c:userShapes xmlns:c="http://schemas.openxmlformats.org/drawingml/2006/chart">
  <cdr:relSizeAnchor xmlns:cdr="http://schemas.openxmlformats.org/drawingml/2006/chartDrawing">
    <cdr:from>
      <cdr:x>0.46694</cdr:x>
      <cdr:y>0.04742</cdr:y>
    </cdr:from>
    <cdr:to>
      <cdr:x>0.64028</cdr:x>
      <cdr:y>0.11294</cdr:y>
    </cdr:to>
    <cdr:grpSp>
      <cdr:nvGrpSpPr>
        <cdr:cNvPr id="7" name="Group 6"/>
        <cdr:cNvGrpSpPr/>
      </cdr:nvGrpSpPr>
      <cdr:grpSpPr>
        <a:xfrm xmlns:a="http://schemas.openxmlformats.org/drawingml/2006/main">
          <a:off x="1259561" y="130203"/>
          <a:ext cx="467581" cy="179901"/>
          <a:chOff x="1234224" y="2049131"/>
          <a:chExt cx="467576" cy="179720"/>
        </a:xfrm>
      </cdr:grpSpPr>
      <cdr:sp macro="" textlink="">
        <cdr:nvSpPr>
          <cdr:cNvPr id="2" name="TextBox 4"/>
          <cdr:cNvSpPr txBox="1"/>
        </cdr:nvSpPr>
        <cdr:spPr>
          <a:xfrm xmlns:a="http://schemas.openxmlformats.org/drawingml/2006/main">
            <a:off x="1234224" y="2049131"/>
            <a:ext cx="411480" cy="17972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4" name="Straight Arrow Connector 3"/>
          <cdr:cNvCxnSpPr/>
        </cdr:nvCxnSpPr>
        <cdr:spPr>
          <a:xfrm xmlns:a="http://schemas.openxmlformats.org/drawingml/2006/main">
            <a:off x="1574800" y="2165351"/>
            <a:ext cx="127000" cy="0"/>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0.63935</cdr:x>
      <cdr:y>0.04742</cdr:y>
    </cdr:from>
    <cdr:to>
      <cdr:x>0.83566</cdr:x>
      <cdr:y>0.11409</cdr:y>
    </cdr:to>
    <cdr:grpSp>
      <cdr:nvGrpSpPr>
        <cdr:cNvPr id="8" name="Group 7"/>
        <cdr:cNvGrpSpPr/>
      </cdr:nvGrpSpPr>
      <cdr:grpSpPr>
        <a:xfrm xmlns:a="http://schemas.openxmlformats.org/drawingml/2006/main">
          <a:off x="1724634" y="130203"/>
          <a:ext cx="529542" cy="183058"/>
          <a:chOff x="1699295" y="2042781"/>
          <a:chExt cx="529555" cy="182880"/>
        </a:xfrm>
      </cdr:grpSpPr>
      <cdr:sp macro="" textlink="">
        <cdr:nvSpPr>
          <cdr:cNvPr id="3" name="TextBox 4"/>
          <cdr:cNvSpPr txBox="1"/>
        </cdr:nvSpPr>
        <cdr:spPr>
          <a:xfrm xmlns:a="http://schemas.openxmlformats.org/drawingml/2006/main">
            <a:off x="1699295" y="2042781"/>
            <a:ext cx="457200" cy="18288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2 yrs</a:t>
            </a:r>
          </a:p>
        </cdr:txBody>
      </cdr:sp>
      <cdr:cxnSp macro="">
        <cdr:nvCxnSpPr>
          <cdr:cNvPr id="6" name="Straight Arrow Connector 5"/>
          <cdr:cNvCxnSpPr/>
        </cdr:nvCxnSpPr>
        <cdr:spPr>
          <a:xfrm xmlns:a="http://schemas.openxmlformats.org/drawingml/2006/main">
            <a:off x="2095500" y="2165350"/>
            <a:ext cx="133350" cy="1"/>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0.16091</cdr:x>
      <cdr:y>0.031</cdr:y>
    </cdr:from>
    <cdr:to>
      <cdr:x>0.4321</cdr:x>
      <cdr:y>0.09651</cdr:y>
    </cdr:to>
    <cdr:sp macro="" textlink="">
      <cdr:nvSpPr>
        <cdr:cNvPr id="9" name="TextBox 8"/>
        <cdr:cNvSpPr txBox="1"/>
      </cdr:nvSpPr>
      <cdr:spPr>
        <a:xfrm xmlns:a="http://schemas.openxmlformats.org/drawingml/2006/main">
          <a:off x="435402" y="86963"/>
          <a:ext cx="733826" cy="18375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a)</a:t>
          </a:r>
          <a:r>
            <a:rPr lang="en-US" sz="1000" b="1" u="sng" baseline="0">
              <a:solidFill>
                <a:schemeClr val="tx1"/>
              </a:solidFill>
              <a:latin typeface="Times New Roman" pitchFamily="18" charset="0"/>
              <a:cs typeface="Times New Roman" pitchFamily="18" charset="0"/>
            </a:rPr>
            <a:t> 69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46.xml><?xml version="1.0" encoding="utf-8"?>
<c:userShapes xmlns:c="http://schemas.openxmlformats.org/drawingml/2006/chart">
  <cdr:relSizeAnchor xmlns:cdr="http://schemas.openxmlformats.org/drawingml/2006/chartDrawing">
    <cdr:from>
      <cdr:x>0.46382</cdr:x>
      <cdr:y>0.04973</cdr:y>
    </cdr:from>
    <cdr:to>
      <cdr:x>0.63715</cdr:x>
      <cdr:y>0.11524</cdr:y>
    </cdr:to>
    <cdr:grpSp>
      <cdr:nvGrpSpPr>
        <cdr:cNvPr id="7" name="Group 6"/>
        <cdr:cNvGrpSpPr/>
      </cdr:nvGrpSpPr>
      <cdr:grpSpPr>
        <a:xfrm xmlns:a="http://schemas.openxmlformats.org/drawingml/2006/main">
          <a:off x="1251145" y="136546"/>
          <a:ext cx="467554" cy="179873"/>
          <a:chOff x="1234224" y="2049131"/>
          <a:chExt cx="467584" cy="179720"/>
        </a:xfrm>
      </cdr:grpSpPr>
      <cdr:sp macro="" textlink="">
        <cdr:nvSpPr>
          <cdr:cNvPr id="2" name="TextBox 4"/>
          <cdr:cNvSpPr txBox="1"/>
        </cdr:nvSpPr>
        <cdr:spPr>
          <a:xfrm xmlns:a="http://schemas.openxmlformats.org/drawingml/2006/main">
            <a:off x="1234224" y="2049131"/>
            <a:ext cx="411480" cy="17972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4" name="Straight Arrow Connector 3"/>
          <cdr:cNvCxnSpPr/>
        </cdr:nvCxnSpPr>
        <cdr:spPr>
          <a:xfrm xmlns:a="http://schemas.openxmlformats.org/drawingml/2006/main" flipV="1">
            <a:off x="1574800" y="2158998"/>
            <a:ext cx="127008" cy="5"/>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0.64564</cdr:x>
      <cdr:y>0.04973</cdr:y>
    </cdr:from>
    <cdr:to>
      <cdr:x>0.83725</cdr:x>
      <cdr:y>0.1164</cdr:y>
    </cdr:to>
    <cdr:grpSp>
      <cdr:nvGrpSpPr>
        <cdr:cNvPr id="8" name="Group 7"/>
        <cdr:cNvGrpSpPr/>
      </cdr:nvGrpSpPr>
      <cdr:grpSpPr>
        <a:xfrm xmlns:a="http://schemas.openxmlformats.org/drawingml/2006/main">
          <a:off x="1741601" y="136546"/>
          <a:ext cx="516864" cy="183058"/>
          <a:chOff x="1724696" y="2049131"/>
          <a:chExt cx="516841" cy="182880"/>
        </a:xfrm>
      </cdr:grpSpPr>
      <cdr:sp macro="" textlink="">
        <cdr:nvSpPr>
          <cdr:cNvPr id="3" name="TextBox 4"/>
          <cdr:cNvSpPr txBox="1"/>
        </cdr:nvSpPr>
        <cdr:spPr>
          <a:xfrm xmlns:a="http://schemas.openxmlformats.org/drawingml/2006/main">
            <a:off x="1724696" y="2049131"/>
            <a:ext cx="457200" cy="18288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2 yrs</a:t>
            </a:r>
          </a:p>
        </cdr:txBody>
      </cdr:sp>
      <cdr:cxnSp macro="">
        <cdr:nvCxnSpPr>
          <cdr:cNvPr id="6" name="Straight Arrow Connector 5"/>
          <cdr:cNvCxnSpPr/>
        </cdr:nvCxnSpPr>
        <cdr:spPr>
          <a:xfrm xmlns:a="http://schemas.openxmlformats.org/drawingml/2006/main">
            <a:off x="2101850" y="2165349"/>
            <a:ext cx="139687" cy="7"/>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0.15775</cdr:x>
      <cdr:y>0.03704</cdr:y>
    </cdr:from>
    <cdr:to>
      <cdr:x>0.46283</cdr:x>
      <cdr:y>0.10255</cdr:y>
    </cdr:to>
    <cdr:sp macro="" textlink="">
      <cdr:nvSpPr>
        <cdr:cNvPr id="9" name="TextBox 8"/>
        <cdr:cNvSpPr txBox="1"/>
      </cdr:nvSpPr>
      <cdr:spPr>
        <a:xfrm xmlns:a="http://schemas.openxmlformats.org/drawingml/2006/main">
          <a:off x="426188" y="103897"/>
          <a:ext cx="824239" cy="18375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b)</a:t>
          </a:r>
          <a:r>
            <a:rPr lang="en-US" sz="1000" b="1" u="sng" baseline="0">
              <a:solidFill>
                <a:schemeClr val="tx1"/>
              </a:solidFill>
              <a:latin typeface="Times New Roman" pitchFamily="18" charset="0"/>
              <a:cs typeface="Times New Roman" pitchFamily="18" charset="0"/>
            </a:rPr>
            <a:t> 207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47.xml><?xml version="1.0" encoding="utf-8"?>
<c:userShapes xmlns:c="http://schemas.openxmlformats.org/drawingml/2006/chart">
  <cdr:relSizeAnchor xmlns:cdr="http://schemas.openxmlformats.org/drawingml/2006/chartDrawing">
    <cdr:from>
      <cdr:x>0.45755</cdr:x>
      <cdr:y>0.03865</cdr:y>
    </cdr:from>
    <cdr:to>
      <cdr:x>0.63088</cdr:x>
      <cdr:y>0.10416</cdr:y>
    </cdr:to>
    <cdr:grpSp>
      <cdr:nvGrpSpPr>
        <cdr:cNvPr id="7" name="Group 6"/>
        <cdr:cNvGrpSpPr/>
      </cdr:nvGrpSpPr>
      <cdr:grpSpPr>
        <a:xfrm xmlns:a="http://schemas.openxmlformats.org/drawingml/2006/main">
          <a:off x="1234232" y="106025"/>
          <a:ext cx="467554" cy="179707"/>
          <a:chOff x="1234224" y="2049131"/>
          <a:chExt cx="467584" cy="179720"/>
        </a:xfrm>
      </cdr:grpSpPr>
      <cdr:sp macro="" textlink="">
        <cdr:nvSpPr>
          <cdr:cNvPr id="2" name="TextBox 4"/>
          <cdr:cNvSpPr txBox="1"/>
        </cdr:nvSpPr>
        <cdr:spPr>
          <a:xfrm xmlns:a="http://schemas.openxmlformats.org/drawingml/2006/main">
            <a:off x="1234224" y="2049131"/>
            <a:ext cx="411480" cy="17972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4" name="Straight Arrow Connector 3"/>
          <cdr:cNvCxnSpPr/>
        </cdr:nvCxnSpPr>
        <cdr:spPr>
          <a:xfrm xmlns:a="http://schemas.openxmlformats.org/drawingml/2006/main" flipV="1">
            <a:off x="1574800" y="2158998"/>
            <a:ext cx="127008" cy="5"/>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0.63937</cdr:x>
      <cdr:y>0.03865</cdr:y>
    </cdr:from>
    <cdr:to>
      <cdr:x>0.83098</cdr:x>
      <cdr:y>0.10532</cdr:y>
    </cdr:to>
    <cdr:grpSp>
      <cdr:nvGrpSpPr>
        <cdr:cNvPr id="8" name="Group 7"/>
        <cdr:cNvGrpSpPr/>
      </cdr:nvGrpSpPr>
      <cdr:grpSpPr>
        <a:xfrm xmlns:a="http://schemas.openxmlformats.org/drawingml/2006/main">
          <a:off x="1724688" y="106025"/>
          <a:ext cx="516864" cy="182889"/>
          <a:chOff x="1724696" y="2049131"/>
          <a:chExt cx="516841" cy="182880"/>
        </a:xfrm>
      </cdr:grpSpPr>
      <cdr:sp macro="" textlink="">
        <cdr:nvSpPr>
          <cdr:cNvPr id="3" name="TextBox 4"/>
          <cdr:cNvSpPr txBox="1"/>
        </cdr:nvSpPr>
        <cdr:spPr>
          <a:xfrm xmlns:a="http://schemas.openxmlformats.org/drawingml/2006/main">
            <a:off x="1724696" y="2049131"/>
            <a:ext cx="457200" cy="18288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2 yrs</a:t>
            </a:r>
          </a:p>
        </cdr:txBody>
      </cdr:sp>
      <cdr:cxnSp macro="">
        <cdr:nvCxnSpPr>
          <cdr:cNvPr id="6" name="Straight Arrow Connector 5"/>
          <cdr:cNvCxnSpPr/>
        </cdr:nvCxnSpPr>
        <cdr:spPr>
          <a:xfrm xmlns:a="http://schemas.openxmlformats.org/drawingml/2006/main">
            <a:off x="2101850" y="2165349"/>
            <a:ext cx="139687" cy="7"/>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0.16403</cdr:x>
      <cdr:y>0.03402</cdr:y>
    </cdr:from>
    <cdr:to>
      <cdr:x>0.46911</cdr:x>
      <cdr:y>0.09953</cdr:y>
    </cdr:to>
    <cdr:sp macro="" textlink="">
      <cdr:nvSpPr>
        <cdr:cNvPr id="9" name="TextBox 8"/>
        <cdr:cNvSpPr txBox="1"/>
      </cdr:nvSpPr>
      <cdr:spPr>
        <a:xfrm xmlns:a="http://schemas.openxmlformats.org/drawingml/2006/main">
          <a:off x="443868" y="95336"/>
          <a:ext cx="825530" cy="18359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c)</a:t>
          </a:r>
          <a:r>
            <a:rPr lang="en-US" sz="1000" b="1" u="sng" baseline="0">
              <a:solidFill>
                <a:schemeClr val="tx1"/>
              </a:solidFill>
              <a:latin typeface="Times New Roman" pitchFamily="18" charset="0"/>
              <a:cs typeface="Times New Roman" pitchFamily="18" charset="0"/>
            </a:rPr>
            <a:t> 345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48.xml><?xml version="1.0" encoding="utf-8"?>
<c:userShapes xmlns:c="http://schemas.openxmlformats.org/drawingml/2006/chart">
  <cdr:relSizeAnchor xmlns:cdr="http://schemas.openxmlformats.org/drawingml/2006/chartDrawing">
    <cdr:from>
      <cdr:x>0.4599</cdr:x>
      <cdr:y>0.03865</cdr:y>
    </cdr:from>
    <cdr:to>
      <cdr:x>0.63323</cdr:x>
      <cdr:y>0.10416</cdr:y>
    </cdr:to>
    <cdr:grpSp>
      <cdr:nvGrpSpPr>
        <cdr:cNvPr id="7" name="Group 6"/>
        <cdr:cNvGrpSpPr/>
      </cdr:nvGrpSpPr>
      <cdr:grpSpPr>
        <a:xfrm xmlns:a="http://schemas.openxmlformats.org/drawingml/2006/main">
          <a:off x="1240571" y="106025"/>
          <a:ext cx="467554" cy="179707"/>
          <a:chOff x="1234224" y="2049131"/>
          <a:chExt cx="467584" cy="179720"/>
        </a:xfrm>
      </cdr:grpSpPr>
      <cdr:sp macro="" textlink="">
        <cdr:nvSpPr>
          <cdr:cNvPr id="2" name="TextBox 4"/>
          <cdr:cNvSpPr txBox="1"/>
        </cdr:nvSpPr>
        <cdr:spPr>
          <a:xfrm xmlns:a="http://schemas.openxmlformats.org/drawingml/2006/main">
            <a:off x="1234224" y="2049131"/>
            <a:ext cx="411480" cy="17972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4" name="Straight Arrow Connector 3"/>
          <cdr:cNvCxnSpPr/>
        </cdr:nvCxnSpPr>
        <cdr:spPr>
          <a:xfrm xmlns:a="http://schemas.openxmlformats.org/drawingml/2006/main" flipV="1">
            <a:off x="1574800" y="2158998"/>
            <a:ext cx="127008" cy="5"/>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0.64172</cdr:x>
      <cdr:y>0.03865</cdr:y>
    </cdr:from>
    <cdr:to>
      <cdr:x>0.83333</cdr:x>
      <cdr:y>0.10532</cdr:y>
    </cdr:to>
    <cdr:grpSp>
      <cdr:nvGrpSpPr>
        <cdr:cNvPr id="8" name="Group 7"/>
        <cdr:cNvGrpSpPr/>
      </cdr:nvGrpSpPr>
      <cdr:grpSpPr>
        <a:xfrm xmlns:a="http://schemas.openxmlformats.org/drawingml/2006/main">
          <a:off x="1731027" y="106025"/>
          <a:ext cx="516864" cy="182889"/>
          <a:chOff x="1724696" y="2049131"/>
          <a:chExt cx="516841" cy="182880"/>
        </a:xfrm>
      </cdr:grpSpPr>
      <cdr:sp macro="" textlink="">
        <cdr:nvSpPr>
          <cdr:cNvPr id="3" name="TextBox 4"/>
          <cdr:cNvSpPr txBox="1"/>
        </cdr:nvSpPr>
        <cdr:spPr>
          <a:xfrm xmlns:a="http://schemas.openxmlformats.org/drawingml/2006/main">
            <a:off x="1724696" y="2049131"/>
            <a:ext cx="457200" cy="18288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2 yrs</a:t>
            </a:r>
          </a:p>
        </cdr:txBody>
      </cdr:sp>
      <cdr:cxnSp macro="">
        <cdr:nvCxnSpPr>
          <cdr:cNvPr id="6" name="Straight Arrow Connector 5"/>
          <cdr:cNvCxnSpPr/>
        </cdr:nvCxnSpPr>
        <cdr:spPr>
          <a:xfrm xmlns:a="http://schemas.openxmlformats.org/drawingml/2006/main">
            <a:off x="2101850" y="2165349"/>
            <a:ext cx="139687" cy="7"/>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0.16401</cdr:x>
      <cdr:y>0.03704</cdr:y>
    </cdr:from>
    <cdr:to>
      <cdr:x>0.46909</cdr:x>
      <cdr:y>0.10255</cdr:y>
    </cdr:to>
    <cdr:sp macro="" textlink="">
      <cdr:nvSpPr>
        <cdr:cNvPr id="9" name="TextBox 8"/>
        <cdr:cNvSpPr txBox="1"/>
      </cdr:nvSpPr>
      <cdr:spPr>
        <a:xfrm xmlns:a="http://schemas.openxmlformats.org/drawingml/2006/main">
          <a:off x="443120" y="103803"/>
          <a:ext cx="824239" cy="18359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d)</a:t>
          </a:r>
          <a:r>
            <a:rPr lang="en-US" sz="1000" b="1" u="sng" baseline="0">
              <a:solidFill>
                <a:schemeClr val="tx1"/>
              </a:solidFill>
              <a:latin typeface="Times New Roman" pitchFamily="18" charset="0"/>
              <a:cs typeface="Times New Roman" pitchFamily="18" charset="0"/>
            </a:rPr>
            <a:t> 483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49.xml><?xml version="1.0" encoding="utf-8"?>
<c:userShapes xmlns:c="http://schemas.openxmlformats.org/drawingml/2006/chart">
  <cdr:relSizeAnchor xmlns:cdr="http://schemas.openxmlformats.org/drawingml/2006/chartDrawing">
    <cdr:from>
      <cdr:x>0.46694</cdr:x>
      <cdr:y>0.04742</cdr:y>
    </cdr:from>
    <cdr:to>
      <cdr:x>0.64028</cdr:x>
      <cdr:y>0.11294</cdr:y>
    </cdr:to>
    <cdr:grpSp>
      <cdr:nvGrpSpPr>
        <cdr:cNvPr id="7" name="Group 6"/>
        <cdr:cNvGrpSpPr/>
      </cdr:nvGrpSpPr>
      <cdr:grpSpPr>
        <a:xfrm xmlns:a="http://schemas.openxmlformats.org/drawingml/2006/main">
          <a:off x="1254817" y="131889"/>
          <a:ext cx="465820" cy="182231"/>
          <a:chOff x="1234224" y="2049131"/>
          <a:chExt cx="467576" cy="179720"/>
        </a:xfrm>
      </cdr:grpSpPr>
      <cdr:sp macro="" textlink="">
        <cdr:nvSpPr>
          <cdr:cNvPr id="2" name="TextBox 4"/>
          <cdr:cNvSpPr txBox="1"/>
        </cdr:nvSpPr>
        <cdr:spPr>
          <a:xfrm xmlns:a="http://schemas.openxmlformats.org/drawingml/2006/main">
            <a:off x="1234224" y="2049131"/>
            <a:ext cx="411480" cy="17972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4" name="Straight Arrow Connector 3"/>
          <cdr:cNvCxnSpPr/>
        </cdr:nvCxnSpPr>
        <cdr:spPr>
          <a:xfrm xmlns:a="http://schemas.openxmlformats.org/drawingml/2006/main">
            <a:off x="1574800" y="2165351"/>
            <a:ext cx="127000" cy="0"/>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0.63935</cdr:x>
      <cdr:y>0.04742</cdr:y>
    </cdr:from>
    <cdr:to>
      <cdr:x>0.83566</cdr:x>
      <cdr:y>0.11409</cdr:y>
    </cdr:to>
    <cdr:grpSp>
      <cdr:nvGrpSpPr>
        <cdr:cNvPr id="8" name="Group 7"/>
        <cdr:cNvGrpSpPr/>
      </cdr:nvGrpSpPr>
      <cdr:grpSpPr>
        <a:xfrm xmlns:a="http://schemas.openxmlformats.org/drawingml/2006/main">
          <a:off x="1718138" y="131889"/>
          <a:ext cx="527548" cy="185430"/>
          <a:chOff x="1699295" y="2042781"/>
          <a:chExt cx="529555" cy="182880"/>
        </a:xfrm>
      </cdr:grpSpPr>
      <cdr:sp macro="" textlink="">
        <cdr:nvSpPr>
          <cdr:cNvPr id="3" name="TextBox 4"/>
          <cdr:cNvSpPr txBox="1"/>
        </cdr:nvSpPr>
        <cdr:spPr>
          <a:xfrm xmlns:a="http://schemas.openxmlformats.org/drawingml/2006/main">
            <a:off x="1699295" y="2042781"/>
            <a:ext cx="457200" cy="18288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2 yrs</a:t>
            </a:r>
          </a:p>
        </cdr:txBody>
      </cdr:sp>
      <cdr:cxnSp macro="">
        <cdr:nvCxnSpPr>
          <cdr:cNvPr id="6" name="Straight Arrow Connector 5"/>
          <cdr:cNvCxnSpPr/>
        </cdr:nvCxnSpPr>
        <cdr:spPr>
          <a:xfrm xmlns:a="http://schemas.openxmlformats.org/drawingml/2006/main">
            <a:off x="2095500" y="2165350"/>
            <a:ext cx="133350" cy="1"/>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0.16091</cdr:x>
      <cdr:y>0.031</cdr:y>
    </cdr:from>
    <cdr:to>
      <cdr:x>0.4321</cdr:x>
      <cdr:y>0.09651</cdr:y>
    </cdr:to>
    <cdr:sp macro="" textlink="">
      <cdr:nvSpPr>
        <cdr:cNvPr id="9" name="TextBox 8"/>
        <cdr:cNvSpPr txBox="1"/>
      </cdr:nvSpPr>
      <cdr:spPr>
        <a:xfrm xmlns:a="http://schemas.openxmlformats.org/drawingml/2006/main">
          <a:off x="435402" y="86963"/>
          <a:ext cx="733826" cy="18375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a)</a:t>
          </a:r>
          <a:r>
            <a:rPr lang="en-US" sz="1000" b="1" u="sng" baseline="0">
              <a:solidFill>
                <a:schemeClr val="tx1"/>
              </a:solidFill>
              <a:latin typeface="Times New Roman" pitchFamily="18" charset="0"/>
              <a:cs typeface="Times New Roman" pitchFamily="18" charset="0"/>
            </a:rPr>
            <a:t> 69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50.xml><?xml version="1.0" encoding="utf-8"?>
<c:userShapes xmlns:c="http://schemas.openxmlformats.org/drawingml/2006/chart">
  <cdr:relSizeAnchor xmlns:cdr="http://schemas.openxmlformats.org/drawingml/2006/chartDrawing">
    <cdr:from>
      <cdr:x>0.46382</cdr:x>
      <cdr:y>0.04973</cdr:y>
    </cdr:from>
    <cdr:to>
      <cdr:x>0.63715</cdr:x>
      <cdr:y>0.11524</cdr:y>
    </cdr:to>
    <cdr:grpSp>
      <cdr:nvGrpSpPr>
        <cdr:cNvPr id="7" name="Group 6"/>
        <cdr:cNvGrpSpPr/>
      </cdr:nvGrpSpPr>
      <cdr:grpSpPr>
        <a:xfrm xmlns:a="http://schemas.openxmlformats.org/drawingml/2006/main">
          <a:off x="1246433" y="138314"/>
          <a:ext cx="465793" cy="182203"/>
          <a:chOff x="1234224" y="2049131"/>
          <a:chExt cx="467584" cy="179720"/>
        </a:xfrm>
      </cdr:grpSpPr>
      <cdr:sp macro="" textlink="">
        <cdr:nvSpPr>
          <cdr:cNvPr id="2" name="TextBox 4"/>
          <cdr:cNvSpPr txBox="1"/>
        </cdr:nvSpPr>
        <cdr:spPr>
          <a:xfrm xmlns:a="http://schemas.openxmlformats.org/drawingml/2006/main">
            <a:off x="1234224" y="2049131"/>
            <a:ext cx="411480" cy="17972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4" name="Straight Arrow Connector 3"/>
          <cdr:cNvCxnSpPr/>
        </cdr:nvCxnSpPr>
        <cdr:spPr>
          <a:xfrm xmlns:a="http://schemas.openxmlformats.org/drawingml/2006/main" flipV="1">
            <a:off x="1574800" y="2158998"/>
            <a:ext cx="127008" cy="5"/>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0.64564</cdr:x>
      <cdr:y>0.04973</cdr:y>
    </cdr:from>
    <cdr:to>
      <cdr:x>0.83725</cdr:x>
      <cdr:y>0.1164</cdr:y>
    </cdr:to>
    <cdr:grpSp>
      <cdr:nvGrpSpPr>
        <cdr:cNvPr id="8" name="Group 7"/>
        <cdr:cNvGrpSpPr/>
      </cdr:nvGrpSpPr>
      <cdr:grpSpPr>
        <a:xfrm xmlns:a="http://schemas.openxmlformats.org/drawingml/2006/main">
          <a:off x="1735041" y="138314"/>
          <a:ext cx="514918" cy="185429"/>
          <a:chOff x="1724696" y="2049131"/>
          <a:chExt cx="516841" cy="182880"/>
        </a:xfrm>
      </cdr:grpSpPr>
      <cdr:sp macro="" textlink="">
        <cdr:nvSpPr>
          <cdr:cNvPr id="3" name="TextBox 4"/>
          <cdr:cNvSpPr txBox="1"/>
        </cdr:nvSpPr>
        <cdr:spPr>
          <a:xfrm xmlns:a="http://schemas.openxmlformats.org/drawingml/2006/main">
            <a:off x="1724696" y="2049131"/>
            <a:ext cx="457200" cy="18288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2 yrs</a:t>
            </a:r>
          </a:p>
        </cdr:txBody>
      </cdr:sp>
      <cdr:cxnSp macro="">
        <cdr:nvCxnSpPr>
          <cdr:cNvPr id="6" name="Straight Arrow Connector 5"/>
          <cdr:cNvCxnSpPr/>
        </cdr:nvCxnSpPr>
        <cdr:spPr>
          <a:xfrm xmlns:a="http://schemas.openxmlformats.org/drawingml/2006/main">
            <a:off x="2101850" y="2165349"/>
            <a:ext cx="139687" cy="7"/>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0.15775</cdr:x>
      <cdr:y>0.03704</cdr:y>
    </cdr:from>
    <cdr:to>
      <cdr:x>0.46283</cdr:x>
      <cdr:y>0.10255</cdr:y>
    </cdr:to>
    <cdr:sp macro="" textlink="">
      <cdr:nvSpPr>
        <cdr:cNvPr id="9" name="TextBox 8"/>
        <cdr:cNvSpPr txBox="1"/>
      </cdr:nvSpPr>
      <cdr:spPr>
        <a:xfrm xmlns:a="http://schemas.openxmlformats.org/drawingml/2006/main">
          <a:off x="426188" y="103897"/>
          <a:ext cx="824239" cy="18375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b)</a:t>
          </a:r>
          <a:r>
            <a:rPr lang="en-US" sz="1000" b="1" u="sng" baseline="0">
              <a:solidFill>
                <a:schemeClr val="tx1"/>
              </a:solidFill>
              <a:latin typeface="Times New Roman" pitchFamily="18" charset="0"/>
              <a:cs typeface="Times New Roman" pitchFamily="18" charset="0"/>
            </a:rPr>
            <a:t> 207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51.xml><?xml version="1.0" encoding="utf-8"?>
<c:userShapes xmlns:c="http://schemas.openxmlformats.org/drawingml/2006/chart">
  <cdr:relSizeAnchor xmlns:cdr="http://schemas.openxmlformats.org/drawingml/2006/chartDrawing">
    <cdr:from>
      <cdr:x>0.45755</cdr:x>
      <cdr:y>0.03865</cdr:y>
    </cdr:from>
    <cdr:to>
      <cdr:x>0.63088</cdr:x>
      <cdr:y>0.10416</cdr:y>
    </cdr:to>
    <cdr:grpSp>
      <cdr:nvGrpSpPr>
        <cdr:cNvPr id="7" name="Group 6"/>
        <cdr:cNvGrpSpPr/>
      </cdr:nvGrpSpPr>
      <cdr:grpSpPr>
        <a:xfrm xmlns:a="http://schemas.openxmlformats.org/drawingml/2006/main">
          <a:off x="1229583" y="107497"/>
          <a:ext cx="465793" cy="182203"/>
          <a:chOff x="1234224" y="2049131"/>
          <a:chExt cx="467584" cy="179720"/>
        </a:xfrm>
      </cdr:grpSpPr>
      <cdr:sp macro="" textlink="">
        <cdr:nvSpPr>
          <cdr:cNvPr id="2" name="TextBox 4"/>
          <cdr:cNvSpPr txBox="1"/>
        </cdr:nvSpPr>
        <cdr:spPr>
          <a:xfrm xmlns:a="http://schemas.openxmlformats.org/drawingml/2006/main">
            <a:off x="1234224" y="2049131"/>
            <a:ext cx="411480" cy="17972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4" name="Straight Arrow Connector 3"/>
          <cdr:cNvCxnSpPr/>
        </cdr:nvCxnSpPr>
        <cdr:spPr>
          <a:xfrm xmlns:a="http://schemas.openxmlformats.org/drawingml/2006/main" flipV="1">
            <a:off x="1574800" y="2158998"/>
            <a:ext cx="127008" cy="5"/>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0.63937</cdr:x>
      <cdr:y>0.03865</cdr:y>
    </cdr:from>
    <cdr:to>
      <cdr:x>0.83098</cdr:x>
      <cdr:y>0.10532</cdr:y>
    </cdr:to>
    <cdr:grpSp>
      <cdr:nvGrpSpPr>
        <cdr:cNvPr id="8" name="Group 7"/>
        <cdr:cNvGrpSpPr/>
      </cdr:nvGrpSpPr>
      <cdr:grpSpPr>
        <a:xfrm xmlns:a="http://schemas.openxmlformats.org/drawingml/2006/main">
          <a:off x="1718192" y="107497"/>
          <a:ext cx="514917" cy="185430"/>
          <a:chOff x="1724696" y="2049131"/>
          <a:chExt cx="516841" cy="182880"/>
        </a:xfrm>
      </cdr:grpSpPr>
      <cdr:sp macro="" textlink="">
        <cdr:nvSpPr>
          <cdr:cNvPr id="3" name="TextBox 4"/>
          <cdr:cNvSpPr txBox="1"/>
        </cdr:nvSpPr>
        <cdr:spPr>
          <a:xfrm xmlns:a="http://schemas.openxmlformats.org/drawingml/2006/main">
            <a:off x="1724696" y="2049131"/>
            <a:ext cx="457200" cy="182880"/>
          </a:xfrm>
          <a:prstGeom xmlns:a="http://schemas.openxmlformats.org/drawingml/2006/main" prst="rect">
            <a:avLst/>
          </a:prstGeom>
          <a:solidFill xmlns:a="http://schemas.openxmlformats.org/drawingml/2006/main">
            <a:schemeClr val="bg1"/>
          </a:solidFill>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2 yrs</a:t>
            </a:r>
          </a:p>
        </cdr:txBody>
      </cdr:sp>
      <cdr:cxnSp macro="">
        <cdr:nvCxnSpPr>
          <cdr:cNvPr id="6" name="Straight Arrow Connector 5"/>
          <cdr:cNvCxnSpPr/>
        </cdr:nvCxnSpPr>
        <cdr:spPr>
          <a:xfrm xmlns:a="http://schemas.openxmlformats.org/drawingml/2006/main">
            <a:off x="2101850" y="2165349"/>
            <a:ext cx="139687" cy="7"/>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0.16403</cdr:x>
      <cdr:y>0.03402</cdr:y>
    </cdr:from>
    <cdr:to>
      <cdr:x>0.46911</cdr:x>
      <cdr:y>0.09953</cdr:y>
    </cdr:to>
    <cdr:sp macro="" textlink="">
      <cdr:nvSpPr>
        <cdr:cNvPr id="9" name="TextBox 8"/>
        <cdr:cNvSpPr txBox="1"/>
      </cdr:nvSpPr>
      <cdr:spPr>
        <a:xfrm xmlns:a="http://schemas.openxmlformats.org/drawingml/2006/main">
          <a:off x="443868" y="95336"/>
          <a:ext cx="825530" cy="18359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c)</a:t>
          </a:r>
          <a:r>
            <a:rPr lang="en-US" sz="1000" b="1" u="sng" baseline="0">
              <a:solidFill>
                <a:schemeClr val="tx1"/>
              </a:solidFill>
              <a:latin typeface="Times New Roman" pitchFamily="18" charset="0"/>
              <a:cs typeface="Times New Roman" pitchFamily="18" charset="0"/>
            </a:rPr>
            <a:t> 345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52.xml><?xml version="1.0" encoding="utf-8"?>
<c:userShapes xmlns:c="http://schemas.openxmlformats.org/drawingml/2006/chart">
  <cdr:relSizeAnchor xmlns:cdr="http://schemas.openxmlformats.org/drawingml/2006/chartDrawing">
    <cdr:from>
      <cdr:x>0.4599</cdr:x>
      <cdr:y>0.03865</cdr:y>
    </cdr:from>
    <cdr:to>
      <cdr:x>0.63323</cdr:x>
      <cdr:y>0.10416</cdr:y>
    </cdr:to>
    <cdr:grpSp>
      <cdr:nvGrpSpPr>
        <cdr:cNvPr id="7" name="Group 6"/>
        <cdr:cNvGrpSpPr/>
      </cdr:nvGrpSpPr>
      <cdr:grpSpPr>
        <a:xfrm xmlns:a="http://schemas.openxmlformats.org/drawingml/2006/main">
          <a:off x="1235898" y="107497"/>
          <a:ext cx="465794" cy="182203"/>
          <a:chOff x="1234224" y="2049131"/>
          <a:chExt cx="467584" cy="179720"/>
        </a:xfrm>
      </cdr:grpSpPr>
      <cdr:sp macro="" textlink="">
        <cdr:nvSpPr>
          <cdr:cNvPr id="2" name="TextBox 4"/>
          <cdr:cNvSpPr txBox="1"/>
        </cdr:nvSpPr>
        <cdr:spPr>
          <a:xfrm xmlns:a="http://schemas.openxmlformats.org/drawingml/2006/main">
            <a:off x="1234224" y="2049131"/>
            <a:ext cx="411480" cy="17972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4" name="Straight Arrow Connector 3"/>
          <cdr:cNvCxnSpPr/>
        </cdr:nvCxnSpPr>
        <cdr:spPr>
          <a:xfrm xmlns:a="http://schemas.openxmlformats.org/drawingml/2006/main" flipV="1">
            <a:off x="1574800" y="2158998"/>
            <a:ext cx="127008" cy="5"/>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0.64172</cdr:x>
      <cdr:y>0.03865</cdr:y>
    </cdr:from>
    <cdr:to>
      <cdr:x>0.83333</cdr:x>
      <cdr:y>0.10532</cdr:y>
    </cdr:to>
    <cdr:grpSp>
      <cdr:nvGrpSpPr>
        <cdr:cNvPr id="8" name="Group 7"/>
        <cdr:cNvGrpSpPr/>
      </cdr:nvGrpSpPr>
      <cdr:grpSpPr>
        <a:xfrm xmlns:a="http://schemas.openxmlformats.org/drawingml/2006/main">
          <a:off x="1724507" y="107497"/>
          <a:ext cx="514917" cy="185430"/>
          <a:chOff x="1724696" y="2049131"/>
          <a:chExt cx="516841" cy="182880"/>
        </a:xfrm>
      </cdr:grpSpPr>
      <cdr:sp macro="" textlink="">
        <cdr:nvSpPr>
          <cdr:cNvPr id="3" name="TextBox 4"/>
          <cdr:cNvSpPr txBox="1"/>
        </cdr:nvSpPr>
        <cdr:spPr>
          <a:xfrm xmlns:a="http://schemas.openxmlformats.org/drawingml/2006/main">
            <a:off x="1724696" y="2049131"/>
            <a:ext cx="457200" cy="18288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2 yrs</a:t>
            </a:r>
          </a:p>
        </cdr:txBody>
      </cdr:sp>
      <cdr:cxnSp macro="">
        <cdr:nvCxnSpPr>
          <cdr:cNvPr id="6" name="Straight Arrow Connector 5"/>
          <cdr:cNvCxnSpPr/>
        </cdr:nvCxnSpPr>
        <cdr:spPr>
          <a:xfrm xmlns:a="http://schemas.openxmlformats.org/drawingml/2006/main">
            <a:off x="2101850" y="2165349"/>
            <a:ext cx="139687" cy="7"/>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0.16401</cdr:x>
      <cdr:y>0.03704</cdr:y>
    </cdr:from>
    <cdr:to>
      <cdr:x>0.46909</cdr:x>
      <cdr:y>0.10255</cdr:y>
    </cdr:to>
    <cdr:sp macro="" textlink="">
      <cdr:nvSpPr>
        <cdr:cNvPr id="9" name="TextBox 8"/>
        <cdr:cNvSpPr txBox="1"/>
      </cdr:nvSpPr>
      <cdr:spPr>
        <a:xfrm xmlns:a="http://schemas.openxmlformats.org/drawingml/2006/main">
          <a:off x="443120" y="103803"/>
          <a:ext cx="824239" cy="18359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d)</a:t>
          </a:r>
          <a:r>
            <a:rPr lang="en-US" sz="1000" b="1" u="sng" baseline="0">
              <a:solidFill>
                <a:schemeClr val="tx1"/>
              </a:solidFill>
              <a:latin typeface="Times New Roman" pitchFamily="18" charset="0"/>
              <a:cs typeface="Times New Roman" pitchFamily="18" charset="0"/>
            </a:rPr>
            <a:t> 483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53.xml><?xml version="1.0" encoding="utf-8"?>
<c:userShapes xmlns:c="http://schemas.openxmlformats.org/drawingml/2006/chart">
  <cdr:relSizeAnchor xmlns:cdr="http://schemas.openxmlformats.org/drawingml/2006/chartDrawing">
    <cdr:from>
      <cdr:x>0.16243</cdr:x>
      <cdr:y>0.03472</cdr:y>
    </cdr:from>
    <cdr:to>
      <cdr:x>0.43298</cdr:x>
      <cdr:y>0.10026</cdr:y>
    </cdr:to>
    <cdr:sp macro="" textlink="">
      <cdr:nvSpPr>
        <cdr:cNvPr id="2" name="TextBox 1"/>
        <cdr:cNvSpPr txBox="1"/>
      </cdr:nvSpPr>
      <cdr:spPr>
        <a:xfrm xmlns:a="http://schemas.openxmlformats.org/drawingml/2006/main">
          <a:off x="438150" y="95250"/>
          <a:ext cx="729812" cy="179789"/>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a)</a:t>
          </a:r>
          <a:r>
            <a:rPr lang="en-US" sz="1000" b="1" u="sng" baseline="0">
              <a:solidFill>
                <a:schemeClr val="tx1"/>
              </a:solidFill>
              <a:latin typeface="Times New Roman" pitchFamily="18" charset="0"/>
              <a:cs typeface="Times New Roman" pitchFamily="18" charset="0"/>
            </a:rPr>
            <a:t> 69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54.xml><?xml version="1.0" encoding="utf-8"?>
<c:userShapes xmlns:c="http://schemas.openxmlformats.org/drawingml/2006/chart">
  <cdr:relSizeAnchor xmlns:cdr="http://schemas.openxmlformats.org/drawingml/2006/chartDrawing">
    <cdr:from>
      <cdr:x>0.16243</cdr:x>
      <cdr:y>0.03472</cdr:y>
    </cdr:from>
    <cdr:to>
      <cdr:x>0.47551</cdr:x>
      <cdr:y>0.10026</cdr:y>
    </cdr:to>
    <cdr:sp macro="" textlink="">
      <cdr:nvSpPr>
        <cdr:cNvPr id="2" name="TextBox 1"/>
        <cdr:cNvSpPr txBox="1"/>
      </cdr:nvSpPr>
      <cdr:spPr>
        <a:xfrm xmlns:a="http://schemas.openxmlformats.org/drawingml/2006/main">
          <a:off x="438152" y="95244"/>
          <a:ext cx="844535" cy="179789"/>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b)</a:t>
          </a:r>
          <a:r>
            <a:rPr lang="en-US" sz="1000" b="1" u="sng" baseline="0">
              <a:solidFill>
                <a:schemeClr val="tx1"/>
              </a:solidFill>
              <a:latin typeface="Times New Roman" pitchFamily="18" charset="0"/>
              <a:cs typeface="Times New Roman" pitchFamily="18" charset="0"/>
            </a:rPr>
            <a:t> 207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55.xml><?xml version="1.0" encoding="utf-8"?>
<c:userShapes xmlns:c="http://schemas.openxmlformats.org/drawingml/2006/chart">
  <cdr:relSizeAnchor xmlns:cdr="http://schemas.openxmlformats.org/drawingml/2006/chartDrawing">
    <cdr:from>
      <cdr:x>0.16243</cdr:x>
      <cdr:y>0.03472</cdr:y>
    </cdr:from>
    <cdr:to>
      <cdr:x>0.47551</cdr:x>
      <cdr:y>0.10026</cdr:y>
    </cdr:to>
    <cdr:sp macro="" textlink="">
      <cdr:nvSpPr>
        <cdr:cNvPr id="2" name="TextBox 1"/>
        <cdr:cNvSpPr txBox="1"/>
      </cdr:nvSpPr>
      <cdr:spPr>
        <a:xfrm xmlns:a="http://schemas.openxmlformats.org/drawingml/2006/main">
          <a:off x="438152" y="95244"/>
          <a:ext cx="844535" cy="179789"/>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c)</a:t>
          </a:r>
          <a:r>
            <a:rPr lang="en-US" sz="1000" b="1" u="sng" baseline="0">
              <a:solidFill>
                <a:schemeClr val="tx1"/>
              </a:solidFill>
              <a:latin typeface="Times New Roman" pitchFamily="18" charset="0"/>
              <a:cs typeface="Times New Roman" pitchFamily="18" charset="0"/>
            </a:rPr>
            <a:t> 345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56.xml><?xml version="1.0" encoding="utf-8"?>
<c:userShapes xmlns:c="http://schemas.openxmlformats.org/drawingml/2006/chart">
  <cdr:relSizeAnchor xmlns:cdr="http://schemas.openxmlformats.org/drawingml/2006/chartDrawing">
    <cdr:from>
      <cdr:x>0.16243</cdr:x>
      <cdr:y>0.03472</cdr:y>
    </cdr:from>
    <cdr:to>
      <cdr:x>0.47551</cdr:x>
      <cdr:y>0.10026</cdr:y>
    </cdr:to>
    <cdr:sp macro="" textlink="">
      <cdr:nvSpPr>
        <cdr:cNvPr id="2" name="TextBox 1"/>
        <cdr:cNvSpPr txBox="1"/>
      </cdr:nvSpPr>
      <cdr:spPr>
        <a:xfrm xmlns:a="http://schemas.openxmlformats.org/drawingml/2006/main">
          <a:off x="438152" y="95244"/>
          <a:ext cx="844535" cy="179789"/>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d)</a:t>
          </a:r>
          <a:r>
            <a:rPr lang="en-US" sz="1000" b="1" u="sng" baseline="0">
              <a:solidFill>
                <a:schemeClr val="tx1"/>
              </a:solidFill>
              <a:latin typeface="Times New Roman" pitchFamily="18" charset="0"/>
              <a:cs typeface="Times New Roman" pitchFamily="18" charset="0"/>
            </a:rPr>
            <a:t> 483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57.xml><?xml version="1.0" encoding="utf-8"?>
<c:userShapes xmlns:c="http://schemas.openxmlformats.org/drawingml/2006/chart">
  <cdr:relSizeAnchor xmlns:cdr="http://schemas.openxmlformats.org/drawingml/2006/chartDrawing">
    <cdr:from>
      <cdr:x>0.16243</cdr:x>
      <cdr:y>0.03472</cdr:y>
    </cdr:from>
    <cdr:to>
      <cdr:x>0.43298</cdr:x>
      <cdr:y>0.10026</cdr:y>
    </cdr:to>
    <cdr:sp macro="" textlink="">
      <cdr:nvSpPr>
        <cdr:cNvPr id="2" name="TextBox 1"/>
        <cdr:cNvSpPr txBox="1"/>
      </cdr:nvSpPr>
      <cdr:spPr>
        <a:xfrm xmlns:a="http://schemas.openxmlformats.org/drawingml/2006/main">
          <a:off x="438150" y="95250"/>
          <a:ext cx="729812" cy="179789"/>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a)</a:t>
          </a:r>
          <a:r>
            <a:rPr lang="en-US" sz="1000" b="1" u="sng" baseline="0">
              <a:solidFill>
                <a:schemeClr val="tx1"/>
              </a:solidFill>
              <a:latin typeface="Times New Roman" pitchFamily="18" charset="0"/>
              <a:cs typeface="Times New Roman" pitchFamily="18" charset="0"/>
            </a:rPr>
            <a:t> 69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58.xml><?xml version="1.0" encoding="utf-8"?>
<c:userShapes xmlns:c="http://schemas.openxmlformats.org/drawingml/2006/chart">
  <cdr:relSizeAnchor xmlns:cdr="http://schemas.openxmlformats.org/drawingml/2006/chartDrawing">
    <cdr:from>
      <cdr:x>0.16243</cdr:x>
      <cdr:y>0.03472</cdr:y>
    </cdr:from>
    <cdr:to>
      <cdr:x>0.47551</cdr:x>
      <cdr:y>0.10026</cdr:y>
    </cdr:to>
    <cdr:sp macro="" textlink="">
      <cdr:nvSpPr>
        <cdr:cNvPr id="2" name="TextBox 1"/>
        <cdr:cNvSpPr txBox="1"/>
      </cdr:nvSpPr>
      <cdr:spPr>
        <a:xfrm xmlns:a="http://schemas.openxmlformats.org/drawingml/2006/main">
          <a:off x="438152" y="95244"/>
          <a:ext cx="844535" cy="179789"/>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b)</a:t>
          </a:r>
          <a:r>
            <a:rPr lang="en-US" sz="1000" b="1" u="sng" baseline="0">
              <a:solidFill>
                <a:schemeClr val="tx1"/>
              </a:solidFill>
              <a:latin typeface="Times New Roman" pitchFamily="18" charset="0"/>
              <a:cs typeface="Times New Roman" pitchFamily="18" charset="0"/>
            </a:rPr>
            <a:t> 207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59.xml><?xml version="1.0" encoding="utf-8"?>
<c:userShapes xmlns:c="http://schemas.openxmlformats.org/drawingml/2006/chart">
  <cdr:relSizeAnchor xmlns:cdr="http://schemas.openxmlformats.org/drawingml/2006/chartDrawing">
    <cdr:from>
      <cdr:x>0.16243</cdr:x>
      <cdr:y>0.03472</cdr:y>
    </cdr:from>
    <cdr:to>
      <cdr:x>0.47551</cdr:x>
      <cdr:y>0.10026</cdr:y>
    </cdr:to>
    <cdr:sp macro="" textlink="">
      <cdr:nvSpPr>
        <cdr:cNvPr id="2" name="TextBox 1"/>
        <cdr:cNvSpPr txBox="1"/>
      </cdr:nvSpPr>
      <cdr:spPr>
        <a:xfrm xmlns:a="http://schemas.openxmlformats.org/drawingml/2006/main">
          <a:off x="438152" y="95244"/>
          <a:ext cx="844535" cy="179789"/>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c)</a:t>
          </a:r>
          <a:r>
            <a:rPr lang="en-US" sz="1000" b="1" u="sng" baseline="0">
              <a:solidFill>
                <a:schemeClr val="tx1"/>
              </a:solidFill>
              <a:latin typeface="Times New Roman" pitchFamily="18" charset="0"/>
              <a:cs typeface="Times New Roman" pitchFamily="18" charset="0"/>
            </a:rPr>
            <a:t> 345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60.xml><?xml version="1.0" encoding="utf-8"?>
<c:userShapes xmlns:c="http://schemas.openxmlformats.org/drawingml/2006/chart">
  <cdr:relSizeAnchor xmlns:cdr="http://schemas.openxmlformats.org/drawingml/2006/chartDrawing">
    <cdr:from>
      <cdr:x>0.16243</cdr:x>
      <cdr:y>0.03472</cdr:y>
    </cdr:from>
    <cdr:to>
      <cdr:x>0.47551</cdr:x>
      <cdr:y>0.10026</cdr:y>
    </cdr:to>
    <cdr:sp macro="" textlink="">
      <cdr:nvSpPr>
        <cdr:cNvPr id="2" name="TextBox 1"/>
        <cdr:cNvSpPr txBox="1"/>
      </cdr:nvSpPr>
      <cdr:spPr>
        <a:xfrm xmlns:a="http://schemas.openxmlformats.org/drawingml/2006/main">
          <a:off x="438152" y="95244"/>
          <a:ext cx="844535" cy="179789"/>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d)</a:t>
          </a:r>
          <a:r>
            <a:rPr lang="en-US" sz="1000" b="1" u="sng" baseline="0">
              <a:solidFill>
                <a:schemeClr val="tx1"/>
              </a:solidFill>
              <a:latin typeface="Times New Roman" pitchFamily="18" charset="0"/>
              <a:cs typeface="Times New Roman" pitchFamily="18" charset="0"/>
            </a:rPr>
            <a:t> 483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61.xml><?xml version="1.0" encoding="utf-8"?>
<c:userShapes xmlns:c="http://schemas.openxmlformats.org/drawingml/2006/chart">
  <cdr:relSizeAnchor xmlns:cdr="http://schemas.openxmlformats.org/drawingml/2006/chartDrawing">
    <cdr:from>
      <cdr:x>0.16243</cdr:x>
      <cdr:y>0.03472</cdr:y>
    </cdr:from>
    <cdr:to>
      <cdr:x>0.43298</cdr:x>
      <cdr:y>0.10026</cdr:y>
    </cdr:to>
    <cdr:sp macro="" textlink="">
      <cdr:nvSpPr>
        <cdr:cNvPr id="2" name="TextBox 1"/>
        <cdr:cNvSpPr txBox="1"/>
      </cdr:nvSpPr>
      <cdr:spPr>
        <a:xfrm xmlns:a="http://schemas.openxmlformats.org/drawingml/2006/main">
          <a:off x="438150" y="95250"/>
          <a:ext cx="729812" cy="179789"/>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a)</a:t>
          </a:r>
          <a:r>
            <a:rPr lang="en-US" sz="1000" b="1" u="sng" baseline="0">
              <a:solidFill>
                <a:schemeClr val="tx1"/>
              </a:solidFill>
              <a:latin typeface="Times New Roman" pitchFamily="18" charset="0"/>
              <a:cs typeface="Times New Roman" pitchFamily="18" charset="0"/>
            </a:rPr>
            <a:t> 69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62.xml><?xml version="1.0" encoding="utf-8"?>
<c:userShapes xmlns:c="http://schemas.openxmlformats.org/drawingml/2006/chart">
  <cdr:relSizeAnchor xmlns:cdr="http://schemas.openxmlformats.org/drawingml/2006/chartDrawing">
    <cdr:from>
      <cdr:x>0.16243</cdr:x>
      <cdr:y>0.03472</cdr:y>
    </cdr:from>
    <cdr:to>
      <cdr:x>0.47551</cdr:x>
      <cdr:y>0.10026</cdr:y>
    </cdr:to>
    <cdr:sp macro="" textlink="">
      <cdr:nvSpPr>
        <cdr:cNvPr id="2" name="TextBox 1"/>
        <cdr:cNvSpPr txBox="1"/>
      </cdr:nvSpPr>
      <cdr:spPr>
        <a:xfrm xmlns:a="http://schemas.openxmlformats.org/drawingml/2006/main">
          <a:off x="438152" y="95244"/>
          <a:ext cx="844535" cy="179789"/>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b)</a:t>
          </a:r>
          <a:r>
            <a:rPr lang="en-US" sz="1000" b="1" u="sng" baseline="0">
              <a:solidFill>
                <a:schemeClr val="tx1"/>
              </a:solidFill>
              <a:latin typeface="Times New Roman" pitchFamily="18" charset="0"/>
              <a:cs typeface="Times New Roman" pitchFamily="18" charset="0"/>
            </a:rPr>
            <a:t> 207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63.xml><?xml version="1.0" encoding="utf-8"?>
<c:userShapes xmlns:c="http://schemas.openxmlformats.org/drawingml/2006/chart">
  <cdr:relSizeAnchor xmlns:cdr="http://schemas.openxmlformats.org/drawingml/2006/chartDrawing">
    <cdr:from>
      <cdr:x>0.16243</cdr:x>
      <cdr:y>0.03472</cdr:y>
    </cdr:from>
    <cdr:to>
      <cdr:x>0.47551</cdr:x>
      <cdr:y>0.10026</cdr:y>
    </cdr:to>
    <cdr:sp macro="" textlink="">
      <cdr:nvSpPr>
        <cdr:cNvPr id="2" name="TextBox 1"/>
        <cdr:cNvSpPr txBox="1"/>
      </cdr:nvSpPr>
      <cdr:spPr>
        <a:xfrm xmlns:a="http://schemas.openxmlformats.org/drawingml/2006/main">
          <a:off x="438152" y="95244"/>
          <a:ext cx="844535" cy="179789"/>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c)</a:t>
          </a:r>
          <a:r>
            <a:rPr lang="en-US" sz="1000" b="1" u="sng" baseline="0">
              <a:solidFill>
                <a:schemeClr val="tx1"/>
              </a:solidFill>
              <a:latin typeface="Times New Roman" pitchFamily="18" charset="0"/>
              <a:cs typeface="Times New Roman" pitchFamily="18" charset="0"/>
            </a:rPr>
            <a:t> 345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64.xml><?xml version="1.0" encoding="utf-8"?>
<c:userShapes xmlns:c="http://schemas.openxmlformats.org/drawingml/2006/chart">
  <cdr:relSizeAnchor xmlns:cdr="http://schemas.openxmlformats.org/drawingml/2006/chartDrawing">
    <cdr:from>
      <cdr:x>0.16243</cdr:x>
      <cdr:y>0.03472</cdr:y>
    </cdr:from>
    <cdr:to>
      <cdr:x>0.47551</cdr:x>
      <cdr:y>0.10026</cdr:y>
    </cdr:to>
    <cdr:sp macro="" textlink="">
      <cdr:nvSpPr>
        <cdr:cNvPr id="2" name="TextBox 1"/>
        <cdr:cNvSpPr txBox="1"/>
      </cdr:nvSpPr>
      <cdr:spPr>
        <a:xfrm xmlns:a="http://schemas.openxmlformats.org/drawingml/2006/main">
          <a:off x="438152" y="95244"/>
          <a:ext cx="844535" cy="179789"/>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d)</a:t>
          </a:r>
          <a:r>
            <a:rPr lang="en-US" sz="1000" b="1" u="sng" baseline="0">
              <a:solidFill>
                <a:schemeClr val="tx1"/>
              </a:solidFill>
              <a:latin typeface="Times New Roman" pitchFamily="18" charset="0"/>
              <a:cs typeface="Times New Roman" pitchFamily="18" charset="0"/>
            </a:rPr>
            <a:t> 483 kPa</a:t>
          </a:r>
          <a:endParaRPr lang="en-US" sz="1000" b="1" u="sng">
            <a:solidFill>
              <a:schemeClr val="tx1"/>
            </a:solidFill>
            <a:latin typeface="Times New Roman" pitchFamily="18" charset="0"/>
            <a:cs typeface="Times New Roman" pitchFamily="18" charset="0"/>
          </a:endParaRPr>
        </a:p>
      </cdr:txBody>
    </cdr:sp>
  </cdr:relSizeAnchor>
</c:userShapes>
</file>

<file path=word/drawings/drawing65.xml><?xml version="1.0" encoding="utf-8"?>
<c:userShapes xmlns:c="http://schemas.openxmlformats.org/drawingml/2006/chart">
  <cdr:relSizeAnchor xmlns:cdr="http://schemas.openxmlformats.org/drawingml/2006/chartDrawing">
    <cdr:from>
      <cdr:x>0.17185</cdr:x>
      <cdr:y>0.02735</cdr:y>
    </cdr:from>
    <cdr:to>
      <cdr:x>0.57863</cdr:x>
      <cdr:y>0.10842</cdr:y>
    </cdr:to>
    <cdr:sp macro="" textlink="">
      <cdr:nvSpPr>
        <cdr:cNvPr id="2" name="TextBox 25"/>
        <cdr:cNvSpPr txBox="1"/>
      </cdr:nvSpPr>
      <cdr:spPr>
        <a:xfrm xmlns:a="http://schemas.openxmlformats.org/drawingml/2006/main">
          <a:off x="463550" y="77525"/>
          <a:ext cx="1097281" cy="229804"/>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50" b="1" u="sng">
              <a:latin typeface="Times New Roman" pitchFamily="18" charset="0"/>
              <a:cs typeface="Times New Roman" pitchFamily="18" charset="0"/>
            </a:rPr>
            <a:t>(a)</a:t>
          </a:r>
          <a:r>
            <a:rPr lang="en-US" sz="1050" u="sng">
              <a:latin typeface="Times New Roman" pitchFamily="18" charset="0"/>
              <a:cs typeface="Times New Roman" pitchFamily="18" charset="0"/>
            </a:rPr>
            <a:t> Quartz/BMI</a:t>
          </a:r>
        </a:p>
      </cdr:txBody>
    </cdr:sp>
  </cdr:relSizeAnchor>
</c:userShapes>
</file>

<file path=word/drawings/drawing66.xml><?xml version="1.0" encoding="utf-8"?>
<c:userShapes xmlns:c="http://schemas.openxmlformats.org/drawingml/2006/chart">
  <cdr:relSizeAnchor xmlns:cdr="http://schemas.openxmlformats.org/drawingml/2006/chartDrawing">
    <cdr:from>
      <cdr:x>0.2001</cdr:x>
      <cdr:y>0.03183</cdr:y>
    </cdr:from>
    <cdr:to>
      <cdr:x>0.64078</cdr:x>
      <cdr:y>0.1129</cdr:y>
    </cdr:to>
    <cdr:sp macro="" textlink="">
      <cdr:nvSpPr>
        <cdr:cNvPr id="2" name="TextBox 25"/>
        <cdr:cNvSpPr txBox="1"/>
      </cdr:nvSpPr>
      <cdr:spPr>
        <a:xfrm xmlns:a="http://schemas.openxmlformats.org/drawingml/2006/main">
          <a:off x="539755" y="90225"/>
          <a:ext cx="1188725" cy="22980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50" b="1" u="sng">
              <a:latin typeface="Times New Roman" pitchFamily="18" charset="0"/>
              <a:cs typeface="Times New Roman" pitchFamily="18" charset="0"/>
            </a:rPr>
            <a:t>(b)</a:t>
          </a:r>
          <a:r>
            <a:rPr lang="en-US" sz="1050" u="sng">
              <a:latin typeface="Times New Roman" pitchFamily="18" charset="0"/>
              <a:cs typeface="Times New Roman" pitchFamily="18" charset="0"/>
            </a:rPr>
            <a:t> Quartz/Epoxy</a:t>
          </a:r>
        </a:p>
      </cdr:txBody>
    </cdr:sp>
  </cdr:relSizeAnchor>
</c:userShapes>
</file>

<file path=word/drawings/drawing67.xml><?xml version="1.0" encoding="utf-8"?>
<c:userShapes xmlns:c="http://schemas.openxmlformats.org/drawingml/2006/chart">
  <cdr:relSizeAnchor xmlns:cdr="http://schemas.openxmlformats.org/drawingml/2006/chartDrawing">
    <cdr:from>
      <cdr:x>0.18597</cdr:x>
      <cdr:y>0.04079</cdr:y>
    </cdr:from>
    <cdr:to>
      <cdr:x>0.59275</cdr:x>
      <cdr:y>0.12186</cdr:y>
    </cdr:to>
    <cdr:sp macro="" textlink="">
      <cdr:nvSpPr>
        <cdr:cNvPr id="2" name="TextBox 25"/>
        <cdr:cNvSpPr txBox="1"/>
      </cdr:nvSpPr>
      <cdr:spPr>
        <a:xfrm xmlns:a="http://schemas.openxmlformats.org/drawingml/2006/main">
          <a:off x="501650" y="115636"/>
          <a:ext cx="1097280" cy="229804"/>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50" b="1" u="sng">
              <a:latin typeface="Times New Roman" pitchFamily="18" charset="0"/>
              <a:cs typeface="Times New Roman" pitchFamily="18" charset="0"/>
            </a:rPr>
            <a:t>(a)</a:t>
          </a:r>
          <a:r>
            <a:rPr lang="en-US" sz="1050" u="sng">
              <a:latin typeface="Times New Roman" pitchFamily="18" charset="0"/>
              <a:cs typeface="Times New Roman" pitchFamily="18" charset="0"/>
            </a:rPr>
            <a:t> Quartz/BMI</a:t>
          </a:r>
        </a:p>
      </cdr:txBody>
    </cdr:sp>
  </cdr:relSizeAnchor>
</c:userShapes>
</file>

<file path=word/drawings/drawing68.xml><?xml version="1.0" encoding="utf-8"?>
<c:userShapes xmlns:c="http://schemas.openxmlformats.org/drawingml/2006/chart">
  <cdr:relSizeAnchor xmlns:cdr="http://schemas.openxmlformats.org/drawingml/2006/chartDrawing">
    <cdr:from>
      <cdr:x>0.20245</cdr:x>
      <cdr:y>0.03855</cdr:y>
    </cdr:from>
    <cdr:to>
      <cdr:x>0.64313</cdr:x>
      <cdr:y>0.11962</cdr:y>
    </cdr:to>
    <cdr:sp macro="" textlink="">
      <cdr:nvSpPr>
        <cdr:cNvPr id="2" name="TextBox 25"/>
        <cdr:cNvSpPr txBox="1"/>
      </cdr:nvSpPr>
      <cdr:spPr>
        <a:xfrm xmlns:a="http://schemas.openxmlformats.org/drawingml/2006/main">
          <a:off x="546099" y="109275"/>
          <a:ext cx="1188720" cy="229804"/>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50" b="1" u="sng">
              <a:latin typeface="Times New Roman" pitchFamily="18" charset="0"/>
              <a:cs typeface="Times New Roman" pitchFamily="18" charset="0"/>
            </a:rPr>
            <a:t>(b)</a:t>
          </a:r>
          <a:r>
            <a:rPr lang="en-US" sz="1050" u="sng">
              <a:latin typeface="Times New Roman" pitchFamily="18" charset="0"/>
              <a:cs typeface="Times New Roman" pitchFamily="18" charset="0"/>
            </a:rPr>
            <a:t> Quartz/Epoxy</a:t>
          </a:r>
        </a:p>
      </cdr:txBody>
    </cdr:sp>
  </cdr:relSizeAnchor>
</c:userShapes>
</file>

<file path=word/drawings/drawing69.xml><?xml version="1.0" encoding="utf-8"?>
<c:userShapes xmlns:c="http://schemas.openxmlformats.org/drawingml/2006/chart">
  <cdr:relSizeAnchor xmlns:cdr="http://schemas.openxmlformats.org/drawingml/2006/chartDrawing">
    <cdr:from>
      <cdr:x>0.36317</cdr:x>
      <cdr:y>0.74698</cdr:y>
    </cdr:from>
    <cdr:to>
      <cdr:x>0.53651</cdr:x>
      <cdr:y>0.8125</cdr:y>
    </cdr:to>
    <cdr:grpSp>
      <cdr:nvGrpSpPr>
        <cdr:cNvPr id="7" name="Group 6"/>
        <cdr:cNvGrpSpPr/>
      </cdr:nvGrpSpPr>
      <cdr:grpSpPr>
        <a:xfrm xmlns:a="http://schemas.openxmlformats.org/drawingml/2006/main">
          <a:off x="977343" y="2050052"/>
          <a:ext cx="466484" cy="179816"/>
          <a:chOff x="1234224" y="2049131"/>
          <a:chExt cx="467576" cy="179720"/>
        </a:xfrm>
      </cdr:grpSpPr>
      <cdr:sp macro="" textlink="">
        <cdr:nvSpPr>
          <cdr:cNvPr id="2" name="TextBox 4"/>
          <cdr:cNvSpPr txBox="1"/>
        </cdr:nvSpPr>
        <cdr:spPr>
          <a:xfrm xmlns:a="http://schemas.openxmlformats.org/drawingml/2006/main">
            <a:off x="1234224" y="2049131"/>
            <a:ext cx="411480" cy="17972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4" name="Straight Arrow Connector 3"/>
          <cdr:cNvCxnSpPr/>
        </cdr:nvCxnSpPr>
        <cdr:spPr>
          <a:xfrm xmlns:a="http://schemas.openxmlformats.org/drawingml/2006/main">
            <a:off x="1574800" y="2165351"/>
            <a:ext cx="127000" cy="0"/>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0.17655</cdr:x>
      <cdr:y>0.03704</cdr:y>
    </cdr:from>
    <cdr:to>
      <cdr:x>0.44774</cdr:x>
      <cdr:y>0.10255</cdr:y>
    </cdr:to>
    <cdr:sp macro="" textlink="">
      <cdr:nvSpPr>
        <cdr:cNvPr id="9" name="TextBox 8"/>
        <cdr:cNvSpPr txBox="1"/>
      </cdr:nvSpPr>
      <cdr:spPr>
        <a:xfrm xmlns:a="http://schemas.openxmlformats.org/drawingml/2006/main">
          <a:off x="476250" y="101600"/>
          <a:ext cx="731520" cy="17972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a)</a:t>
          </a:r>
          <a:r>
            <a:rPr lang="en-US" sz="1000" b="1" u="sng" baseline="0">
              <a:solidFill>
                <a:schemeClr val="tx1"/>
              </a:solidFill>
              <a:latin typeface="Times New Roman" pitchFamily="18" charset="0"/>
              <a:cs typeface="Times New Roman" pitchFamily="18" charset="0"/>
            </a:rPr>
            <a:t> 69 kPa</a:t>
          </a:r>
          <a:endParaRPr lang="en-US" sz="1000" b="1" u="sng">
            <a:solidFill>
              <a:schemeClr val="tx1"/>
            </a:solidFill>
            <a:latin typeface="Times New Roman" pitchFamily="18" charset="0"/>
            <a:cs typeface="Times New Roman" pitchFamily="18" charset="0"/>
          </a:endParaRPr>
        </a:p>
      </cdr:txBody>
    </cdr:sp>
  </cdr:relSizeAnchor>
  <cdr:relSizeAnchor xmlns:cdr="http://schemas.openxmlformats.org/drawingml/2006/chartDrawing">
    <cdr:from>
      <cdr:x>0.63709</cdr:x>
      <cdr:y>0.55762</cdr:y>
    </cdr:from>
    <cdr:to>
      <cdr:x>0.94289</cdr:x>
      <cdr:y>0.62314</cdr:y>
    </cdr:to>
    <cdr:sp macro="" textlink="">
      <cdr:nvSpPr>
        <cdr:cNvPr id="10" name="TextBox 9"/>
        <cdr:cNvSpPr txBox="1"/>
      </cdr:nvSpPr>
      <cdr:spPr>
        <a:xfrm xmlns:a="http://schemas.openxmlformats.org/drawingml/2006/main">
          <a:off x="1714500" y="153035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0070C0"/>
              </a:solidFill>
              <a:latin typeface="Times New Roman" pitchFamily="18" charset="0"/>
              <a:cs typeface="Times New Roman" pitchFamily="18" charset="0"/>
            </a:rPr>
            <a:t>M</a:t>
          </a:r>
          <a:r>
            <a:rPr lang="en-US" sz="800" b="1" baseline="-25000">
              <a:solidFill>
                <a:srgbClr val="0070C0"/>
              </a:solidFill>
              <a:latin typeface="Times New Roman" pitchFamily="18" charset="0"/>
              <a:cs typeface="Times New Roman" pitchFamily="18" charset="0"/>
            </a:rPr>
            <a:t>2% </a:t>
          </a:r>
          <a:r>
            <a:rPr lang="en-US" sz="800" b="1">
              <a:solidFill>
                <a:srgbClr val="0070C0"/>
              </a:solidFill>
              <a:latin typeface="Times New Roman" pitchFamily="18" charset="0"/>
              <a:cs typeface="Times New Roman" pitchFamily="18" charset="0"/>
            </a:rPr>
            <a:t>= 3.31%</a:t>
          </a:r>
        </a:p>
      </cdr:txBody>
    </cdr:sp>
  </cdr:relSizeAnchor>
  <cdr:relSizeAnchor xmlns:cdr="http://schemas.openxmlformats.org/drawingml/2006/chartDrawing">
    <cdr:from>
      <cdr:x>0.63709</cdr:x>
      <cdr:y>0.30079</cdr:y>
    </cdr:from>
    <cdr:to>
      <cdr:x>0.94289</cdr:x>
      <cdr:y>0.36631</cdr:y>
    </cdr:to>
    <cdr:sp macro="" textlink="">
      <cdr:nvSpPr>
        <cdr:cNvPr id="11" name="TextBox 10"/>
        <cdr:cNvSpPr txBox="1"/>
      </cdr:nvSpPr>
      <cdr:spPr>
        <a:xfrm xmlns:a="http://schemas.openxmlformats.org/drawingml/2006/main">
          <a:off x="1714500" y="82550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C00000"/>
              </a:solidFill>
              <a:latin typeface="Times New Roman" pitchFamily="18" charset="0"/>
              <a:cs typeface="Times New Roman" pitchFamily="18" charset="0"/>
            </a:rPr>
            <a:t>M</a:t>
          </a:r>
          <a:r>
            <a:rPr lang="en-US" sz="800" b="1" baseline="-25000">
              <a:solidFill>
                <a:srgbClr val="C00000"/>
              </a:solidFill>
              <a:latin typeface="Times New Roman" pitchFamily="18" charset="0"/>
              <a:cs typeface="Times New Roman" pitchFamily="18" charset="0"/>
            </a:rPr>
            <a:t>40% </a:t>
          </a:r>
          <a:r>
            <a:rPr lang="en-US" sz="800" b="1">
              <a:solidFill>
                <a:srgbClr val="C00000"/>
              </a:solidFill>
              <a:latin typeface="Times New Roman" pitchFamily="18" charset="0"/>
              <a:cs typeface="Times New Roman" pitchFamily="18" charset="0"/>
            </a:rPr>
            <a:t>= 6.82%</a:t>
          </a:r>
        </a:p>
      </cdr:txBody>
    </cdr:sp>
  </cdr:relSizeAnchor>
  <cdr:relSizeAnchor xmlns:cdr="http://schemas.openxmlformats.org/drawingml/2006/chartDrawing">
    <cdr:from>
      <cdr:x>0.63709</cdr:x>
      <cdr:y>0.20361</cdr:y>
    </cdr:from>
    <cdr:to>
      <cdr:x>0.94289</cdr:x>
      <cdr:y>0.26913</cdr:y>
    </cdr:to>
    <cdr:sp macro="" textlink="">
      <cdr:nvSpPr>
        <cdr:cNvPr id="12" name="TextBox 11"/>
        <cdr:cNvSpPr txBox="1"/>
      </cdr:nvSpPr>
      <cdr:spPr>
        <a:xfrm xmlns:a="http://schemas.openxmlformats.org/drawingml/2006/main">
          <a:off x="1714500" y="55880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7030A0"/>
              </a:solidFill>
              <a:latin typeface="Times New Roman" pitchFamily="18" charset="0"/>
              <a:cs typeface="Times New Roman" pitchFamily="18" charset="0"/>
            </a:rPr>
            <a:t>M</a:t>
          </a:r>
          <a:r>
            <a:rPr lang="en-US" sz="800" b="1" baseline="-25000">
              <a:solidFill>
                <a:srgbClr val="7030A0"/>
              </a:solidFill>
              <a:latin typeface="Times New Roman" pitchFamily="18" charset="0"/>
              <a:cs typeface="Times New Roman" pitchFamily="18" charset="0"/>
            </a:rPr>
            <a:t>99% </a:t>
          </a:r>
          <a:r>
            <a:rPr lang="en-US" sz="800" b="1">
              <a:solidFill>
                <a:srgbClr val="7030A0"/>
              </a:solidFill>
              <a:latin typeface="Times New Roman" pitchFamily="18" charset="0"/>
              <a:cs typeface="Times New Roman" pitchFamily="18" charset="0"/>
            </a:rPr>
            <a:t>= 8.18%</a:t>
          </a:r>
        </a:p>
      </cdr:txBody>
    </cdr:sp>
  </cdr:relSizeAnchor>
  <cdr:relSizeAnchor xmlns:cdr="http://schemas.openxmlformats.org/drawingml/2006/chartDrawing">
    <cdr:from>
      <cdr:x>0.63709</cdr:x>
      <cdr:y>0.14808</cdr:y>
    </cdr:from>
    <cdr:to>
      <cdr:x>0.94289</cdr:x>
      <cdr:y>0.2136</cdr:y>
    </cdr:to>
    <cdr:sp macro="" textlink="">
      <cdr:nvSpPr>
        <cdr:cNvPr id="13" name="TextBox 12"/>
        <cdr:cNvSpPr txBox="1"/>
      </cdr:nvSpPr>
      <cdr:spPr>
        <a:xfrm xmlns:a="http://schemas.openxmlformats.org/drawingml/2006/main">
          <a:off x="1714500" y="40640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00B050"/>
              </a:solidFill>
              <a:latin typeface="Times New Roman" pitchFamily="18" charset="0"/>
              <a:cs typeface="Times New Roman" pitchFamily="18" charset="0"/>
            </a:rPr>
            <a:t>M</a:t>
          </a:r>
          <a:r>
            <a:rPr lang="en-US" sz="800" b="1" baseline="-25000">
              <a:solidFill>
                <a:srgbClr val="00B050"/>
              </a:solidFill>
              <a:latin typeface="Times New Roman" pitchFamily="18" charset="0"/>
              <a:cs typeface="Times New Roman" pitchFamily="18" charset="0"/>
            </a:rPr>
            <a:t>70% </a:t>
          </a:r>
          <a:r>
            <a:rPr lang="en-US" sz="800" b="1">
              <a:solidFill>
                <a:srgbClr val="00B050"/>
              </a:solidFill>
              <a:latin typeface="Times New Roman" pitchFamily="18" charset="0"/>
              <a:cs typeface="Times New Roman" pitchFamily="18" charset="0"/>
            </a:rPr>
            <a:t>= 8.85%</a:t>
          </a:r>
        </a:p>
      </cdr:txBody>
    </cdr:sp>
  </cdr:relSizeAnchor>
</c:userShapes>
</file>

<file path=word/drawings/drawing70.xml><?xml version="1.0" encoding="utf-8"?>
<c:userShapes xmlns:c="http://schemas.openxmlformats.org/drawingml/2006/chart">
  <cdr:relSizeAnchor xmlns:cdr="http://schemas.openxmlformats.org/drawingml/2006/chartDrawing">
    <cdr:from>
      <cdr:x>0.36361</cdr:x>
      <cdr:y>0.74929</cdr:y>
    </cdr:from>
    <cdr:to>
      <cdr:x>0.53694</cdr:x>
      <cdr:y>0.8148</cdr:y>
    </cdr:to>
    <cdr:grpSp>
      <cdr:nvGrpSpPr>
        <cdr:cNvPr id="7" name="Group 6"/>
        <cdr:cNvGrpSpPr/>
      </cdr:nvGrpSpPr>
      <cdr:grpSpPr>
        <a:xfrm xmlns:a="http://schemas.openxmlformats.org/drawingml/2006/main">
          <a:off x="983135" y="2056391"/>
          <a:ext cx="468652" cy="179789"/>
          <a:chOff x="1234224" y="2049131"/>
          <a:chExt cx="467584" cy="179720"/>
        </a:xfrm>
      </cdr:grpSpPr>
      <cdr:sp macro="" textlink="">
        <cdr:nvSpPr>
          <cdr:cNvPr id="2" name="TextBox 4"/>
          <cdr:cNvSpPr txBox="1"/>
        </cdr:nvSpPr>
        <cdr:spPr>
          <a:xfrm xmlns:a="http://schemas.openxmlformats.org/drawingml/2006/main">
            <a:off x="1234224" y="2049131"/>
            <a:ext cx="411480" cy="17972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4" name="Straight Arrow Connector 3"/>
          <cdr:cNvCxnSpPr/>
        </cdr:nvCxnSpPr>
        <cdr:spPr>
          <a:xfrm xmlns:a="http://schemas.openxmlformats.org/drawingml/2006/main" flipV="1">
            <a:off x="1574800" y="2158998"/>
            <a:ext cx="127008" cy="5"/>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0.17655</cdr:x>
      <cdr:y>0.03704</cdr:y>
    </cdr:from>
    <cdr:to>
      <cdr:x>0.48163</cdr:x>
      <cdr:y>0.10255</cdr:y>
    </cdr:to>
    <cdr:sp macro="" textlink="">
      <cdr:nvSpPr>
        <cdr:cNvPr id="9" name="TextBox 8"/>
        <cdr:cNvSpPr txBox="1"/>
      </cdr:nvSpPr>
      <cdr:spPr>
        <a:xfrm xmlns:a="http://schemas.openxmlformats.org/drawingml/2006/main">
          <a:off x="476240" y="101608"/>
          <a:ext cx="822960" cy="179707"/>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b)</a:t>
          </a:r>
          <a:r>
            <a:rPr lang="en-US" sz="1000" b="1" u="sng" baseline="0">
              <a:solidFill>
                <a:schemeClr val="tx1"/>
              </a:solidFill>
              <a:latin typeface="Times New Roman" pitchFamily="18" charset="0"/>
              <a:cs typeface="Times New Roman" pitchFamily="18" charset="0"/>
            </a:rPr>
            <a:t> 207 kPa</a:t>
          </a:r>
          <a:endParaRPr lang="en-US" sz="1000" b="1" u="sng">
            <a:solidFill>
              <a:schemeClr val="tx1"/>
            </a:solidFill>
            <a:latin typeface="Times New Roman" pitchFamily="18" charset="0"/>
            <a:cs typeface="Times New Roman" pitchFamily="18" charset="0"/>
          </a:endParaRPr>
        </a:p>
      </cdr:txBody>
    </cdr:sp>
  </cdr:relSizeAnchor>
  <cdr:relSizeAnchor xmlns:cdr="http://schemas.openxmlformats.org/drawingml/2006/chartDrawing">
    <cdr:from>
      <cdr:x>0.64585</cdr:x>
      <cdr:y>0.64091</cdr:y>
    </cdr:from>
    <cdr:to>
      <cdr:x>0.95022</cdr:x>
      <cdr:y>0.70643</cdr:y>
    </cdr:to>
    <cdr:sp macro="" textlink="">
      <cdr:nvSpPr>
        <cdr:cNvPr id="10" name="TextBox 9"/>
        <cdr:cNvSpPr txBox="1"/>
      </cdr:nvSpPr>
      <cdr:spPr>
        <a:xfrm xmlns:a="http://schemas.openxmlformats.org/drawingml/2006/main">
          <a:off x="1746250" y="175895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0070C0"/>
              </a:solidFill>
              <a:latin typeface="Times New Roman" pitchFamily="18" charset="0"/>
              <a:cs typeface="Times New Roman" pitchFamily="18" charset="0"/>
            </a:rPr>
            <a:t>M</a:t>
          </a:r>
          <a:r>
            <a:rPr lang="en-US" sz="800" b="1" baseline="-25000">
              <a:solidFill>
                <a:srgbClr val="0070C0"/>
              </a:solidFill>
              <a:latin typeface="Times New Roman" pitchFamily="18" charset="0"/>
              <a:cs typeface="Times New Roman" pitchFamily="18" charset="0"/>
            </a:rPr>
            <a:t>2% </a:t>
          </a:r>
          <a:r>
            <a:rPr lang="en-US" sz="800" b="1">
              <a:solidFill>
                <a:srgbClr val="0070C0"/>
              </a:solidFill>
              <a:latin typeface="Times New Roman" pitchFamily="18" charset="0"/>
              <a:cs typeface="Times New Roman" pitchFamily="18" charset="0"/>
            </a:rPr>
            <a:t>= 2.13%</a:t>
          </a:r>
        </a:p>
      </cdr:txBody>
    </cdr:sp>
  </cdr:relSizeAnchor>
  <cdr:relSizeAnchor xmlns:cdr="http://schemas.openxmlformats.org/drawingml/2006/chartDrawing">
    <cdr:from>
      <cdr:x>0.64585</cdr:x>
      <cdr:y>0.58769</cdr:y>
    </cdr:from>
    <cdr:to>
      <cdr:x>0.95022</cdr:x>
      <cdr:y>0.65321</cdr:y>
    </cdr:to>
    <cdr:sp macro="" textlink="">
      <cdr:nvSpPr>
        <cdr:cNvPr id="11" name="TextBox 10"/>
        <cdr:cNvSpPr txBox="1"/>
      </cdr:nvSpPr>
      <cdr:spPr>
        <a:xfrm xmlns:a="http://schemas.openxmlformats.org/drawingml/2006/main">
          <a:off x="1746250" y="161290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C00000"/>
              </a:solidFill>
              <a:latin typeface="Times New Roman" pitchFamily="18" charset="0"/>
              <a:cs typeface="Times New Roman" pitchFamily="18" charset="0"/>
            </a:rPr>
            <a:t>M</a:t>
          </a:r>
          <a:r>
            <a:rPr lang="en-US" sz="800" b="1" baseline="-25000">
              <a:solidFill>
                <a:srgbClr val="C00000"/>
              </a:solidFill>
              <a:latin typeface="Times New Roman" pitchFamily="18" charset="0"/>
              <a:cs typeface="Times New Roman" pitchFamily="18" charset="0"/>
            </a:rPr>
            <a:t>40% </a:t>
          </a:r>
          <a:r>
            <a:rPr lang="en-US" sz="800" b="1">
              <a:solidFill>
                <a:srgbClr val="C00000"/>
              </a:solidFill>
              <a:latin typeface="Times New Roman" pitchFamily="18" charset="0"/>
              <a:cs typeface="Times New Roman" pitchFamily="18" charset="0"/>
            </a:rPr>
            <a:t>= 2.89%</a:t>
          </a:r>
        </a:p>
      </cdr:txBody>
    </cdr:sp>
  </cdr:relSizeAnchor>
  <cdr:relSizeAnchor xmlns:cdr="http://schemas.openxmlformats.org/drawingml/2006/chartDrawing">
    <cdr:from>
      <cdr:x>0.64585</cdr:x>
      <cdr:y>0.41648</cdr:y>
    </cdr:from>
    <cdr:to>
      <cdr:x>0.95022</cdr:x>
      <cdr:y>0.482</cdr:y>
    </cdr:to>
    <cdr:sp macro="" textlink="">
      <cdr:nvSpPr>
        <cdr:cNvPr id="12" name="TextBox 11"/>
        <cdr:cNvSpPr txBox="1"/>
      </cdr:nvSpPr>
      <cdr:spPr>
        <a:xfrm xmlns:a="http://schemas.openxmlformats.org/drawingml/2006/main">
          <a:off x="1746250" y="114300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7030A0"/>
              </a:solidFill>
              <a:latin typeface="Times New Roman" pitchFamily="18" charset="0"/>
              <a:cs typeface="Times New Roman" pitchFamily="18" charset="0"/>
            </a:rPr>
            <a:t>M</a:t>
          </a:r>
          <a:r>
            <a:rPr lang="en-US" sz="800" b="1" baseline="-25000">
              <a:solidFill>
                <a:srgbClr val="7030A0"/>
              </a:solidFill>
              <a:latin typeface="Times New Roman" pitchFamily="18" charset="0"/>
              <a:cs typeface="Times New Roman" pitchFamily="18" charset="0"/>
            </a:rPr>
            <a:t>99% </a:t>
          </a:r>
          <a:r>
            <a:rPr lang="en-US" sz="800" b="1">
              <a:solidFill>
                <a:srgbClr val="7030A0"/>
              </a:solidFill>
              <a:latin typeface="Times New Roman" pitchFamily="18" charset="0"/>
              <a:cs typeface="Times New Roman" pitchFamily="18" charset="0"/>
            </a:rPr>
            <a:t>= 5.28%</a:t>
          </a:r>
        </a:p>
      </cdr:txBody>
    </cdr:sp>
  </cdr:relSizeAnchor>
  <cdr:relSizeAnchor xmlns:cdr="http://schemas.openxmlformats.org/drawingml/2006/chartDrawing">
    <cdr:from>
      <cdr:x>0.64585</cdr:x>
      <cdr:y>0.36557</cdr:y>
    </cdr:from>
    <cdr:to>
      <cdr:x>0.95022</cdr:x>
      <cdr:y>0.43109</cdr:y>
    </cdr:to>
    <cdr:sp macro="" textlink="">
      <cdr:nvSpPr>
        <cdr:cNvPr id="13" name="TextBox 12"/>
        <cdr:cNvSpPr txBox="1"/>
      </cdr:nvSpPr>
      <cdr:spPr>
        <a:xfrm xmlns:a="http://schemas.openxmlformats.org/drawingml/2006/main">
          <a:off x="1746250" y="100330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00B050"/>
              </a:solidFill>
              <a:latin typeface="Times New Roman" pitchFamily="18" charset="0"/>
              <a:cs typeface="Times New Roman" pitchFamily="18" charset="0"/>
            </a:rPr>
            <a:t>M</a:t>
          </a:r>
          <a:r>
            <a:rPr lang="en-US" sz="800" b="1" baseline="-25000">
              <a:solidFill>
                <a:srgbClr val="00B050"/>
              </a:solidFill>
              <a:latin typeface="Times New Roman" pitchFamily="18" charset="0"/>
              <a:cs typeface="Times New Roman" pitchFamily="18" charset="0"/>
            </a:rPr>
            <a:t>70% </a:t>
          </a:r>
          <a:r>
            <a:rPr lang="en-US" sz="800" b="1">
              <a:solidFill>
                <a:srgbClr val="00B050"/>
              </a:solidFill>
              <a:latin typeface="Times New Roman" pitchFamily="18" charset="0"/>
              <a:cs typeface="Times New Roman" pitchFamily="18" charset="0"/>
            </a:rPr>
            <a:t>= 5.94%</a:t>
          </a:r>
        </a:p>
      </cdr:txBody>
    </cdr:sp>
  </cdr:relSizeAnchor>
</c:userShapes>
</file>

<file path=word/drawings/drawing71.xml><?xml version="1.0" encoding="utf-8"?>
<c:userShapes xmlns:c="http://schemas.openxmlformats.org/drawingml/2006/chart">
  <cdr:relSizeAnchor xmlns:cdr="http://schemas.openxmlformats.org/drawingml/2006/chartDrawing">
    <cdr:from>
      <cdr:x>0.36789</cdr:x>
      <cdr:y>0.75425</cdr:y>
    </cdr:from>
    <cdr:to>
      <cdr:x>0.54122</cdr:x>
      <cdr:y>0.81976</cdr:y>
    </cdr:to>
    <cdr:grpSp>
      <cdr:nvGrpSpPr>
        <cdr:cNvPr id="7" name="Group 6"/>
        <cdr:cNvGrpSpPr/>
      </cdr:nvGrpSpPr>
      <cdr:grpSpPr>
        <a:xfrm xmlns:a="http://schemas.openxmlformats.org/drawingml/2006/main">
          <a:off x="990046" y="2068114"/>
          <a:ext cx="466456" cy="179624"/>
          <a:chOff x="1234224" y="2049131"/>
          <a:chExt cx="467584" cy="179720"/>
        </a:xfrm>
      </cdr:grpSpPr>
      <cdr:sp macro="" textlink="">
        <cdr:nvSpPr>
          <cdr:cNvPr id="2" name="TextBox 4"/>
          <cdr:cNvSpPr txBox="1"/>
        </cdr:nvSpPr>
        <cdr:spPr>
          <a:xfrm xmlns:a="http://schemas.openxmlformats.org/drawingml/2006/main">
            <a:off x="1234224" y="2049131"/>
            <a:ext cx="411480" cy="17972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4" name="Straight Arrow Connector 3"/>
          <cdr:cNvCxnSpPr/>
        </cdr:nvCxnSpPr>
        <cdr:spPr>
          <a:xfrm xmlns:a="http://schemas.openxmlformats.org/drawingml/2006/main" flipV="1">
            <a:off x="1574800" y="2158998"/>
            <a:ext cx="127008" cy="5"/>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0.17655</cdr:x>
      <cdr:y>0.03704</cdr:y>
    </cdr:from>
    <cdr:to>
      <cdr:x>0.48163</cdr:x>
      <cdr:y>0.10255</cdr:y>
    </cdr:to>
    <cdr:sp macro="" textlink="">
      <cdr:nvSpPr>
        <cdr:cNvPr id="9" name="TextBox 8"/>
        <cdr:cNvSpPr txBox="1"/>
      </cdr:nvSpPr>
      <cdr:spPr>
        <a:xfrm xmlns:a="http://schemas.openxmlformats.org/drawingml/2006/main">
          <a:off x="476240" y="101608"/>
          <a:ext cx="822960" cy="179707"/>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c)</a:t>
          </a:r>
          <a:r>
            <a:rPr lang="en-US" sz="1000" b="1" u="sng" baseline="0">
              <a:solidFill>
                <a:schemeClr val="tx1"/>
              </a:solidFill>
              <a:latin typeface="Times New Roman" pitchFamily="18" charset="0"/>
              <a:cs typeface="Times New Roman" pitchFamily="18" charset="0"/>
            </a:rPr>
            <a:t> 345 kPa</a:t>
          </a:r>
          <a:endParaRPr lang="en-US" sz="1000" b="1" u="sng">
            <a:solidFill>
              <a:schemeClr val="tx1"/>
            </a:solidFill>
            <a:latin typeface="Times New Roman" pitchFamily="18" charset="0"/>
            <a:cs typeface="Times New Roman" pitchFamily="18" charset="0"/>
          </a:endParaRPr>
        </a:p>
      </cdr:txBody>
    </cdr:sp>
  </cdr:relSizeAnchor>
  <cdr:relSizeAnchor xmlns:cdr="http://schemas.openxmlformats.org/drawingml/2006/chartDrawing">
    <cdr:from>
      <cdr:x>0.64181</cdr:x>
      <cdr:y>0.68087</cdr:y>
    </cdr:from>
    <cdr:to>
      <cdr:x>0.94761</cdr:x>
      <cdr:y>0.74645</cdr:y>
    </cdr:to>
    <cdr:sp macro="" textlink="">
      <cdr:nvSpPr>
        <cdr:cNvPr id="10" name="TextBox 9"/>
        <cdr:cNvSpPr txBox="1"/>
      </cdr:nvSpPr>
      <cdr:spPr>
        <a:xfrm xmlns:a="http://schemas.openxmlformats.org/drawingml/2006/main">
          <a:off x="1727200" y="186690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0070C0"/>
              </a:solidFill>
              <a:latin typeface="Times New Roman" pitchFamily="18" charset="0"/>
              <a:cs typeface="Times New Roman" pitchFamily="18" charset="0"/>
            </a:rPr>
            <a:t>M</a:t>
          </a:r>
          <a:r>
            <a:rPr lang="en-US" sz="800" b="1" baseline="-25000">
              <a:solidFill>
                <a:srgbClr val="0070C0"/>
              </a:solidFill>
              <a:latin typeface="Times New Roman" pitchFamily="18" charset="0"/>
              <a:cs typeface="Times New Roman" pitchFamily="18" charset="0"/>
            </a:rPr>
            <a:t>2% </a:t>
          </a:r>
          <a:r>
            <a:rPr lang="en-US" sz="800" b="1">
              <a:solidFill>
                <a:srgbClr val="0070C0"/>
              </a:solidFill>
              <a:latin typeface="Times New Roman" pitchFamily="18" charset="0"/>
              <a:cs typeface="Times New Roman" pitchFamily="18" charset="0"/>
            </a:rPr>
            <a:t>= 1.58%</a:t>
          </a:r>
        </a:p>
      </cdr:txBody>
    </cdr:sp>
  </cdr:relSizeAnchor>
  <cdr:relSizeAnchor xmlns:cdr="http://schemas.openxmlformats.org/drawingml/2006/chartDrawing">
    <cdr:from>
      <cdr:x>0.64181</cdr:x>
      <cdr:y>0.58128</cdr:y>
    </cdr:from>
    <cdr:to>
      <cdr:x>0.94761</cdr:x>
      <cdr:y>0.64686</cdr:y>
    </cdr:to>
    <cdr:sp macro="" textlink="">
      <cdr:nvSpPr>
        <cdr:cNvPr id="11" name="TextBox 10"/>
        <cdr:cNvSpPr txBox="1"/>
      </cdr:nvSpPr>
      <cdr:spPr>
        <a:xfrm xmlns:a="http://schemas.openxmlformats.org/drawingml/2006/main">
          <a:off x="1727200" y="159385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C00000"/>
              </a:solidFill>
              <a:latin typeface="Times New Roman" pitchFamily="18" charset="0"/>
              <a:cs typeface="Times New Roman" pitchFamily="18" charset="0"/>
            </a:rPr>
            <a:t>M</a:t>
          </a:r>
          <a:r>
            <a:rPr lang="en-US" sz="800" b="1" baseline="-25000">
              <a:solidFill>
                <a:srgbClr val="C00000"/>
              </a:solidFill>
              <a:latin typeface="Times New Roman" pitchFamily="18" charset="0"/>
              <a:cs typeface="Times New Roman" pitchFamily="18" charset="0"/>
            </a:rPr>
            <a:t>40% </a:t>
          </a:r>
          <a:r>
            <a:rPr lang="en-US" sz="800" b="1">
              <a:solidFill>
                <a:srgbClr val="C00000"/>
              </a:solidFill>
              <a:latin typeface="Times New Roman" pitchFamily="18" charset="0"/>
              <a:cs typeface="Times New Roman" pitchFamily="18" charset="0"/>
            </a:rPr>
            <a:t>= 3.01%</a:t>
          </a:r>
        </a:p>
      </cdr:txBody>
    </cdr:sp>
  </cdr:relSizeAnchor>
  <cdr:relSizeAnchor xmlns:cdr="http://schemas.openxmlformats.org/drawingml/2006/chartDrawing">
    <cdr:from>
      <cdr:x>0.64181</cdr:x>
      <cdr:y>0.48402</cdr:y>
    </cdr:from>
    <cdr:to>
      <cdr:x>0.94761</cdr:x>
      <cdr:y>0.5496</cdr:y>
    </cdr:to>
    <cdr:sp macro="" textlink="">
      <cdr:nvSpPr>
        <cdr:cNvPr id="12" name="TextBox 11"/>
        <cdr:cNvSpPr txBox="1"/>
      </cdr:nvSpPr>
      <cdr:spPr>
        <a:xfrm xmlns:a="http://schemas.openxmlformats.org/drawingml/2006/main">
          <a:off x="1727200" y="132715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7030A0"/>
              </a:solidFill>
              <a:latin typeface="Times New Roman" pitchFamily="18" charset="0"/>
              <a:cs typeface="Times New Roman" pitchFamily="18" charset="0"/>
            </a:rPr>
            <a:t>M</a:t>
          </a:r>
          <a:r>
            <a:rPr lang="en-US" sz="800" b="1" baseline="-25000">
              <a:solidFill>
                <a:srgbClr val="7030A0"/>
              </a:solidFill>
              <a:latin typeface="Times New Roman" pitchFamily="18" charset="0"/>
              <a:cs typeface="Times New Roman" pitchFamily="18" charset="0"/>
            </a:rPr>
            <a:t>99% </a:t>
          </a:r>
          <a:r>
            <a:rPr lang="en-US" sz="800" b="1">
              <a:solidFill>
                <a:srgbClr val="7030A0"/>
              </a:solidFill>
              <a:latin typeface="Times New Roman" pitchFamily="18" charset="0"/>
              <a:cs typeface="Times New Roman" pitchFamily="18" charset="0"/>
            </a:rPr>
            <a:t>= 4.57%</a:t>
          </a:r>
        </a:p>
      </cdr:txBody>
    </cdr:sp>
  </cdr:relSizeAnchor>
  <cdr:relSizeAnchor xmlns:cdr="http://schemas.openxmlformats.org/drawingml/2006/chartDrawing">
    <cdr:from>
      <cdr:x>0.64181</cdr:x>
      <cdr:y>0.43075</cdr:y>
    </cdr:from>
    <cdr:to>
      <cdr:x>0.94761</cdr:x>
      <cdr:y>0.49633</cdr:y>
    </cdr:to>
    <cdr:sp macro="" textlink="">
      <cdr:nvSpPr>
        <cdr:cNvPr id="13" name="TextBox 12"/>
        <cdr:cNvSpPr txBox="1"/>
      </cdr:nvSpPr>
      <cdr:spPr>
        <a:xfrm xmlns:a="http://schemas.openxmlformats.org/drawingml/2006/main">
          <a:off x="1727200" y="118110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00B050"/>
              </a:solidFill>
              <a:latin typeface="Times New Roman" pitchFamily="18" charset="0"/>
              <a:cs typeface="Times New Roman" pitchFamily="18" charset="0"/>
            </a:rPr>
            <a:t>M</a:t>
          </a:r>
          <a:r>
            <a:rPr lang="en-US" sz="800" b="1" baseline="-25000">
              <a:solidFill>
                <a:srgbClr val="00B050"/>
              </a:solidFill>
              <a:latin typeface="Times New Roman" pitchFamily="18" charset="0"/>
              <a:cs typeface="Times New Roman" pitchFamily="18" charset="0"/>
            </a:rPr>
            <a:t>70% </a:t>
          </a:r>
          <a:r>
            <a:rPr lang="en-US" sz="800" b="1">
              <a:solidFill>
                <a:srgbClr val="00B050"/>
              </a:solidFill>
              <a:latin typeface="Times New Roman" pitchFamily="18" charset="0"/>
              <a:cs typeface="Times New Roman" pitchFamily="18" charset="0"/>
            </a:rPr>
            <a:t>= 4.82%</a:t>
          </a:r>
        </a:p>
      </cdr:txBody>
    </cdr:sp>
  </cdr:relSizeAnchor>
</c:userShapes>
</file>

<file path=word/drawings/drawing72.xml><?xml version="1.0" encoding="utf-8"?>
<c:userShapes xmlns:c="http://schemas.openxmlformats.org/drawingml/2006/chart">
  <cdr:relSizeAnchor xmlns:cdr="http://schemas.openxmlformats.org/drawingml/2006/chartDrawing">
    <cdr:from>
      <cdr:x>0.54486</cdr:x>
      <cdr:y>0.75425</cdr:y>
    </cdr:from>
    <cdr:to>
      <cdr:x>0.71342</cdr:x>
      <cdr:y>0.81976</cdr:y>
    </cdr:to>
    <cdr:grpSp>
      <cdr:nvGrpSpPr>
        <cdr:cNvPr id="7" name="Group 6"/>
        <cdr:cNvGrpSpPr/>
      </cdr:nvGrpSpPr>
      <cdr:grpSpPr>
        <a:xfrm xmlns:a="http://schemas.openxmlformats.org/drawingml/2006/main">
          <a:off x="1473202" y="2068114"/>
          <a:ext cx="455755" cy="179624"/>
          <a:chOff x="1190975" y="2049131"/>
          <a:chExt cx="454729" cy="179720"/>
        </a:xfrm>
      </cdr:grpSpPr>
      <cdr:sp macro="" textlink="">
        <cdr:nvSpPr>
          <cdr:cNvPr id="2" name="TextBox 4"/>
          <cdr:cNvSpPr txBox="1"/>
        </cdr:nvSpPr>
        <cdr:spPr>
          <a:xfrm xmlns:a="http://schemas.openxmlformats.org/drawingml/2006/main">
            <a:off x="1234224" y="2049131"/>
            <a:ext cx="411480" cy="17972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4" name="Straight Arrow Connector 3"/>
          <cdr:cNvCxnSpPr/>
        </cdr:nvCxnSpPr>
        <cdr:spPr>
          <a:xfrm xmlns:a="http://schemas.openxmlformats.org/drawingml/2006/main" flipH="1">
            <a:off x="1190975" y="2151697"/>
            <a:ext cx="127724" cy="0"/>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0.17655</cdr:x>
      <cdr:y>0.03704</cdr:y>
    </cdr:from>
    <cdr:to>
      <cdr:x>0.48163</cdr:x>
      <cdr:y>0.10255</cdr:y>
    </cdr:to>
    <cdr:sp macro="" textlink="">
      <cdr:nvSpPr>
        <cdr:cNvPr id="9" name="TextBox 8"/>
        <cdr:cNvSpPr txBox="1"/>
      </cdr:nvSpPr>
      <cdr:spPr>
        <a:xfrm xmlns:a="http://schemas.openxmlformats.org/drawingml/2006/main">
          <a:off x="476240" y="101608"/>
          <a:ext cx="822960" cy="179707"/>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d)</a:t>
          </a:r>
          <a:r>
            <a:rPr lang="en-US" sz="1000" b="1" u="sng" baseline="0">
              <a:solidFill>
                <a:schemeClr val="tx1"/>
              </a:solidFill>
              <a:latin typeface="Times New Roman" pitchFamily="18" charset="0"/>
              <a:cs typeface="Times New Roman" pitchFamily="18" charset="0"/>
            </a:rPr>
            <a:t> 483 kPa</a:t>
          </a:r>
          <a:endParaRPr lang="en-US" sz="1000" b="1" u="sng">
            <a:solidFill>
              <a:schemeClr val="tx1"/>
            </a:solidFill>
            <a:latin typeface="Times New Roman" pitchFamily="18" charset="0"/>
            <a:cs typeface="Times New Roman" pitchFamily="18" charset="0"/>
          </a:endParaRPr>
        </a:p>
      </cdr:txBody>
    </cdr:sp>
  </cdr:relSizeAnchor>
  <cdr:relSizeAnchor xmlns:cdr="http://schemas.openxmlformats.org/drawingml/2006/chartDrawing">
    <cdr:from>
      <cdr:x>0.64115</cdr:x>
      <cdr:y>0.69245</cdr:y>
    </cdr:from>
    <cdr:to>
      <cdr:x>0.94552</cdr:x>
      <cdr:y>0.75803</cdr:y>
    </cdr:to>
    <cdr:sp macro="" textlink="">
      <cdr:nvSpPr>
        <cdr:cNvPr id="10" name="TextBox 9"/>
        <cdr:cNvSpPr txBox="1"/>
      </cdr:nvSpPr>
      <cdr:spPr>
        <a:xfrm xmlns:a="http://schemas.openxmlformats.org/drawingml/2006/main">
          <a:off x="1733550" y="189865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0070C0"/>
              </a:solidFill>
              <a:latin typeface="Times New Roman" pitchFamily="18" charset="0"/>
              <a:cs typeface="Times New Roman" pitchFamily="18" charset="0"/>
            </a:rPr>
            <a:t>M</a:t>
          </a:r>
          <a:r>
            <a:rPr lang="en-US" sz="800" b="1" baseline="-25000">
              <a:solidFill>
                <a:srgbClr val="0070C0"/>
              </a:solidFill>
              <a:latin typeface="Times New Roman" pitchFamily="18" charset="0"/>
              <a:cs typeface="Times New Roman" pitchFamily="18" charset="0"/>
            </a:rPr>
            <a:t>2% </a:t>
          </a:r>
          <a:r>
            <a:rPr lang="en-US" sz="800" b="1">
              <a:solidFill>
                <a:srgbClr val="0070C0"/>
              </a:solidFill>
              <a:latin typeface="Times New Roman" pitchFamily="18" charset="0"/>
              <a:cs typeface="Times New Roman" pitchFamily="18" charset="0"/>
            </a:rPr>
            <a:t>= 1.41%</a:t>
          </a:r>
        </a:p>
      </cdr:txBody>
    </cdr:sp>
  </cdr:relSizeAnchor>
  <cdr:relSizeAnchor xmlns:cdr="http://schemas.openxmlformats.org/drawingml/2006/chartDrawing">
    <cdr:from>
      <cdr:x>0.64115</cdr:x>
      <cdr:y>0.62529</cdr:y>
    </cdr:from>
    <cdr:to>
      <cdr:x>0.94552</cdr:x>
      <cdr:y>0.69087</cdr:y>
    </cdr:to>
    <cdr:sp macro="" textlink="">
      <cdr:nvSpPr>
        <cdr:cNvPr id="11" name="TextBox 10"/>
        <cdr:cNvSpPr txBox="1"/>
      </cdr:nvSpPr>
      <cdr:spPr>
        <a:xfrm xmlns:a="http://schemas.openxmlformats.org/drawingml/2006/main">
          <a:off x="1733550" y="171450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C00000"/>
              </a:solidFill>
              <a:latin typeface="Times New Roman" pitchFamily="18" charset="0"/>
              <a:cs typeface="Times New Roman" pitchFamily="18" charset="0"/>
            </a:rPr>
            <a:t>M</a:t>
          </a:r>
          <a:r>
            <a:rPr lang="en-US" sz="800" b="1" baseline="-25000">
              <a:solidFill>
                <a:srgbClr val="C00000"/>
              </a:solidFill>
              <a:latin typeface="Times New Roman" pitchFamily="18" charset="0"/>
              <a:cs typeface="Times New Roman" pitchFamily="18" charset="0"/>
            </a:rPr>
            <a:t>40% </a:t>
          </a:r>
          <a:r>
            <a:rPr lang="en-US" sz="800" b="1">
              <a:solidFill>
                <a:srgbClr val="C00000"/>
              </a:solidFill>
              <a:latin typeface="Times New Roman" pitchFamily="18" charset="0"/>
              <a:cs typeface="Times New Roman" pitchFamily="18" charset="0"/>
            </a:rPr>
            <a:t>= 2.36%</a:t>
          </a:r>
        </a:p>
      </cdr:txBody>
    </cdr:sp>
  </cdr:relSizeAnchor>
  <cdr:relSizeAnchor xmlns:cdr="http://schemas.openxmlformats.org/drawingml/2006/chartDrawing">
    <cdr:from>
      <cdr:x>0.64115</cdr:x>
      <cdr:y>0.46781</cdr:y>
    </cdr:from>
    <cdr:to>
      <cdr:x>0.94552</cdr:x>
      <cdr:y>0.53339</cdr:y>
    </cdr:to>
    <cdr:sp macro="" textlink="">
      <cdr:nvSpPr>
        <cdr:cNvPr id="12" name="TextBox 11"/>
        <cdr:cNvSpPr txBox="1"/>
      </cdr:nvSpPr>
      <cdr:spPr>
        <a:xfrm xmlns:a="http://schemas.openxmlformats.org/drawingml/2006/main">
          <a:off x="1733550" y="128270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7030A0"/>
              </a:solidFill>
              <a:latin typeface="Times New Roman" pitchFamily="18" charset="0"/>
              <a:cs typeface="Times New Roman" pitchFamily="18" charset="0"/>
            </a:rPr>
            <a:t>M</a:t>
          </a:r>
          <a:r>
            <a:rPr lang="en-US" sz="800" b="1" baseline="-25000">
              <a:solidFill>
                <a:srgbClr val="7030A0"/>
              </a:solidFill>
              <a:latin typeface="Times New Roman" pitchFamily="18" charset="0"/>
              <a:cs typeface="Times New Roman" pitchFamily="18" charset="0"/>
            </a:rPr>
            <a:t>99% </a:t>
          </a:r>
          <a:r>
            <a:rPr lang="en-US" sz="800" b="1">
              <a:solidFill>
                <a:srgbClr val="7030A0"/>
              </a:solidFill>
              <a:latin typeface="Times New Roman" pitchFamily="18" charset="0"/>
              <a:cs typeface="Times New Roman" pitchFamily="18" charset="0"/>
            </a:rPr>
            <a:t>= 4.22%</a:t>
          </a:r>
        </a:p>
      </cdr:txBody>
    </cdr:sp>
  </cdr:relSizeAnchor>
  <cdr:relSizeAnchor xmlns:cdr="http://schemas.openxmlformats.org/drawingml/2006/chartDrawing">
    <cdr:from>
      <cdr:x>0.64115</cdr:x>
      <cdr:y>0.5257</cdr:y>
    </cdr:from>
    <cdr:to>
      <cdr:x>0.94552</cdr:x>
      <cdr:y>0.59128</cdr:y>
    </cdr:to>
    <cdr:sp macro="" textlink="">
      <cdr:nvSpPr>
        <cdr:cNvPr id="13" name="TextBox 12"/>
        <cdr:cNvSpPr txBox="1"/>
      </cdr:nvSpPr>
      <cdr:spPr>
        <a:xfrm xmlns:a="http://schemas.openxmlformats.org/drawingml/2006/main">
          <a:off x="1733550" y="144145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00B050"/>
              </a:solidFill>
              <a:latin typeface="Times New Roman" pitchFamily="18" charset="0"/>
              <a:cs typeface="Times New Roman" pitchFamily="18" charset="0"/>
            </a:rPr>
            <a:t>M</a:t>
          </a:r>
          <a:r>
            <a:rPr lang="en-US" sz="800" b="1" baseline="-25000">
              <a:solidFill>
                <a:srgbClr val="00B050"/>
              </a:solidFill>
              <a:latin typeface="Times New Roman" pitchFamily="18" charset="0"/>
              <a:cs typeface="Times New Roman" pitchFamily="18" charset="0"/>
            </a:rPr>
            <a:t>70% </a:t>
          </a:r>
          <a:r>
            <a:rPr lang="en-US" sz="800" b="1">
              <a:solidFill>
                <a:srgbClr val="00B050"/>
              </a:solidFill>
              <a:latin typeface="Times New Roman" pitchFamily="18" charset="0"/>
              <a:cs typeface="Times New Roman" pitchFamily="18" charset="0"/>
            </a:rPr>
            <a:t>= 4.02%</a:t>
          </a:r>
        </a:p>
      </cdr:txBody>
    </cdr:sp>
  </cdr:relSizeAnchor>
</c:userShapes>
</file>

<file path=word/drawings/drawing73.xml><?xml version="1.0" encoding="utf-8"?>
<c:userShapes xmlns:c="http://schemas.openxmlformats.org/drawingml/2006/chart">
  <cdr:relSizeAnchor xmlns:cdr="http://schemas.openxmlformats.org/drawingml/2006/chartDrawing">
    <cdr:from>
      <cdr:x>0.54614</cdr:x>
      <cdr:y>0.75741</cdr:y>
    </cdr:from>
    <cdr:to>
      <cdr:x>0.71836</cdr:x>
      <cdr:y>0.82293</cdr:y>
    </cdr:to>
    <cdr:grpSp>
      <cdr:nvGrpSpPr>
        <cdr:cNvPr id="7" name="Group 6"/>
        <cdr:cNvGrpSpPr/>
      </cdr:nvGrpSpPr>
      <cdr:grpSpPr>
        <a:xfrm xmlns:a="http://schemas.openxmlformats.org/drawingml/2006/main">
          <a:off x="1473202" y="2079651"/>
          <a:ext cx="464560" cy="179901"/>
          <a:chOff x="1181163" y="2049131"/>
          <a:chExt cx="464541" cy="179720"/>
        </a:xfrm>
      </cdr:grpSpPr>
      <cdr:sp macro="" textlink="">
        <cdr:nvSpPr>
          <cdr:cNvPr id="2" name="TextBox 4"/>
          <cdr:cNvSpPr txBox="1"/>
        </cdr:nvSpPr>
        <cdr:spPr>
          <a:xfrm xmlns:a="http://schemas.openxmlformats.org/drawingml/2006/main">
            <a:off x="1234224" y="2049131"/>
            <a:ext cx="411480" cy="17972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4" name="Straight Arrow Connector 3"/>
          <cdr:cNvCxnSpPr/>
        </cdr:nvCxnSpPr>
        <cdr:spPr>
          <a:xfrm xmlns:a="http://schemas.openxmlformats.org/drawingml/2006/main" flipH="1" flipV="1">
            <a:off x="1181163" y="2138991"/>
            <a:ext cx="128014" cy="0"/>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0.16091</cdr:x>
      <cdr:y>0.031</cdr:y>
    </cdr:from>
    <cdr:to>
      <cdr:x>0.4321</cdr:x>
      <cdr:y>0.09651</cdr:y>
    </cdr:to>
    <cdr:sp macro="" textlink="">
      <cdr:nvSpPr>
        <cdr:cNvPr id="9" name="TextBox 8"/>
        <cdr:cNvSpPr txBox="1"/>
      </cdr:nvSpPr>
      <cdr:spPr>
        <a:xfrm xmlns:a="http://schemas.openxmlformats.org/drawingml/2006/main">
          <a:off x="435402" y="86963"/>
          <a:ext cx="733826" cy="18375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a)</a:t>
          </a:r>
          <a:r>
            <a:rPr lang="en-US" sz="1000" b="1" u="sng" baseline="0">
              <a:solidFill>
                <a:schemeClr val="tx1"/>
              </a:solidFill>
              <a:latin typeface="Times New Roman" pitchFamily="18" charset="0"/>
              <a:cs typeface="Times New Roman" pitchFamily="18" charset="0"/>
            </a:rPr>
            <a:t> 69 kPa</a:t>
          </a:r>
          <a:endParaRPr lang="en-US" sz="1000" b="1" u="sng">
            <a:solidFill>
              <a:schemeClr val="tx1"/>
            </a:solidFill>
            <a:latin typeface="Times New Roman" pitchFamily="18" charset="0"/>
            <a:cs typeface="Times New Roman" pitchFamily="18" charset="0"/>
          </a:endParaRPr>
        </a:p>
      </cdr:txBody>
    </cdr:sp>
  </cdr:relSizeAnchor>
  <cdr:relSizeAnchor xmlns:cdr="http://schemas.openxmlformats.org/drawingml/2006/chartDrawing">
    <cdr:from>
      <cdr:x>0.63795</cdr:x>
      <cdr:y>0.59898</cdr:y>
    </cdr:from>
    <cdr:to>
      <cdr:x>0.94303</cdr:x>
      <cdr:y>0.66447</cdr:y>
    </cdr:to>
    <cdr:sp macro="" textlink="">
      <cdr:nvSpPr>
        <cdr:cNvPr id="10" name="TextBox 9"/>
        <cdr:cNvSpPr txBox="1"/>
      </cdr:nvSpPr>
      <cdr:spPr>
        <a:xfrm xmlns:a="http://schemas.openxmlformats.org/drawingml/2006/main">
          <a:off x="1720850" y="164465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0070C0"/>
              </a:solidFill>
              <a:latin typeface="Times New Roman" pitchFamily="18" charset="0"/>
              <a:cs typeface="Times New Roman" pitchFamily="18" charset="0"/>
            </a:rPr>
            <a:t>M</a:t>
          </a:r>
          <a:r>
            <a:rPr lang="en-US" sz="800" b="1" baseline="-25000">
              <a:solidFill>
                <a:srgbClr val="0070C0"/>
              </a:solidFill>
              <a:latin typeface="Times New Roman" pitchFamily="18" charset="0"/>
              <a:cs typeface="Times New Roman" pitchFamily="18" charset="0"/>
            </a:rPr>
            <a:t>2% </a:t>
          </a:r>
          <a:r>
            <a:rPr lang="en-US" sz="800" b="1">
              <a:solidFill>
                <a:srgbClr val="0070C0"/>
              </a:solidFill>
              <a:latin typeface="Times New Roman" pitchFamily="18" charset="0"/>
              <a:cs typeface="Times New Roman" pitchFamily="18" charset="0"/>
            </a:rPr>
            <a:t>= 0.63%</a:t>
          </a:r>
        </a:p>
      </cdr:txBody>
    </cdr:sp>
  </cdr:relSizeAnchor>
  <cdr:relSizeAnchor xmlns:cdr="http://schemas.openxmlformats.org/drawingml/2006/chartDrawing">
    <cdr:from>
      <cdr:x>0.63795</cdr:x>
      <cdr:y>0.55042</cdr:y>
    </cdr:from>
    <cdr:to>
      <cdr:x>0.94303</cdr:x>
      <cdr:y>0.61591</cdr:y>
    </cdr:to>
    <cdr:sp macro="" textlink="">
      <cdr:nvSpPr>
        <cdr:cNvPr id="11" name="TextBox 10"/>
        <cdr:cNvSpPr txBox="1"/>
      </cdr:nvSpPr>
      <cdr:spPr>
        <a:xfrm xmlns:a="http://schemas.openxmlformats.org/drawingml/2006/main">
          <a:off x="1720850" y="151130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C00000"/>
              </a:solidFill>
              <a:latin typeface="Times New Roman" pitchFamily="18" charset="0"/>
              <a:cs typeface="Times New Roman" pitchFamily="18" charset="0"/>
            </a:rPr>
            <a:t>M</a:t>
          </a:r>
          <a:r>
            <a:rPr lang="en-US" sz="800" b="1" baseline="-25000">
              <a:solidFill>
                <a:srgbClr val="C00000"/>
              </a:solidFill>
              <a:latin typeface="Times New Roman" pitchFamily="18" charset="0"/>
              <a:cs typeface="Times New Roman" pitchFamily="18" charset="0"/>
            </a:rPr>
            <a:t>40% </a:t>
          </a:r>
          <a:r>
            <a:rPr lang="en-US" sz="800" b="1">
              <a:solidFill>
                <a:srgbClr val="C00000"/>
              </a:solidFill>
              <a:latin typeface="Times New Roman" pitchFamily="18" charset="0"/>
              <a:cs typeface="Times New Roman" pitchFamily="18" charset="0"/>
            </a:rPr>
            <a:t>= 0.76%</a:t>
          </a:r>
        </a:p>
      </cdr:txBody>
    </cdr:sp>
  </cdr:relSizeAnchor>
  <cdr:relSizeAnchor xmlns:cdr="http://schemas.openxmlformats.org/drawingml/2006/chartDrawing">
    <cdr:from>
      <cdr:x>0.63795</cdr:x>
      <cdr:y>0.2729</cdr:y>
    </cdr:from>
    <cdr:to>
      <cdr:x>0.94303</cdr:x>
      <cdr:y>0.33838</cdr:y>
    </cdr:to>
    <cdr:sp macro="" textlink="">
      <cdr:nvSpPr>
        <cdr:cNvPr id="12" name="TextBox 11"/>
        <cdr:cNvSpPr txBox="1"/>
      </cdr:nvSpPr>
      <cdr:spPr>
        <a:xfrm xmlns:a="http://schemas.openxmlformats.org/drawingml/2006/main">
          <a:off x="1720850" y="74930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7030A0"/>
              </a:solidFill>
              <a:latin typeface="Times New Roman" pitchFamily="18" charset="0"/>
              <a:cs typeface="Times New Roman" pitchFamily="18" charset="0"/>
            </a:rPr>
            <a:t>M</a:t>
          </a:r>
          <a:r>
            <a:rPr lang="en-US" sz="800" b="1" baseline="-25000">
              <a:solidFill>
                <a:srgbClr val="7030A0"/>
              </a:solidFill>
              <a:latin typeface="Times New Roman" pitchFamily="18" charset="0"/>
              <a:cs typeface="Times New Roman" pitchFamily="18" charset="0"/>
            </a:rPr>
            <a:t>99% </a:t>
          </a:r>
          <a:r>
            <a:rPr lang="en-US" sz="800" b="1">
              <a:solidFill>
                <a:srgbClr val="7030A0"/>
              </a:solidFill>
              <a:latin typeface="Times New Roman" pitchFamily="18" charset="0"/>
              <a:cs typeface="Times New Roman" pitchFamily="18" charset="0"/>
            </a:rPr>
            <a:t>= 1.64%</a:t>
          </a:r>
        </a:p>
      </cdr:txBody>
    </cdr:sp>
  </cdr:relSizeAnchor>
  <cdr:relSizeAnchor xmlns:cdr="http://schemas.openxmlformats.org/drawingml/2006/chartDrawing">
    <cdr:from>
      <cdr:x>0.63795</cdr:x>
      <cdr:y>0.40934</cdr:y>
    </cdr:from>
    <cdr:to>
      <cdr:x>0.94303</cdr:x>
      <cdr:y>0.47483</cdr:y>
    </cdr:to>
    <cdr:sp macro="" textlink="">
      <cdr:nvSpPr>
        <cdr:cNvPr id="13" name="TextBox 12"/>
        <cdr:cNvSpPr txBox="1"/>
      </cdr:nvSpPr>
      <cdr:spPr>
        <a:xfrm xmlns:a="http://schemas.openxmlformats.org/drawingml/2006/main">
          <a:off x="1720850" y="112395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00B050"/>
              </a:solidFill>
              <a:latin typeface="Times New Roman" pitchFamily="18" charset="0"/>
              <a:cs typeface="Times New Roman" pitchFamily="18" charset="0"/>
            </a:rPr>
            <a:t>M</a:t>
          </a:r>
          <a:r>
            <a:rPr lang="en-US" sz="800" b="1" baseline="-25000">
              <a:solidFill>
                <a:srgbClr val="00B050"/>
              </a:solidFill>
              <a:latin typeface="Times New Roman" pitchFamily="18" charset="0"/>
              <a:cs typeface="Times New Roman" pitchFamily="18" charset="0"/>
            </a:rPr>
            <a:t>70% </a:t>
          </a:r>
          <a:r>
            <a:rPr lang="en-US" sz="800" b="1">
              <a:solidFill>
                <a:srgbClr val="00B050"/>
              </a:solidFill>
              <a:latin typeface="Times New Roman" pitchFamily="18" charset="0"/>
              <a:cs typeface="Times New Roman" pitchFamily="18" charset="0"/>
            </a:rPr>
            <a:t>= 1.19%</a:t>
          </a:r>
        </a:p>
      </cdr:txBody>
    </cdr:sp>
  </cdr:relSizeAnchor>
</c:userShapes>
</file>

<file path=word/drawings/drawing74.xml><?xml version="1.0" encoding="utf-8"?>
<c:userShapes xmlns:c="http://schemas.openxmlformats.org/drawingml/2006/chart">
  <cdr:relSizeAnchor xmlns:cdr="http://schemas.openxmlformats.org/drawingml/2006/chartDrawing">
    <cdr:from>
      <cdr:x>0.15775</cdr:x>
      <cdr:y>0.03704</cdr:y>
    </cdr:from>
    <cdr:to>
      <cdr:x>0.46283</cdr:x>
      <cdr:y>0.10255</cdr:y>
    </cdr:to>
    <cdr:sp macro="" textlink="">
      <cdr:nvSpPr>
        <cdr:cNvPr id="9" name="TextBox 8"/>
        <cdr:cNvSpPr txBox="1"/>
      </cdr:nvSpPr>
      <cdr:spPr>
        <a:xfrm xmlns:a="http://schemas.openxmlformats.org/drawingml/2006/main">
          <a:off x="426188" y="103897"/>
          <a:ext cx="824239" cy="18375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b)</a:t>
          </a:r>
          <a:r>
            <a:rPr lang="en-US" sz="1000" b="1" u="sng" baseline="0">
              <a:solidFill>
                <a:schemeClr val="tx1"/>
              </a:solidFill>
              <a:latin typeface="Times New Roman" pitchFamily="18" charset="0"/>
              <a:cs typeface="Times New Roman" pitchFamily="18" charset="0"/>
            </a:rPr>
            <a:t> 207 kPa</a:t>
          </a:r>
          <a:endParaRPr lang="en-US" sz="1000" b="1" u="sng">
            <a:solidFill>
              <a:schemeClr val="tx1"/>
            </a:solidFill>
            <a:latin typeface="Times New Roman" pitchFamily="18" charset="0"/>
            <a:cs typeface="Times New Roman" pitchFamily="18" charset="0"/>
          </a:endParaRPr>
        </a:p>
      </cdr:txBody>
    </cdr:sp>
  </cdr:relSizeAnchor>
  <cdr:relSizeAnchor xmlns:cdr="http://schemas.openxmlformats.org/drawingml/2006/chartDrawing">
    <cdr:from>
      <cdr:x>0.6403</cdr:x>
      <cdr:y>0.62673</cdr:y>
    </cdr:from>
    <cdr:to>
      <cdr:x>0.94539</cdr:x>
      <cdr:y>0.69222</cdr:y>
    </cdr:to>
    <cdr:sp macro="" textlink="">
      <cdr:nvSpPr>
        <cdr:cNvPr id="10" name="TextBox 9"/>
        <cdr:cNvSpPr txBox="1"/>
      </cdr:nvSpPr>
      <cdr:spPr>
        <a:xfrm xmlns:a="http://schemas.openxmlformats.org/drawingml/2006/main">
          <a:off x="1727200" y="172085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0070C0"/>
              </a:solidFill>
              <a:latin typeface="Times New Roman" pitchFamily="18" charset="0"/>
              <a:cs typeface="Times New Roman" pitchFamily="18" charset="0"/>
            </a:rPr>
            <a:t>M</a:t>
          </a:r>
          <a:r>
            <a:rPr lang="en-US" sz="800" b="1" baseline="-25000">
              <a:solidFill>
                <a:srgbClr val="0070C0"/>
              </a:solidFill>
              <a:latin typeface="Times New Roman" pitchFamily="18" charset="0"/>
              <a:cs typeface="Times New Roman" pitchFamily="18" charset="0"/>
            </a:rPr>
            <a:t>2% </a:t>
          </a:r>
          <a:r>
            <a:rPr lang="en-US" sz="800" b="1">
              <a:solidFill>
                <a:srgbClr val="0070C0"/>
              </a:solidFill>
              <a:latin typeface="Times New Roman" pitchFamily="18" charset="0"/>
              <a:cs typeface="Times New Roman" pitchFamily="18" charset="0"/>
            </a:rPr>
            <a:t>= 0.54%</a:t>
          </a:r>
        </a:p>
      </cdr:txBody>
    </cdr:sp>
  </cdr:relSizeAnchor>
  <cdr:relSizeAnchor xmlns:cdr="http://schemas.openxmlformats.org/drawingml/2006/chartDrawing">
    <cdr:from>
      <cdr:x>0.6403</cdr:x>
      <cdr:y>0.58742</cdr:y>
    </cdr:from>
    <cdr:to>
      <cdr:x>0.94539</cdr:x>
      <cdr:y>0.65291</cdr:y>
    </cdr:to>
    <cdr:sp macro="" textlink="">
      <cdr:nvSpPr>
        <cdr:cNvPr id="11" name="TextBox 10"/>
        <cdr:cNvSpPr txBox="1"/>
      </cdr:nvSpPr>
      <cdr:spPr>
        <a:xfrm xmlns:a="http://schemas.openxmlformats.org/drawingml/2006/main">
          <a:off x="1727200" y="161290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C00000"/>
              </a:solidFill>
              <a:latin typeface="Times New Roman" pitchFamily="18" charset="0"/>
              <a:cs typeface="Times New Roman" pitchFamily="18" charset="0"/>
            </a:rPr>
            <a:t>M</a:t>
          </a:r>
          <a:r>
            <a:rPr lang="en-US" sz="800" b="1" baseline="-25000">
              <a:solidFill>
                <a:srgbClr val="C00000"/>
              </a:solidFill>
              <a:latin typeface="Times New Roman" pitchFamily="18" charset="0"/>
              <a:cs typeface="Times New Roman" pitchFamily="18" charset="0"/>
            </a:rPr>
            <a:t>40% </a:t>
          </a:r>
          <a:r>
            <a:rPr lang="en-US" sz="800" b="1">
              <a:solidFill>
                <a:srgbClr val="C00000"/>
              </a:solidFill>
              <a:latin typeface="Times New Roman" pitchFamily="18" charset="0"/>
              <a:cs typeface="Times New Roman" pitchFamily="18" charset="0"/>
            </a:rPr>
            <a:t>= 0.61%</a:t>
          </a:r>
        </a:p>
      </cdr:txBody>
    </cdr:sp>
  </cdr:relSizeAnchor>
  <cdr:relSizeAnchor xmlns:cdr="http://schemas.openxmlformats.org/drawingml/2006/chartDrawing">
    <cdr:from>
      <cdr:x>0.6403</cdr:x>
      <cdr:y>0.37465</cdr:y>
    </cdr:from>
    <cdr:to>
      <cdr:x>0.94539</cdr:x>
      <cdr:y>0.44014</cdr:y>
    </cdr:to>
    <cdr:sp macro="" textlink="">
      <cdr:nvSpPr>
        <cdr:cNvPr id="12" name="TextBox 11"/>
        <cdr:cNvSpPr txBox="1"/>
      </cdr:nvSpPr>
      <cdr:spPr>
        <a:xfrm xmlns:a="http://schemas.openxmlformats.org/drawingml/2006/main">
          <a:off x="1727200" y="102870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7030A0"/>
              </a:solidFill>
              <a:latin typeface="Times New Roman" pitchFamily="18" charset="0"/>
              <a:cs typeface="Times New Roman" pitchFamily="18" charset="0"/>
            </a:rPr>
            <a:t>M</a:t>
          </a:r>
          <a:r>
            <a:rPr lang="en-US" sz="800" b="1" baseline="-25000">
              <a:solidFill>
                <a:srgbClr val="7030A0"/>
              </a:solidFill>
              <a:latin typeface="Times New Roman" pitchFamily="18" charset="0"/>
              <a:cs typeface="Times New Roman" pitchFamily="18" charset="0"/>
            </a:rPr>
            <a:t>99% </a:t>
          </a:r>
          <a:r>
            <a:rPr lang="en-US" sz="800" b="1">
              <a:solidFill>
                <a:srgbClr val="7030A0"/>
              </a:solidFill>
              <a:latin typeface="Times New Roman" pitchFamily="18" charset="0"/>
              <a:cs typeface="Times New Roman" pitchFamily="18" charset="0"/>
            </a:rPr>
            <a:t>= 1.32%</a:t>
          </a:r>
        </a:p>
      </cdr:txBody>
    </cdr:sp>
  </cdr:relSizeAnchor>
  <cdr:relSizeAnchor xmlns:cdr="http://schemas.openxmlformats.org/drawingml/2006/chartDrawing">
    <cdr:from>
      <cdr:x>0.6403</cdr:x>
      <cdr:y>0.53423</cdr:y>
    </cdr:from>
    <cdr:to>
      <cdr:x>0.94539</cdr:x>
      <cdr:y>0.59972</cdr:y>
    </cdr:to>
    <cdr:sp macro="" textlink="">
      <cdr:nvSpPr>
        <cdr:cNvPr id="13" name="TextBox 12"/>
        <cdr:cNvSpPr txBox="1"/>
      </cdr:nvSpPr>
      <cdr:spPr>
        <a:xfrm xmlns:a="http://schemas.openxmlformats.org/drawingml/2006/main">
          <a:off x="1727200" y="146685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00B050"/>
              </a:solidFill>
              <a:latin typeface="Times New Roman" pitchFamily="18" charset="0"/>
              <a:cs typeface="Times New Roman" pitchFamily="18" charset="0"/>
            </a:rPr>
            <a:t>M</a:t>
          </a:r>
          <a:r>
            <a:rPr lang="en-US" sz="800" b="1" baseline="-25000">
              <a:solidFill>
                <a:srgbClr val="00B050"/>
              </a:solidFill>
              <a:latin typeface="Times New Roman" pitchFamily="18" charset="0"/>
              <a:cs typeface="Times New Roman" pitchFamily="18" charset="0"/>
            </a:rPr>
            <a:t>70% </a:t>
          </a:r>
          <a:r>
            <a:rPr lang="en-US" sz="800" b="1">
              <a:solidFill>
                <a:srgbClr val="00B050"/>
              </a:solidFill>
              <a:latin typeface="Times New Roman" pitchFamily="18" charset="0"/>
              <a:cs typeface="Times New Roman" pitchFamily="18" charset="0"/>
            </a:rPr>
            <a:t>= 0.83%</a:t>
          </a:r>
        </a:p>
      </cdr:txBody>
    </cdr:sp>
  </cdr:relSizeAnchor>
  <cdr:relSizeAnchor xmlns:cdr="http://schemas.openxmlformats.org/drawingml/2006/chartDrawing">
    <cdr:from>
      <cdr:x>0.54379</cdr:x>
      <cdr:y>0.75856</cdr:y>
    </cdr:from>
    <cdr:to>
      <cdr:x>0.716</cdr:x>
      <cdr:y>0.82401</cdr:y>
    </cdr:to>
    <cdr:grpSp>
      <cdr:nvGrpSpPr>
        <cdr:cNvPr id="14" name="Group 13"/>
        <cdr:cNvGrpSpPr/>
      </cdr:nvGrpSpPr>
      <cdr:grpSpPr>
        <a:xfrm xmlns:a="http://schemas.openxmlformats.org/drawingml/2006/main">
          <a:off x="1466863" y="2082809"/>
          <a:ext cx="464533" cy="179708"/>
          <a:chOff x="0" y="0"/>
          <a:chExt cx="464535" cy="179539"/>
        </a:xfrm>
      </cdr:grpSpPr>
      <cdr:sp macro="" textlink="">
        <cdr:nvSpPr>
          <cdr:cNvPr id="15" name="TextBox 14"/>
          <cdr:cNvSpPr txBox="1"/>
        </cdr:nvSpPr>
        <cdr:spPr>
          <a:xfrm xmlns:a="http://schemas.openxmlformats.org/drawingml/2006/main">
            <a:off x="53060" y="0"/>
            <a:ext cx="411475" cy="179539"/>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16" name="Straight Arrow Connector 15"/>
          <cdr:cNvCxnSpPr/>
        </cdr:nvCxnSpPr>
        <cdr:spPr>
          <a:xfrm xmlns:a="http://schemas.openxmlformats.org/drawingml/2006/main" flipH="1" flipV="1">
            <a:off x="0" y="89769"/>
            <a:ext cx="128012" cy="0"/>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userShapes>
</file>

<file path=word/drawings/drawing75.xml><?xml version="1.0" encoding="utf-8"?>
<c:userShapes xmlns:c="http://schemas.openxmlformats.org/drawingml/2006/chart">
  <cdr:relSizeAnchor xmlns:cdr="http://schemas.openxmlformats.org/drawingml/2006/chartDrawing">
    <cdr:from>
      <cdr:x>0.16403</cdr:x>
      <cdr:y>0.03402</cdr:y>
    </cdr:from>
    <cdr:to>
      <cdr:x>0.46911</cdr:x>
      <cdr:y>0.09953</cdr:y>
    </cdr:to>
    <cdr:sp macro="" textlink="">
      <cdr:nvSpPr>
        <cdr:cNvPr id="9" name="TextBox 8"/>
        <cdr:cNvSpPr txBox="1"/>
      </cdr:nvSpPr>
      <cdr:spPr>
        <a:xfrm xmlns:a="http://schemas.openxmlformats.org/drawingml/2006/main">
          <a:off x="443868" y="95336"/>
          <a:ext cx="825530" cy="18359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c)</a:t>
          </a:r>
          <a:r>
            <a:rPr lang="en-US" sz="1000" b="1" u="sng" baseline="0">
              <a:solidFill>
                <a:schemeClr val="tx1"/>
              </a:solidFill>
              <a:latin typeface="Times New Roman" pitchFamily="18" charset="0"/>
              <a:cs typeface="Times New Roman" pitchFamily="18" charset="0"/>
            </a:rPr>
            <a:t> 345 kPa</a:t>
          </a:r>
          <a:endParaRPr lang="en-US" sz="1000" b="1" u="sng">
            <a:solidFill>
              <a:schemeClr val="tx1"/>
            </a:solidFill>
            <a:latin typeface="Times New Roman" pitchFamily="18" charset="0"/>
            <a:cs typeface="Times New Roman" pitchFamily="18" charset="0"/>
          </a:endParaRPr>
        </a:p>
      </cdr:txBody>
    </cdr:sp>
  </cdr:relSizeAnchor>
  <cdr:relSizeAnchor xmlns:cdr="http://schemas.openxmlformats.org/drawingml/2006/chartDrawing">
    <cdr:from>
      <cdr:x>0.55085</cdr:x>
      <cdr:y>0.75926</cdr:y>
    </cdr:from>
    <cdr:to>
      <cdr:x>0.72306</cdr:x>
      <cdr:y>0.82477</cdr:y>
    </cdr:to>
    <cdr:grpSp>
      <cdr:nvGrpSpPr>
        <cdr:cNvPr id="10" name="Group 9"/>
        <cdr:cNvGrpSpPr/>
      </cdr:nvGrpSpPr>
      <cdr:grpSpPr>
        <a:xfrm xmlns:a="http://schemas.openxmlformats.org/drawingml/2006/main">
          <a:off x="1485907" y="2082802"/>
          <a:ext cx="464533" cy="179707"/>
          <a:chOff x="0" y="0"/>
          <a:chExt cx="464535" cy="179539"/>
        </a:xfrm>
      </cdr:grpSpPr>
      <cdr:sp macro="" textlink="">
        <cdr:nvSpPr>
          <cdr:cNvPr id="11" name="TextBox 10"/>
          <cdr:cNvSpPr txBox="1"/>
        </cdr:nvSpPr>
        <cdr:spPr>
          <a:xfrm xmlns:a="http://schemas.openxmlformats.org/drawingml/2006/main">
            <a:off x="53060" y="0"/>
            <a:ext cx="411475" cy="179539"/>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12" name="Straight Arrow Connector 11"/>
          <cdr:cNvCxnSpPr/>
        </cdr:nvCxnSpPr>
        <cdr:spPr>
          <a:xfrm xmlns:a="http://schemas.openxmlformats.org/drawingml/2006/main" flipH="1" flipV="1">
            <a:off x="0" y="89769"/>
            <a:ext cx="128012" cy="0"/>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0.6403</cdr:x>
      <cdr:y>0.64352</cdr:y>
    </cdr:from>
    <cdr:to>
      <cdr:x>0.94539</cdr:x>
      <cdr:y>0.70907</cdr:y>
    </cdr:to>
    <cdr:sp macro="" textlink="">
      <cdr:nvSpPr>
        <cdr:cNvPr id="13" name="TextBox 12"/>
        <cdr:cNvSpPr txBox="1"/>
      </cdr:nvSpPr>
      <cdr:spPr>
        <a:xfrm xmlns:a="http://schemas.openxmlformats.org/drawingml/2006/main">
          <a:off x="1727200" y="176530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0070C0"/>
              </a:solidFill>
              <a:latin typeface="Times New Roman" pitchFamily="18" charset="0"/>
              <a:cs typeface="Times New Roman" pitchFamily="18" charset="0"/>
            </a:rPr>
            <a:t>M</a:t>
          </a:r>
          <a:r>
            <a:rPr lang="en-US" sz="800" b="1" baseline="-25000">
              <a:solidFill>
                <a:srgbClr val="0070C0"/>
              </a:solidFill>
              <a:latin typeface="Times New Roman" pitchFamily="18" charset="0"/>
              <a:cs typeface="Times New Roman" pitchFamily="18" charset="0"/>
            </a:rPr>
            <a:t>2% </a:t>
          </a:r>
          <a:r>
            <a:rPr lang="en-US" sz="800" b="1">
              <a:solidFill>
                <a:srgbClr val="0070C0"/>
              </a:solidFill>
              <a:latin typeface="Times New Roman" pitchFamily="18" charset="0"/>
              <a:cs typeface="Times New Roman" pitchFamily="18" charset="0"/>
            </a:rPr>
            <a:t>= 0.51%</a:t>
          </a:r>
        </a:p>
      </cdr:txBody>
    </cdr:sp>
  </cdr:relSizeAnchor>
  <cdr:relSizeAnchor xmlns:cdr="http://schemas.openxmlformats.org/drawingml/2006/chartDrawing">
    <cdr:from>
      <cdr:x>0.6403</cdr:x>
      <cdr:y>0.60417</cdr:y>
    </cdr:from>
    <cdr:to>
      <cdr:x>0.94539</cdr:x>
      <cdr:y>0.66972</cdr:y>
    </cdr:to>
    <cdr:sp macro="" textlink="">
      <cdr:nvSpPr>
        <cdr:cNvPr id="14" name="TextBox 13"/>
        <cdr:cNvSpPr txBox="1"/>
      </cdr:nvSpPr>
      <cdr:spPr>
        <a:xfrm xmlns:a="http://schemas.openxmlformats.org/drawingml/2006/main">
          <a:off x="1727200" y="165735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C00000"/>
              </a:solidFill>
              <a:latin typeface="Times New Roman" pitchFamily="18" charset="0"/>
              <a:cs typeface="Times New Roman" pitchFamily="18" charset="0"/>
            </a:rPr>
            <a:t>M</a:t>
          </a:r>
          <a:r>
            <a:rPr lang="en-US" sz="800" b="1" baseline="-25000">
              <a:solidFill>
                <a:srgbClr val="C00000"/>
              </a:solidFill>
              <a:latin typeface="Times New Roman" pitchFamily="18" charset="0"/>
              <a:cs typeface="Times New Roman" pitchFamily="18" charset="0"/>
            </a:rPr>
            <a:t>40% </a:t>
          </a:r>
          <a:r>
            <a:rPr lang="en-US" sz="800" b="1">
              <a:solidFill>
                <a:srgbClr val="C00000"/>
              </a:solidFill>
              <a:latin typeface="Times New Roman" pitchFamily="18" charset="0"/>
              <a:cs typeface="Times New Roman" pitchFamily="18" charset="0"/>
            </a:rPr>
            <a:t>= 0.54%</a:t>
          </a:r>
        </a:p>
      </cdr:txBody>
    </cdr:sp>
  </cdr:relSizeAnchor>
  <cdr:relSizeAnchor xmlns:cdr="http://schemas.openxmlformats.org/drawingml/2006/chartDrawing">
    <cdr:from>
      <cdr:x>0.6403</cdr:x>
      <cdr:y>0.45139</cdr:y>
    </cdr:from>
    <cdr:to>
      <cdr:x>0.94539</cdr:x>
      <cdr:y>0.51694</cdr:y>
    </cdr:to>
    <cdr:sp macro="" textlink="">
      <cdr:nvSpPr>
        <cdr:cNvPr id="15" name="TextBox 14"/>
        <cdr:cNvSpPr txBox="1"/>
      </cdr:nvSpPr>
      <cdr:spPr>
        <a:xfrm xmlns:a="http://schemas.openxmlformats.org/drawingml/2006/main">
          <a:off x="1727200" y="123825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7030A0"/>
              </a:solidFill>
              <a:latin typeface="Times New Roman" pitchFamily="18" charset="0"/>
              <a:cs typeface="Times New Roman" pitchFamily="18" charset="0"/>
            </a:rPr>
            <a:t>M</a:t>
          </a:r>
          <a:r>
            <a:rPr lang="en-US" sz="800" b="1" baseline="-25000">
              <a:solidFill>
                <a:srgbClr val="7030A0"/>
              </a:solidFill>
              <a:latin typeface="Times New Roman" pitchFamily="18" charset="0"/>
              <a:cs typeface="Times New Roman" pitchFamily="18" charset="0"/>
            </a:rPr>
            <a:t>99% </a:t>
          </a:r>
          <a:r>
            <a:rPr lang="en-US" sz="800" b="1">
              <a:solidFill>
                <a:srgbClr val="7030A0"/>
              </a:solidFill>
              <a:latin typeface="Times New Roman" pitchFamily="18" charset="0"/>
              <a:cs typeface="Times New Roman" pitchFamily="18" charset="0"/>
            </a:rPr>
            <a:t>= 1.08%</a:t>
          </a:r>
        </a:p>
      </cdr:txBody>
    </cdr:sp>
  </cdr:relSizeAnchor>
  <cdr:relSizeAnchor xmlns:cdr="http://schemas.openxmlformats.org/drawingml/2006/chartDrawing">
    <cdr:from>
      <cdr:x>0.6403</cdr:x>
      <cdr:y>0.56019</cdr:y>
    </cdr:from>
    <cdr:to>
      <cdr:x>0.94539</cdr:x>
      <cdr:y>0.62573</cdr:y>
    </cdr:to>
    <cdr:sp macro="" textlink="">
      <cdr:nvSpPr>
        <cdr:cNvPr id="16" name="TextBox 15"/>
        <cdr:cNvSpPr txBox="1"/>
      </cdr:nvSpPr>
      <cdr:spPr>
        <a:xfrm xmlns:a="http://schemas.openxmlformats.org/drawingml/2006/main">
          <a:off x="1727200" y="153670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00B050"/>
              </a:solidFill>
              <a:latin typeface="Times New Roman" pitchFamily="18" charset="0"/>
              <a:cs typeface="Times New Roman" pitchFamily="18" charset="0"/>
            </a:rPr>
            <a:t>M</a:t>
          </a:r>
          <a:r>
            <a:rPr lang="en-US" sz="800" b="1" baseline="-25000">
              <a:solidFill>
                <a:srgbClr val="00B050"/>
              </a:solidFill>
              <a:latin typeface="Times New Roman" pitchFamily="18" charset="0"/>
              <a:cs typeface="Times New Roman" pitchFamily="18" charset="0"/>
            </a:rPr>
            <a:t>70% </a:t>
          </a:r>
          <a:r>
            <a:rPr lang="en-US" sz="800" b="1">
              <a:solidFill>
                <a:srgbClr val="00B050"/>
              </a:solidFill>
              <a:latin typeface="Times New Roman" pitchFamily="18" charset="0"/>
              <a:cs typeface="Times New Roman" pitchFamily="18" charset="0"/>
            </a:rPr>
            <a:t>= 0.73%</a:t>
          </a:r>
        </a:p>
      </cdr:txBody>
    </cdr:sp>
  </cdr:relSizeAnchor>
</c:userShapes>
</file>

<file path=word/drawings/drawing76.xml><?xml version="1.0" encoding="utf-8"?>
<c:userShapes xmlns:c="http://schemas.openxmlformats.org/drawingml/2006/chart">
  <cdr:relSizeAnchor xmlns:cdr="http://schemas.openxmlformats.org/drawingml/2006/chartDrawing">
    <cdr:from>
      <cdr:x>0.16401</cdr:x>
      <cdr:y>0.03704</cdr:y>
    </cdr:from>
    <cdr:to>
      <cdr:x>0.46909</cdr:x>
      <cdr:y>0.10255</cdr:y>
    </cdr:to>
    <cdr:sp macro="" textlink="">
      <cdr:nvSpPr>
        <cdr:cNvPr id="9" name="TextBox 8"/>
        <cdr:cNvSpPr txBox="1"/>
      </cdr:nvSpPr>
      <cdr:spPr>
        <a:xfrm xmlns:a="http://schemas.openxmlformats.org/drawingml/2006/main">
          <a:off x="443120" y="103803"/>
          <a:ext cx="824239" cy="183590"/>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solidFill>
                <a:schemeClr val="tx1"/>
              </a:solidFill>
              <a:latin typeface="Times New Roman" pitchFamily="18" charset="0"/>
              <a:cs typeface="Times New Roman" pitchFamily="18" charset="0"/>
            </a:rPr>
            <a:t>d)</a:t>
          </a:r>
          <a:r>
            <a:rPr lang="en-US" sz="1000" b="1" u="sng" baseline="0">
              <a:solidFill>
                <a:schemeClr val="tx1"/>
              </a:solidFill>
              <a:latin typeface="Times New Roman" pitchFamily="18" charset="0"/>
              <a:cs typeface="Times New Roman" pitchFamily="18" charset="0"/>
            </a:rPr>
            <a:t> 483 kPa</a:t>
          </a:r>
          <a:endParaRPr lang="en-US" sz="1000" b="1" u="sng">
            <a:solidFill>
              <a:schemeClr val="tx1"/>
            </a:solidFill>
            <a:latin typeface="Times New Roman" pitchFamily="18" charset="0"/>
            <a:cs typeface="Times New Roman" pitchFamily="18" charset="0"/>
          </a:endParaRPr>
        </a:p>
      </cdr:txBody>
    </cdr:sp>
  </cdr:relSizeAnchor>
  <cdr:relSizeAnchor xmlns:cdr="http://schemas.openxmlformats.org/drawingml/2006/chartDrawing">
    <cdr:from>
      <cdr:x>0.54614</cdr:x>
      <cdr:y>0.75694</cdr:y>
    </cdr:from>
    <cdr:to>
      <cdr:x>0.71835</cdr:x>
      <cdr:y>0.82239</cdr:y>
    </cdr:to>
    <cdr:grpSp>
      <cdr:nvGrpSpPr>
        <cdr:cNvPr id="10" name="Group 9"/>
        <cdr:cNvGrpSpPr/>
      </cdr:nvGrpSpPr>
      <cdr:grpSpPr>
        <a:xfrm xmlns:a="http://schemas.openxmlformats.org/drawingml/2006/main">
          <a:off x="1473202" y="2076438"/>
          <a:ext cx="464533" cy="179542"/>
          <a:chOff x="0" y="844550"/>
          <a:chExt cx="464529" cy="179358"/>
        </a:xfrm>
      </cdr:grpSpPr>
      <cdr:sp macro="" textlink="">
        <cdr:nvSpPr>
          <cdr:cNvPr id="15" name="TextBox 14"/>
          <cdr:cNvSpPr txBox="1"/>
        </cdr:nvSpPr>
        <cdr:spPr>
          <a:xfrm xmlns:a="http://schemas.openxmlformats.org/drawingml/2006/main">
            <a:off x="53059" y="844550"/>
            <a:ext cx="411470" cy="179358"/>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1000" b="1">
                <a:solidFill>
                  <a:schemeClr val="bg1">
                    <a:lumMod val="50000"/>
                  </a:schemeClr>
                </a:solidFill>
                <a:latin typeface="Times New Roman" pitchFamily="18" charset="0"/>
                <a:cs typeface="Times New Roman" pitchFamily="18" charset="0"/>
              </a:rPr>
              <a:t>1 yr</a:t>
            </a:r>
          </a:p>
        </cdr:txBody>
      </cdr:sp>
      <cdr:cxnSp macro="">
        <cdr:nvCxnSpPr>
          <cdr:cNvPr id="16" name="Straight Arrow Connector 15"/>
          <cdr:cNvCxnSpPr/>
        </cdr:nvCxnSpPr>
        <cdr:spPr>
          <a:xfrm xmlns:a="http://schemas.openxmlformats.org/drawingml/2006/main" flipH="1" flipV="1">
            <a:off x="0" y="934228"/>
            <a:ext cx="128010" cy="0"/>
          </a:xfrm>
          <a:prstGeom xmlns:a="http://schemas.openxmlformats.org/drawingml/2006/main" prst="straightConnector1">
            <a:avLst/>
          </a:prstGeom>
          <a:ln xmlns:a="http://schemas.openxmlformats.org/drawingml/2006/main" w="19050">
            <a:solidFill>
              <a:schemeClr val="bg1">
                <a:lumMod val="65000"/>
              </a:schemeClr>
            </a:solidFill>
            <a:tailEnd type="stealth"/>
          </a:ln>
          <a:effectLst xmlns:a="http://schemas.openxmlformats.org/drawingml/2006/mai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dr:relSizeAnchor xmlns:cdr="http://schemas.openxmlformats.org/drawingml/2006/chartDrawing">
    <cdr:from>
      <cdr:x>0.63559</cdr:x>
      <cdr:y>0.65046</cdr:y>
    </cdr:from>
    <cdr:to>
      <cdr:x>0.94068</cdr:x>
      <cdr:y>0.71601</cdr:y>
    </cdr:to>
    <cdr:sp macro="" textlink="">
      <cdr:nvSpPr>
        <cdr:cNvPr id="11" name="TextBox 10"/>
        <cdr:cNvSpPr txBox="1"/>
      </cdr:nvSpPr>
      <cdr:spPr>
        <a:xfrm xmlns:a="http://schemas.openxmlformats.org/drawingml/2006/main">
          <a:off x="1714500" y="178435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0070C0"/>
              </a:solidFill>
              <a:latin typeface="Times New Roman" pitchFamily="18" charset="0"/>
              <a:cs typeface="Times New Roman" pitchFamily="18" charset="0"/>
            </a:rPr>
            <a:t>M</a:t>
          </a:r>
          <a:r>
            <a:rPr lang="en-US" sz="800" b="1" baseline="-25000">
              <a:solidFill>
                <a:srgbClr val="0070C0"/>
              </a:solidFill>
              <a:latin typeface="Times New Roman" pitchFamily="18" charset="0"/>
              <a:cs typeface="Times New Roman" pitchFamily="18" charset="0"/>
            </a:rPr>
            <a:t>2% </a:t>
          </a:r>
          <a:r>
            <a:rPr lang="en-US" sz="800" b="1">
              <a:solidFill>
                <a:srgbClr val="0070C0"/>
              </a:solidFill>
              <a:latin typeface="Times New Roman" pitchFamily="18" charset="0"/>
              <a:cs typeface="Times New Roman" pitchFamily="18" charset="0"/>
            </a:rPr>
            <a:t>= 0.48%</a:t>
          </a:r>
        </a:p>
      </cdr:txBody>
    </cdr:sp>
  </cdr:relSizeAnchor>
  <cdr:relSizeAnchor xmlns:cdr="http://schemas.openxmlformats.org/drawingml/2006/chartDrawing">
    <cdr:from>
      <cdr:x>0.63559</cdr:x>
      <cdr:y>0.61343</cdr:y>
    </cdr:from>
    <cdr:to>
      <cdr:x>0.94068</cdr:x>
      <cdr:y>0.67898</cdr:y>
    </cdr:to>
    <cdr:sp macro="" textlink="">
      <cdr:nvSpPr>
        <cdr:cNvPr id="12" name="TextBox 11"/>
        <cdr:cNvSpPr txBox="1"/>
      </cdr:nvSpPr>
      <cdr:spPr>
        <a:xfrm xmlns:a="http://schemas.openxmlformats.org/drawingml/2006/main">
          <a:off x="1714500" y="168275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C00000"/>
              </a:solidFill>
              <a:latin typeface="Times New Roman" pitchFamily="18" charset="0"/>
              <a:cs typeface="Times New Roman" pitchFamily="18" charset="0"/>
            </a:rPr>
            <a:t>M</a:t>
          </a:r>
          <a:r>
            <a:rPr lang="en-US" sz="800" b="1" baseline="-25000">
              <a:solidFill>
                <a:srgbClr val="C00000"/>
              </a:solidFill>
              <a:latin typeface="Times New Roman" pitchFamily="18" charset="0"/>
              <a:cs typeface="Times New Roman" pitchFamily="18" charset="0"/>
            </a:rPr>
            <a:t>40% </a:t>
          </a:r>
          <a:r>
            <a:rPr lang="en-US" sz="800" b="1">
              <a:solidFill>
                <a:srgbClr val="C00000"/>
              </a:solidFill>
              <a:latin typeface="Times New Roman" pitchFamily="18" charset="0"/>
              <a:cs typeface="Times New Roman" pitchFamily="18" charset="0"/>
            </a:rPr>
            <a:t>= 0.57%</a:t>
          </a:r>
        </a:p>
      </cdr:txBody>
    </cdr:sp>
  </cdr:relSizeAnchor>
  <cdr:relSizeAnchor xmlns:cdr="http://schemas.openxmlformats.org/drawingml/2006/chartDrawing">
    <cdr:from>
      <cdr:x>0.63559</cdr:x>
      <cdr:y>0.37037</cdr:y>
    </cdr:from>
    <cdr:to>
      <cdr:x>0.94068</cdr:x>
      <cdr:y>0.43592</cdr:y>
    </cdr:to>
    <cdr:sp macro="" textlink="">
      <cdr:nvSpPr>
        <cdr:cNvPr id="13" name="TextBox 12"/>
        <cdr:cNvSpPr txBox="1"/>
      </cdr:nvSpPr>
      <cdr:spPr>
        <a:xfrm xmlns:a="http://schemas.openxmlformats.org/drawingml/2006/main">
          <a:off x="1714500" y="101600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7030A0"/>
              </a:solidFill>
              <a:latin typeface="Times New Roman" pitchFamily="18" charset="0"/>
              <a:cs typeface="Times New Roman" pitchFamily="18" charset="0"/>
            </a:rPr>
            <a:t>M</a:t>
          </a:r>
          <a:r>
            <a:rPr lang="en-US" sz="800" b="1" baseline="-25000">
              <a:solidFill>
                <a:srgbClr val="7030A0"/>
              </a:solidFill>
              <a:latin typeface="Times New Roman" pitchFamily="18" charset="0"/>
              <a:cs typeface="Times New Roman" pitchFamily="18" charset="0"/>
            </a:rPr>
            <a:t>99% </a:t>
          </a:r>
          <a:r>
            <a:rPr lang="en-US" sz="800" b="1">
              <a:solidFill>
                <a:srgbClr val="7030A0"/>
              </a:solidFill>
              <a:latin typeface="Times New Roman" pitchFamily="18" charset="0"/>
              <a:cs typeface="Times New Roman" pitchFamily="18" charset="0"/>
            </a:rPr>
            <a:t>= 1.32%</a:t>
          </a:r>
        </a:p>
      </cdr:txBody>
    </cdr:sp>
  </cdr:relSizeAnchor>
  <cdr:relSizeAnchor xmlns:cdr="http://schemas.openxmlformats.org/drawingml/2006/chartDrawing">
    <cdr:from>
      <cdr:x>0.63559</cdr:x>
      <cdr:y>0.57639</cdr:y>
    </cdr:from>
    <cdr:to>
      <cdr:x>0.94068</cdr:x>
      <cdr:y>0.64194</cdr:y>
    </cdr:to>
    <cdr:sp macro="" textlink="">
      <cdr:nvSpPr>
        <cdr:cNvPr id="14" name="TextBox 13"/>
        <cdr:cNvSpPr txBox="1"/>
      </cdr:nvSpPr>
      <cdr:spPr>
        <a:xfrm xmlns:a="http://schemas.openxmlformats.org/drawingml/2006/main">
          <a:off x="1714500" y="1581150"/>
          <a:ext cx="822960" cy="179816"/>
        </a:xfrm>
        <a:prstGeom xmlns:a="http://schemas.openxmlformats.org/drawingml/2006/main" prst="rect">
          <a:avLst/>
        </a:prstGeom>
        <a:noFill xmlns:a="http://schemas.openxmlformats.org/drawingml/2006/main"/>
        <a:ln xmlns:a="http://schemas.openxmlformats.org/drawingml/2006/main" w="12700" cmpd="sng">
          <a:noFill/>
          <a:prstDash val="solid"/>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r"/>
          <a:r>
            <a:rPr lang="en-US" sz="800" b="1">
              <a:solidFill>
                <a:srgbClr val="00B050"/>
              </a:solidFill>
              <a:latin typeface="Times New Roman" pitchFamily="18" charset="0"/>
              <a:cs typeface="Times New Roman" pitchFamily="18" charset="0"/>
            </a:rPr>
            <a:t>M</a:t>
          </a:r>
          <a:r>
            <a:rPr lang="en-US" sz="800" b="1" baseline="-25000">
              <a:solidFill>
                <a:srgbClr val="00B050"/>
              </a:solidFill>
              <a:latin typeface="Times New Roman" pitchFamily="18" charset="0"/>
              <a:cs typeface="Times New Roman" pitchFamily="18" charset="0"/>
            </a:rPr>
            <a:t>70% </a:t>
          </a:r>
          <a:r>
            <a:rPr lang="en-US" sz="800" b="1">
              <a:solidFill>
                <a:srgbClr val="00B050"/>
              </a:solidFill>
              <a:latin typeface="Times New Roman" pitchFamily="18" charset="0"/>
              <a:cs typeface="Times New Roman" pitchFamily="18" charset="0"/>
            </a:rPr>
            <a:t>= 0.67%</a:t>
          </a:r>
        </a:p>
      </cdr:txBody>
    </cdr:sp>
  </cdr:relSizeAnchor>
</c:userShapes>
</file>

<file path=word/drawings/drawing77.xml><?xml version="1.0" encoding="utf-8"?>
<c:userShapes xmlns:c="http://schemas.openxmlformats.org/drawingml/2006/chart">
  <cdr:relSizeAnchor xmlns:cdr="http://schemas.openxmlformats.org/drawingml/2006/chartDrawing">
    <cdr:from>
      <cdr:x>0.1024</cdr:x>
      <cdr:y>0.0399</cdr:y>
    </cdr:from>
    <cdr:to>
      <cdr:x>0.34251</cdr:x>
      <cdr:y>0.14899</cdr:y>
    </cdr:to>
    <cdr:sp macro="" textlink="">
      <cdr:nvSpPr>
        <cdr:cNvPr id="2" name="TextBox 1"/>
        <cdr:cNvSpPr txBox="1"/>
      </cdr:nvSpPr>
      <cdr:spPr>
        <a:xfrm xmlns:a="http://schemas.openxmlformats.org/drawingml/2006/main">
          <a:off x="552450" y="100332"/>
          <a:ext cx="1295401" cy="27431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a) Quartz/BMI</a:t>
          </a:r>
        </a:p>
      </cdr:txBody>
    </cdr:sp>
  </cdr:relSizeAnchor>
</c:userShapes>
</file>

<file path=word/drawings/drawing78.xml><?xml version="1.0" encoding="utf-8"?>
<c:userShapes xmlns:c="http://schemas.openxmlformats.org/drawingml/2006/chart">
  <cdr:relSizeAnchor xmlns:cdr="http://schemas.openxmlformats.org/drawingml/2006/chartDrawing">
    <cdr:from>
      <cdr:x>0.10005</cdr:x>
      <cdr:y>0.0399</cdr:y>
    </cdr:from>
    <cdr:to>
      <cdr:x>0.30544</cdr:x>
      <cdr:y>0.14899</cdr:y>
    </cdr:to>
    <cdr:sp macro="" textlink="">
      <cdr:nvSpPr>
        <cdr:cNvPr id="2" name="TextBox 1"/>
        <cdr:cNvSpPr txBox="1"/>
      </cdr:nvSpPr>
      <cdr:spPr>
        <a:xfrm xmlns:a="http://schemas.openxmlformats.org/drawingml/2006/main">
          <a:off x="539750" y="100332"/>
          <a:ext cx="1108075" cy="27431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b) Quartz/Epoxy</a:t>
          </a:r>
        </a:p>
      </cdr:txBody>
    </cdr:sp>
  </cdr:relSizeAnchor>
</c:userShapes>
</file>

<file path=word/drawings/drawing79.xml><?xml version="1.0" encoding="utf-8"?>
<c:userShapes xmlns:c="http://schemas.openxmlformats.org/drawingml/2006/chart">
  <cdr:relSizeAnchor xmlns:cdr="http://schemas.openxmlformats.org/drawingml/2006/chartDrawing">
    <cdr:from>
      <cdr:x>0.1177</cdr:x>
      <cdr:y>0.04495</cdr:y>
    </cdr:from>
    <cdr:to>
      <cdr:x>0.32109</cdr:x>
      <cdr:y>0.15404</cdr:y>
    </cdr:to>
    <cdr:sp macro="" textlink="">
      <cdr:nvSpPr>
        <cdr:cNvPr id="2" name="TextBox 1"/>
        <cdr:cNvSpPr txBox="1"/>
      </cdr:nvSpPr>
      <cdr:spPr>
        <a:xfrm xmlns:a="http://schemas.openxmlformats.org/drawingml/2006/main">
          <a:off x="634999" y="113032"/>
          <a:ext cx="1097280" cy="27431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a) Quartz/BMI</a:t>
          </a:r>
        </a:p>
      </cdr:txBody>
    </cdr:sp>
  </cdr:relSizeAnchor>
</c:userShapes>
</file>

<file path=word/drawings/drawing80.xml><?xml version="1.0" encoding="utf-8"?>
<c:userShapes xmlns:c="http://schemas.openxmlformats.org/drawingml/2006/chart">
  <cdr:relSizeAnchor xmlns:cdr="http://schemas.openxmlformats.org/drawingml/2006/chartDrawing">
    <cdr:from>
      <cdr:x>0.12241</cdr:x>
      <cdr:y>0.0399</cdr:y>
    </cdr:from>
    <cdr:to>
      <cdr:x>0.37665</cdr:x>
      <cdr:y>0.14899</cdr:y>
    </cdr:to>
    <cdr:sp macro="" textlink="">
      <cdr:nvSpPr>
        <cdr:cNvPr id="2" name="TextBox 1"/>
        <cdr:cNvSpPr txBox="1"/>
      </cdr:nvSpPr>
      <cdr:spPr>
        <a:xfrm xmlns:a="http://schemas.openxmlformats.org/drawingml/2006/main">
          <a:off x="660399" y="100332"/>
          <a:ext cx="1371600" cy="27431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l"/>
          <a:r>
            <a:rPr lang="en-US" sz="1000" b="1" u="sng">
              <a:latin typeface="Times New Roman"/>
              <a:cs typeface="Times New Roman"/>
            </a:rPr>
            <a:t>b)</a:t>
          </a:r>
          <a:r>
            <a:rPr lang="en-US" sz="1000" b="1" u="sng" baseline="0">
              <a:latin typeface="Times New Roman"/>
              <a:cs typeface="Times New Roman"/>
            </a:rPr>
            <a:t> Quartz/Epoxy</a:t>
          </a:r>
          <a:endParaRPr lang="en-US" sz="1000" b="1" u="sng">
            <a:latin typeface="Times New Roman"/>
            <a:cs typeface="Times New Roman"/>
          </a:endParaRPr>
        </a:p>
      </cdr:txBody>
    </cdr:sp>
  </cdr:relSizeAnchor>
</c:userShapes>
</file>

<file path=word/drawings/drawing81.xml><?xml version="1.0" encoding="utf-8"?>
<c:userShapes xmlns:c="http://schemas.openxmlformats.org/drawingml/2006/chart">
  <cdr:relSizeAnchor xmlns:cdr="http://schemas.openxmlformats.org/drawingml/2006/chartDrawing">
    <cdr:from>
      <cdr:x>0.24807</cdr:x>
      <cdr:y>0.03928</cdr:y>
    </cdr:from>
    <cdr:to>
      <cdr:x>0.65485</cdr:x>
      <cdr:y>0.14837</cdr:y>
    </cdr:to>
    <cdr:sp macro="" textlink="">
      <cdr:nvSpPr>
        <cdr:cNvPr id="2" name="TextBox 8"/>
        <cdr:cNvSpPr txBox="1"/>
      </cdr:nvSpPr>
      <cdr:spPr>
        <a:xfrm xmlns:a="http://schemas.openxmlformats.org/drawingml/2006/main">
          <a:off x="669163" y="94863"/>
          <a:ext cx="1097280" cy="263476"/>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00" b="1" u="sng">
              <a:latin typeface="Times New Roman" pitchFamily="18" charset="0"/>
              <a:cs typeface="Times New Roman" pitchFamily="18" charset="0"/>
            </a:rPr>
            <a:t>(a) Quartz/BMI</a:t>
          </a:r>
        </a:p>
      </cdr:txBody>
    </cdr:sp>
  </cdr:relSizeAnchor>
</c:userShapes>
</file>

<file path=word/drawings/drawing82.xml><?xml version="1.0" encoding="utf-8"?>
<c:userShapes xmlns:c="http://schemas.openxmlformats.org/drawingml/2006/chart">
  <cdr:relSizeAnchor xmlns:cdr="http://schemas.openxmlformats.org/drawingml/2006/chartDrawing">
    <cdr:from>
      <cdr:x>0.24807</cdr:x>
      <cdr:y>0.03928</cdr:y>
    </cdr:from>
    <cdr:to>
      <cdr:x>0.6718</cdr:x>
      <cdr:y>0.14837</cdr:y>
    </cdr:to>
    <cdr:sp macro="" textlink="">
      <cdr:nvSpPr>
        <cdr:cNvPr id="2" name="TextBox 8"/>
        <cdr:cNvSpPr txBox="1"/>
      </cdr:nvSpPr>
      <cdr:spPr>
        <a:xfrm xmlns:a="http://schemas.openxmlformats.org/drawingml/2006/main">
          <a:off x="669163" y="93386"/>
          <a:ext cx="1143000" cy="25935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00" b="1" u="sng">
              <a:latin typeface="Times New Roman" pitchFamily="18" charset="0"/>
              <a:cs typeface="Times New Roman" pitchFamily="18" charset="0"/>
            </a:rPr>
            <a:t>(b) Quartz/Epoxy</a:t>
          </a:r>
        </a:p>
      </cdr:txBody>
    </cdr:sp>
  </cdr:relSizeAnchor>
</c:userShapes>
</file>

<file path=word/drawings/drawing83.xml><?xml version="1.0" encoding="utf-8"?>
<c:userShapes xmlns:c="http://schemas.openxmlformats.org/drawingml/2006/chart">
  <cdr:relSizeAnchor xmlns:cdr="http://schemas.openxmlformats.org/drawingml/2006/chartDrawing">
    <cdr:from>
      <cdr:x>0.25042</cdr:x>
      <cdr:y>0.0394</cdr:y>
    </cdr:from>
    <cdr:to>
      <cdr:x>0.6572</cdr:x>
      <cdr:y>0.14849</cdr:y>
    </cdr:to>
    <cdr:sp macro="" textlink="">
      <cdr:nvSpPr>
        <cdr:cNvPr id="2" name="TextBox 8"/>
        <cdr:cNvSpPr txBox="1"/>
      </cdr:nvSpPr>
      <cdr:spPr>
        <a:xfrm xmlns:a="http://schemas.openxmlformats.org/drawingml/2006/main">
          <a:off x="675516" y="93672"/>
          <a:ext cx="1097281" cy="259354"/>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00" b="1" u="sng">
              <a:latin typeface="Times New Roman" pitchFamily="18" charset="0"/>
              <a:cs typeface="Times New Roman" pitchFamily="18" charset="0"/>
            </a:rPr>
            <a:t>(a) Quartz/BMI</a:t>
          </a:r>
        </a:p>
      </cdr:txBody>
    </cdr:sp>
  </cdr:relSizeAnchor>
</c:userShapes>
</file>

<file path=word/drawings/drawing84.xml><?xml version="1.0" encoding="utf-8"?>
<c:userShapes xmlns:c="http://schemas.openxmlformats.org/drawingml/2006/chart">
  <cdr:relSizeAnchor xmlns:cdr="http://schemas.openxmlformats.org/drawingml/2006/chartDrawing">
    <cdr:from>
      <cdr:x>0.25042</cdr:x>
      <cdr:y>0.0394</cdr:y>
    </cdr:from>
    <cdr:to>
      <cdr:x>0.67415</cdr:x>
      <cdr:y>0.14849</cdr:y>
    </cdr:to>
    <cdr:sp macro="" textlink="">
      <cdr:nvSpPr>
        <cdr:cNvPr id="2" name="TextBox 8"/>
        <cdr:cNvSpPr txBox="1"/>
      </cdr:nvSpPr>
      <cdr:spPr>
        <a:xfrm xmlns:a="http://schemas.openxmlformats.org/drawingml/2006/main">
          <a:off x="675502" y="93671"/>
          <a:ext cx="1143000" cy="25935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00" b="1" u="sng">
              <a:latin typeface="Times New Roman" pitchFamily="18" charset="0"/>
              <a:cs typeface="Times New Roman" pitchFamily="18" charset="0"/>
            </a:rPr>
            <a:t>(b) Quartz/Epoxy</a:t>
          </a:r>
        </a:p>
      </cdr:txBody>
    </cdr:sp>
  </cdr:relSizeAnchor>
</c:userShapes>
</file>

<file path=word/drawings/drawing85.xml><?xml version="1.0" encoding="utf-8"?>
<c:userShapes xmlns:c="http://schemas.openxmlformats.org/drawingml/2006/chart">
  <cdr:relSizeAnchor xmlns:cdr="http://schemas.openxmlformats.org/drawingml/2006/chartDrawing">
    <cdr:from>
      <cdr:x>0.24807</cdr:x>
      <cdr:y>0.03928</cdr:y>
    </cdr:from>
    <cdr:to>
      <cdr:x>0.65485</cdr:x>
      <cdr:y>0.14837</cdr:y>
    </cdr:to>
    <cdr:sp macro="" textlink="">
      <cdr:nvSpPr>
        <cdr:cNvPr id="2" name="TextBox 8"/>
        <cdr:cNvSpPr txBox="1"/>
      </cdr:nvSpPr>
      <cdr:spPr>
        <a:xfrm xmlns:a="http://schemas.openxmlformats.org/drawingml/2006/main">
          <a:off x="669163" y="94863"/>
          <a:ext cx="1097280" cy="263476"/>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00" b="1" u="sng">
              <a:latin typeface="Times New Roman" pitchFamily="18" charset="0"/>
              <a:cs typeface="Times New Roman" pitchFamily="18" charset="0"/>
            </a:rPr>
            <a:t>(a) Quartz/BMI</a:t>
          </a:r>
        </a:p>
      </cdr:txBody>
    </cdr:sp>
  </cdr:relSizeAnchor>
</c:userShapes>
</file>

<file path=word/drawings/drawing86.xml><?xml version="1.0" encoding="utf-8"?>
<c:userShapes xmlns:c="http://schemas.openxmlformats.org/drawingml/2006/chart">
  <cdr:relSizeAnchor xmlns:cdr="http://schemas.openxmlformats.org/drawingml/2006/chartDrawing">
    <cdr:from>
      <cdr:x>0.24807</cdr:x>
      <cdr:y>0.03928</cdr:y>
    </cdr:from>
    <cdr:to>
      <cdr:x>0.6718</cdr:x>
      <cdr:y>0.14837</cdr:y>
    </cdr:to>
    <cdr:sp macro="" textlink="">
      <cdr:nvSpPr>
        <cdr:cNvPr id="2" name="TextBox 8"/>
        <cdr:cNvSpPr txBox="1"/>
      </cdr:nvSpPr>
      <cdr:spPr>
        <a:xfrm xmlns:a="http://schemas.openxmlformats.org/drawingml/2006/main">
          <a:off x="669163" y="93386"/>
          <a:ext cx="1143000" cy="25935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00" b="1" u="sng">
              <a:latin typeface="Times New Roman" pitchFamily="18" charset="0"/>
              <a:cs typeface="Times New Roman" pitchFamily="18" charset="0"/>
            </a:rPr>
            <a:t>(b) Quartz/Epoxy</a:t>
          </a:r>
        </a:p>
      </cdr:txBody>
    </cdr:sp>
  </cdr:relSizeAnchor>
</c:userShapes>
</file>

<file path=word/drawings/drawing87.xml><?xml version="1.0" encoding="utf-8"?>
<c:userShapes xmlns:c="http://schemas.openxmlformats.org/drawingml/2006/chart">
  <cdr:relSizeAnchor xmlns:cdr="http://schemas.openxmlformats.org/drawingml/2006/chartDrawing">
    <cdr:from>
      <cdr:x>0.25042</cdr:x>
      <cdr:y>0.0394</cdr:y>
    </cdr:from>
    <cdr:to>
      <cdr:x>0.6572</cdr:x>
      <cdr:y>0.14849</cdr:y>
    </cdr:to>
    <cdr:sp macro="" textlink="">
      <cdr:nvSpPr>
        <cdr:cNvPr id="2" name="TextBox 8"/>
        <cdr:cNvSpPr txBox="1"/>
      </cdr:nvSpPr>
      <cdr:spPr>
        <a:xfrm xmlns:a="http://schemas.openxmlformats.org/drawingml/2006/main">
          <a:off x="675516" y="93672"/>
          <a:ext cx="1097281" cy="259354"/>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00" b="1" u="sng">
              <a:latin typeface="Times New Roman" pitchFamily="18" charset="0"/>
              <a:cs typeface="Times New Roman" pitchFamily="18" charset="0"/>
            </a:rPr>
            <a:t>(a) Quartz/BMI</a:t>
          </a:r>
        </a:p>
      </cdr:txBody>
    </cdr:sp>
  </cdr:relSizeAnchor>
</c:userShapes>
</file>

<file path=word/drawings/drawing88.xml><?xml version="1.0" encoding="utf-8"?>
<c:userShapes xmlns:c="http://schemas.openxmlformats.org/drawingml/2006/chart">
  <cdr:relSizeAnchor xmlns:cdr="http://schemas.openxmlformats.org/drawingml/2006/chartDrawing">
    <cdr:from>
      <cdr:x>0.25042</cdr:x>
      <cdr:y>0.0394</cdr:y>
    </cdr:from>
    <cdr:to>
      <cdr:x>0.67415</cdr:x>
      <cdr:y>0.14849</cdr:y>
    </cdr:to>
    <cdr:sp macro="" textlink="">
      <cdr:nvSpPr>
        <cdr:cNvPr id="2" name="TextBox 8"/>
        <cdr:cNvSpPr txBox="1"/>
      </cdr:nvSpPr>
      <cdr:spPr>
        <a:xfrm xmlns:a="http://schemas.openxmlformats.org/drawingml/2006/main">
          <a:off x="675502" y="93671"/>
          <a:ext cx="1143000" cy="25935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00" b="1" u="sng">
              <a:latin typeface="Times New Roman" pitchFamily="18" charset="0"/>
              <a:cs typeface="Times New Roman" pitchFamily="18" charset="0"/>
            </a:rPr>
            <a:t>(b) Quartz/Epoxy</a:t>
          </a:r>
        </a:p>
      </cdr:txBody>
    </cdr:sp>
  </cdr:relSizeAnchor>
</c:userShapes>
</file>

<file path=word/drawings/drawing89.xml><?xml version="1.0" encoding="utf-8"?>
<c:userShapes xmlns:c="http://schemas.openxmlformats.org/drawingml/2006/chart">
  <cdr:relSizeAnchor xmlns:cdr="http://schemas.openxmlformats.org/drawingml/2006/chartDrawing">
    <cdr:from>
      <cdr:x>0.25042</cdr:x>
      <cdr:y>0.03928</cdr:y>
    </cdr:from>
    <cdr:to>
      <cdr:x>0.6572</cdr:x>
      <cdr:y>0.14837</cdr:y>
    </cdr:to>
    <cdr:sp macro="" textlink="">
      <cdr:nvSpPr>
        <cdr:cNvPr id="2" name="TextBox 8"/>
        <cdr:cNvSpPr txBox="1"/>
      </cdr:nvSpPr>
      <cdr:spPr>
        <a:xfrm xmlns:a="http://schemas.openxmlformats.org/drawingml/2006/main">
          <a:off x="675513" y="94863"/>
          <a:ext cx="1097280" cy="263476"/>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00" b="1" u="sng">
              <a:latin typeface="Times New Roman" pitchFamily="18" charset="0"/>
              <a:cs typeface="Times New Roman" pitchFamily="18" charset="0"/>
            </a:rPr>
            <a:t>(a) Quartz/BMI</a:t>
          </a:r>
        </a:p>
      </cdr:txBody>
    </cdr:sp>
  </cdr:relSizeAnchor>
</c:userShapes>
</file>

<file path=word/drawings/drawing90.xml><?xml version="1.0" encoding="utf-8"?>
<c:userShapes xmlns:c="http://schemas.openxmlformats.org/drawingml/2006/chart">
  <cdr:relSizeAnchor xmlns:cdr="http://schemas.openxmlformats.org/drawingml/2006/chartDrawing">
    <cdr:from>
      <cdr:x>0.25042</cdr:x>
      <cdr:y>0.03928</cdr:y>
    </cdr:from>
    <cdr:to>
      <cdr:x>0.67415</cdr:x>
      <cdr:y>0.14837</cdr:y>
    </cdr:to>
    <cdr:sp macro="" textlink="">
      <cdr:nvSpPr>
        <cdr:cNvPr id="2" name="TextBox 8"/>
        <cdr:cNvSpPr txBox="1"/>
      </cdr:nvSpPr>
      <cdr:spPr>
        <a:xfrm xmlns:a="http://schemas.openxmlformats.org/drawingml/2006/main">
          <a:off x="675502" y="93386"/>
          <a:ext cx="1143000" cy="25935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00" b="1" u="sng">
              <a:latin typeface="Times New Roman" pitchFamily="18" charset="0"/>
              <a:cs typeface="Times New Roman" pitchFamily="18" charset="0"/>
            </a:rPr>
            <a:t>(b) Quartz/Epoxy</a:t>
          </a:r>
        </a:p>
      </cdr:txBody>
    </cdr:sp>
  </cdr:relSizeAnchor>
</c:userShapes>
</file>

<file path=word/drawings/drawing91.xml><?xml version="1.0" encoding="utf-8"?>
<c:userShapes xmlns:c="http://schemas.openxmlformats.org/drawingml/2006/chart">
  <cdr:relSizeAnchor xmlns:cdr="http://schemas.openxmlformats.org/drawingml/2006/chartDrawing">
    <cdr:from>
      <cdr:x>0.24101</cdr:x>
      <cdr:y>0.03928</cdr:y>
    </cdr:from>
    <cdr:to>
      <cdr:x>0.64779</cdr:x>
      <cdr:y>0.14837</cdr:y>
    </cdr:to>
    <cdr:sp macro="" textlink="">
      <cdr:nvSpPr>
        <cdr:cNvPr id="2" name="TextBox 8"/>
        <cdr:cNvSpPr txBox="1"/>
      </cdr:nvSpPr>
      <cdr:spPr>
        <a:xfrm xmlns:a="http://schemas.openxmlformats.org/drawingml/2006/main">
          <a:off x="650113" y="94863"/>
          <a:ext cx="1097280" cy="263476"/>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00" b="1" u="sng">
              <a:latin typeface="Times New Roman" pitchFamily="18" charset="0"/>
              <a:cs typeface="Times New Roman" pitchFamily="18" charset="0"/>
            </a:rPr>
            <a:t>(a) Quartz/BMI</a:t>
          </a:r>
        </a:p>
      </cdr:txBody>
    </cdr:sp>
  </cdr:relSizeAnchor>
</c:userShapes>
</file>

<file path=word/drawings/drawing92.xml><?xml version="1.0" encoding="utf-8"?>
<c:userShapes xmlns:c="http://schemas.openxmlformats.org/drawingml/2006/chart">
  <cdr:relSizeAnchor xmlns:cdr="http://schemas.openxmlformats.org/drawingml/2006/chartDrawing">
    <cdr:from>
      <cdr:x>0.24101</cdr:x>
      <cdr:y>0.03928</cdr:y>
    </cdr:from>
    <cdr:to>
      <cdr:x>0.66474</cdr:x>
      <cdr:y>0.14837</cdr:y>
    </cdr:to>
    <cdr:sp macro="" textlink="">
      <cdr:nvSpPr>
        <cdr:cNvPr id="2" name="TextBox 8"/>
        <cdr:cNvSpPr txBox="1"/>
      </cdr:nvSpPr>
      <cdr:spPr>
        <a:xfrm xmlns:a="http://schemas.openxmlformats.org/drawingml/2006/main">
          <a:off x="650119" y="93386"/>
          <a:ext cx="1143000" cy="25935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00" b="1" u="sng">
              <a:latin typeface="Times New Roman" pitchFamily="18" charset="0"/>
              <a:cs typeface="Times New Roman" pitchFamily="18" charset="0"/>
            </a:rPr>
            <a:t>(b) Quartz/Epoxy</a:t>
          </a:r>
        </a:p>
      </cdr:txBody>
    </cdr:sp>
  </cdr:relSizeAnchor>
</c:userShapes>
</file>

<file path=word/drawings/drawing93.xml><?xml version="1.0" encoding="utf-8"?>
<c:userShapes xmlns:c="http://schemas.openxmlformats.org/drawingml/2006/chart">
  <cdr:relSizeAnchor xmlns:cdr="http://schemas.openxmlformats.org/drawingml/2006/chartDrawing">
    <cdr:from>
      <cdr:x>0.25042</cdr:x>
      <cdr:y>0.03928</cdr:y>
    </cdr:from>
    <cdr:to>
      <cdr:x>0.6572</cdr:x>
      <cdr:y>0.14837</cdr:y>
    </cdr:to>
    <cdr:sp macro="" textlink="">
      <cdr:nvSpPr>
        <cdr:cNvPr id="2" name="TextBox 8"/>
        <cdr:cNvSpPr txBox="1"/>
      </cdr:nvSpPr>
      <cdr:spPr>
        <a:xfrm xmlns:a="http://schemas.openxmlformats.org/drawingml/2006/main">
          <a:off x="675513" y="94863"/>
          <a:ext cx="1097280" cy="263476"/>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00" b="1" u="sng">
              <a:latin typeface="Times New Roman" pitchFamily="18" charset="0"/>
              <a:cs typeface="Times New Roman" pitchFamily="18" charset="0"/>
            </a:rPr>
            <a:t>(a) Quartz/BMI</a:t>
          </a:r>
        </a:p>
      </cdr:txBody>
    </cdr:sp>
  </cdr:relSizeAnchor>
</c:userShapes>
</file>

<file path=word/drawings/drawing94.xml><?xml version="1.0" encoding="utf-8"?>
<c:userShapes xmlns:c="http://schemas.openxmlformats.org/drawingml/2006/chart">
  <cdr:relSizeAnchor xmlns:cdr="http://schemas.openxmlformats.org/drawingml/2006/chartDrawing">
    <cdr:from>
      <cdr:x>0.25042</cdr:x>
      <cdr:y>0.03928</cdr:y>
    </cdr:from>
    <cdr:to>
      <cdr:x>0.67415</cdr:x>
      <cdr:y>0.14837</cdr:y>
    </cdr:to>
    <cdr:sp macro="" textlink="">
      <cdr:nvSpPr>
        <cdr:cNvPr id="2" name="TextBox 8"/>
        <cdr:cNvSpPr txBox="1"/>
      </cdr:nvSpPr>
      <cdr:spPr>
        <a:xfrm xmlns:a="http://schemas.openxmlformats.org/drawingml/2006/main">
          <a:off x="675502" y="93386"/>
          <a:ext cx="1143000" cy="25935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00" b="1" u="sng">
              <a:latin typeface="Times New Roman" pitchFamily="18" charset="0"/>
              <a:cs typeface="Times New Roman" pitchFamily="18" charset="0"/>
            </a:rPr>
            <a:t>(b) Quartz/Epoxy</a:t>
          </a:r>
        </a:p>
      </cdr:txBody>
    </cdr:sp>
  </cdr:relSizeAnchor>
</c:userShapes>
</file>

<file path=word/drawings/drawing95.xml><?xml version="1.0" encoding="utf-8"?>
<c:userShapes xmlns:c="http://schemas.openxmlformats.org/drawingml/2006/chart">
  <cdr:relSizeAnchor xmlns:cdr="http://schemas.openxmlformats.org/drawingml/2006/chartDrawing">
    <cdr:from>
      <cdr:x>0.24101</cdr:x>
      <cdr:y>0.03928</cdr:y>
    </cdr:from>
    <cdr:to>
      <cdr:x>0.64779</cdr:x>
      <cdr:y>0.14837</cdr:y>
    </cdr:to>
    <cdr:sp macro="" textlink="">
      <cdr:nvSpPr>
        <cdr:cNvPr id="2" name="TextBox 8"/>
        <cdr:cNvSpPr txBox="1"/>
      </cdr:nvSpPr>
      <cdr:spPr>
        <a:xfrm xmlns:a="http://schemas.openxmlformats.org/drawingml/2006/main">
          <a:off x="650113" y="94863"/>
          <a:ext cx="1097280" cy="263476"/>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00" b="1" u="sng">
              <a:latin typeface="Times New Roman" pitchFamily="18" charset="0"/>
              <a:cs typeface="Times New Roman" pitchFamily="18" charset="0"/>
            </a:rPr>
            <a:t>(a) Quartz/BMI</a:t>
          </a:r>
        </a:p>
      </cdr:txBody>
    </cdr:sp>
  </cdr:relSizeAnchor>
</c:userShapes>
</file>

<file path=word/drawings/drawing96.xml><?xml version="1.0" encoding="utf-8"?>
<c:userShapes xmlns:c="http://schemas.openxmlformats.org/drawingml/2006/chart">
  <cdr:relSizeAnchor xmlns:cdr="http://schemas.openxmlformats.org/drawingml/2006/chartDrawing">
    <cdr:from>
      <cdr:x>0.24101</cdr:x>
      <cdr:y>0.03928</cdr:y>
    </cdr:from>
    <cdr:to>
      <cdr:x>0.66474</cdr:x>
      <cdr:y>0.14837</cdr:y>
    </cdr:to>
    <cdr:sp macro="" textlink="">
      <cdr:nvSpPr>
        <cdr:cNvPr id="2" name="TextBox 8"/>
        <cdr:cNvSpPr txBox="1"/>
      </cdr:nvSpPr>
      <cdr:spPr>
        <a:xfrm xmlns:a="http://schemas.openxmlformats.org/drawingml/2006/main">
          <a:off x="650119" y="93386"/>
          <a:ext cx="1143000" cy="259355"/>
        </a:xfrm>
        <a:prstGeom xmlns:a="http://schemas.openxmlformats.org/drawingml/2006/main" prst="rect">
          <a:avLst/>
        </a:prstGeom>
        <a:noFill xmlns:a="http://schemas.openxmlformats.org/drawingml/2006/main"/>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en-US" sz="1000" b="1" u="sng">
              <a:latin typeface="Times New Roman" pitchFamily="18" charset="0"/>
              <a:cs typeface="Times New Roman" pitchFamily="18" charset="0"/>
            </a:rPr>
            <a:t>(b) Quartz/Epoxy</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NR fo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9D71E05A-0336-7D49-9EF0-58772F4D0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116</Pages>
  <Words>38475</Words>
  <Characters>219312</Characters>
  <Application>Microsoft Macintosh Word</Application>
  <DocSecurity>0</DocSecurity>
  <Lines>1827</Lines>
  <Paragraphs>514</Paragraphs>
  <ScaleCrop>false</ScaleCrop>
  <HeadingPairs>
    <vt:vector size="2" baseType="variant">
      <vt:variant>
        <vt:lpstr>Title</vt:lpstr>
      </vt:variant>
      <vt:variant>
        <vt:i4>1</vt:i4>
      </vt:variant>
    </vt:vector>
  </HeadingPairs>
  <TitlesOfParts>
    <vt:vector size="1" baseType="lpstr">
      <vt:lpstr>Selection of Energy Harvesting Techniques using Climatic Data</vt:lpstr>
    </vt:vector>
  </TitlesOfParts>
  <Company>Hewlett-Packard Company</Company>
  <LinksUpToDate>false</LinksUpToDate>
  <CharactersWithSpaces>257273</CharactersWithSpaces>
  <SharedDoc>false</SharedDoc>
  <HLinks>
    <vt:vector size="228" baseType="variant">
      <vt:variant>
        <vt:i4>1835067</vt:i4>
      </vt:variant>
      <vt:variant>
        <vt:i4>224</vt:i4>
      </vt:variant>
      <vt:variant>
        <vt:i4>0</vt:i4>
      </vt:variant>
      <vt:variant>
        <vt:i4>5</vt:i4>
      </vt:variant>
      <vt:variant>
        <vt:lpwstr/>
      </vt:variant>
      <vt:variant>
        <vt:lpwstr>_Toc258108179</vt:lpwstr>
      </vt:variant>
      <vt:variant>
        <vt:i4>1835067</vt:i4>
      </vt:variant>
      <vt:variant>
        <vt:i4>218</vt:i4>
      </vt:variant>
      <vt:variant>
        <vt:i4>0</vt:i4>
      </vt:variant>
      <vt:variant>
        <vt:i4>5</vt:i4>
      </vt:variant>
      <vt:variant>
        <vt:lpwstr/>
      </vt:variant>
      <vt:variant>
        <vt:lpwstr>_Toc258108178</vt:lpwstr>
      </vt:variant>
      <vt:variant>
        <vt:i4>1835067</vt:i4>
      </vt:variant>
      <vt:variant>
        <vt:i4>212</vt:i4>
      </vt:variant>
      <vt:variant>
        <vt:i4>0</vt:i4>
      </vt:variant>
      <vt:variant>
        <vt:i4>5</vt:i4>
      </vt:variant>
      <vt:variant>
        <vt:lpwstr/>
      </vt:variant>
      <vt:variant>
        <vt:lpwstr>_Toc258108177</vt:lpwstr>
      </vt:variant>
      <vt:variant>
        <vt:i4>1835067</vt:i4>
      </vt:variant>
      <vt:variant>
        <vt:i4>206</vt:i4>
      </vt:variant>
      <vt:variant>
        <vt:i4>0</vt:i4>
      </vt:variant>
      <vt:variant>
        <vt:i4>5</vt:i4>
      </vt:variant>
      <vt:variant>
        <vt:lpwstr/>
      </vt:variant>
      <vt:variant>
        <vt:lpwstr>_Toc258108176</vt:lpwstr>
      </vt:variant>
      <vt:variant>
        <vt:i4>1835067</vt:i4>
      </vt:variant>
      <vt:variant>
        <vt:i4>200</vt:i4>
      </vt:variant>
      <vt:variant>
        <vt:i4>0</vt:i4>
      </vt:variant>
      <vt:variant>
        <vt:i4>5</vt:i4>
      </vt:variant>
      <vt:variant>
        <vt:lpwstr/>
      </vt:variant>
      <vt:variant>
        <vt:lpwstr>_Toc258108175</vt:lpwstr>
      </vt:variant>
      <vt:variant>
        <vt:i4>1835067</vt:i4>
      </vt:variant>
      <vt:variant>
        <vt:i4>194</vt:i4>
      </vt:variant>
      <vt:variant>
        <vt:i4>0</vt:i4>
      </vt:variant>
      <vt:variant>
        <vt:i4>5</vt:i4>
      </vt:variant>
      <vt:variant>
        <vt:lpwstr/>
      </vt:variant>
      <vt:variant>
        <vt:lpwstr>_Toc258108174</vt:lpwstr>
      </vt:variant>
      <vt:variant>
        <vt:i4>1835067</vt:i4>
      </vt:variant>
      <vt:variant>
        <vt:i4>188</vt:i4>
      </vt:variant>
      <vt:variant>
        <vt:i4>0</vt:i4>
      </vt:variant>
      <vt:variant>
        <vt:i4>5</vt:i4>
      </vt:variant>
      <vt:variant>
        <vt:lpwstr/>
      </vt:variant>
      <vt:variant>
        <vt:lpwstr>_Toc258108173</vt:lpwstr>
      </vt:variant>
      <vt:variant>
        <vt:i4>1835067</vt:i4>
      </vt:variant>
      <vt:variant>
        <vt:i4>182</vt:i4>
      </vt:variant>
      <vt:variant>
        <vt:i4>0</vt:i4>
      </vt:variant>
      <vt:variant>
        <vt:i4>5</vt:i4>
      </vt:variant>
      <vt:variant>
        <vt:lpwstr/>
      </vt:variant>
      <vt:variant>
        <vt:lpwstr>_Toc258108172</vt:lpwstr>
      </vt:variant>
      <vt:variant>
        <vt:i4>1835067</vt:i4>
      </vt:variant>
      <vt:variant>
        <vt:i4>176</vt:i4>
      </vt:variant>
      <vt:variant>
        <vt:i4>0</vt:i4>
      </vt:variant>
      <vt:variant>
        <vt:i4>5</vt:i4>
      </vt:variant>
      <vt:variant>
        <vt:lpwstr/>
      </vt:variant>
      <vt:variant>
        <vt:lpwstr>_Toc258108171</vt:lpwstr>
      </vt:variant>
      <vt:variant>
        <vt:i4>1835067</vt:i4>
      </vt:variant>
      <vt:variant>
        <vt:i4>170</vt:i4>
      </vt:variant>
      <vt:variant>
        <vt:i4>0</vt:i4>
      </vt:variant>
      <vt:variant>
        <vt:i4>5</vt:i4>
      </vt:variant>
      <vt:variant>
        <vt:lpwstr/>
      </vt:variant>
      <vt:variant>
        <vt:lpwstr>_Toc258108170</vt:lpwstr>
      </vt:variant>
      <vt:variant>
        <vt:i4>1900603</vt:i4>
      </vt:variant>
      <vt:variant>
        <vt:i4>164</vt:i4>
      </vt:variant>
      <vt:variant>
        <vt:i4>0</vt:i4>
      </vt:variant>
      <vt:variant>
        <vt:i4>5</vt:i4>
      </vt:variant>
      <vt:variant>
        <vt:lpwstr/>
      </vt:variant>
      <vt:variant>
        <vt:lpwstr>_Toc258108169</vt:lpwstr>
      </vt:variant>
      <vt:variant>
        <vt:i4>1900603</vt:i4>
      </vt:variant>
      <vt:variant>
        <vt:i4>158</vt:i4>
      </vt:variant>
      <vt:variant>
        <vt:i4>0</vt:i4>
      </vt:variant>
      <vt:variant>
        <vt:i4>5</vt:i4>
      </vt:variant>
      <vt:variant>
        <vt:lpwstr/>
      </vt:variant>
      <vt:variant>
        <vt:lpwstr>_Toc258108168</vt:lpwstr>
      </vt:variant>
      <vt:variant>
        <vt:i4>1900603</vt:i4>
      </vt:variant>
      <vt:variant>
        <vt:i4>152</vt:i4>
      </vt:variant>
      <vt:variant>
        <vt:i4>0</vt:i4>
      </vt:variant>
      <vt:variant>
        <vt:i4>5</vt:i4>
      </vt:variant>
      <vt:variant>
        <vt:lpwstr/>
      </vt:variant>
      <vt:variant>
        <vt:lpwstr>_Toc258108167</vt:lpwstr>
      </vt:variant>
      <vt:variant>
        <vt:i4>1900603</vt:i4>
      </vt:variant>
      <vt:variant>
        <vt:i4>146</vt:i4>
      </vt:variant>
      <vt:variant>
        <vt:i4>0</vt:i4>
      </vt:variant>
      <vt:variant>
        <vt:i4>5</vt:i4>
      </vt:variant>
      <vt:variant>
        <vt:lpwstr/>
      </vt:variant>
      <vt:variant>
        <vt:lpwstr>_Toc258108166</vt:lpwstr>
      </vt:variant>
      <vt:variant>
        <vt:i4>1900603</vt:i4>
      </vt:variant>
      <vt:variant>
        <vt:i4>140</vt:i4>
      </vt:variant>
      <vt:variant>
        <vt:i4>0</vt:i4>
      </vt:variant>
      <vt:variant>
        <vt:i4>5</vt:i4>
      </vt:variant>
      <vt:variant>
        <vt:lpwstr/>
      </vt:variant>
      <vt:variant>
        <vt:lpwstr>_Toc258108165</vt:lpwstr>
      </vt:variant>
      <vt:variant>
        <vt:i4>1900603</vt:i4>
      </vt:variant>
      <vt:variant>
        <vt:i4>134</vt:i4>
      </vt:variant>
      <vt:variant>
        <vt:i4>0</vt:i4>
      </vt:variant>
      <vt:variant>
        <vt:i4>5</vt:i4>
      </vt:variant>
      <vt:variant>
        <vt:lpwstr/>
      </vt:variant>
      <vt:variant>
        <vt:lpwstr>_Toc258108164</vt:lpwstr>
      </vt:variant>
      <vt:variant>
        <vt:i4>1900603</vt:i4>
      </vt:variant>
      <vt:variant>
        <vt:i4>128</vt:i4>
      </vt:variant>
      <vt:variant>
        <vt:i4>0</vt:i4>
      </vt:variant>
      <vt:variant>
        <vt:i4>5</vt:i4>
      </vt:variant>
      <vt:variant>
        <vt:lpwstr/>
      </vt:variant>
      <vt:variant>
        <vt:lpwstr>_Toc258108163</vt:lpwstr>
      </vt:variant>
      <vt:variant>
        <vt:i4>1900603</vt:i4>
      </vt:variant>
      <vt:variant>
        <vt:i4>122</vt:i4>
      </vt:variant>
      <vt:variant>
        <vt:i4>0</vt:i4>
      </vt:variant>
      <vt:variant>
        <vt:i4>5</vt:i4>
      </vt:variant>
      <vt:variant>
        <vt:lpwstr/>
      </vt:variant>
      <vt:variant>
        <vt:lpwstr>_Toc258108162</vt:lpwstr>
      </vt:variant>
      <vt:variant>
        <vt:i4>1900603</vt:i4>
      </vt:variant>
      <vt:variant>
        <vt:i4>116</vt:i4>
      </vt:variant>
      <vt:variant>
        <vt:i4>0</vt:i4>
      </vt:variant>
      <vt:variant>
        <vt:i4>5</vt:i4>
      </vt:variant>
      <vt:variant>
        <vt:lpwstr/>
      </vt:variant>
      <vt:variant>
        <vt:lpwstr>_Toc258108161</vt:lpwstr>
      </vt:variant>
      <vt:variant>
        <vt:i4>1900603</vt:i4>
      </vt:variant>
      <vt:variant>
        <vt:i4>110</vt:i4>
      </vt:variant>
      <vt:variant>
        <vt:i4>0</vt:i4>
      </vt:variant>
      <vt:variant>
        <vt:i4>5</vt:i4>
      </vt:variant>
      <vt:variant>
        <vt:lpwstr/>
      </vt:variant>
      <vt:variant>
        <vt:lpwstr>_Toc258108160</vt:lpwstr>
      </vt:variant>
      <vt:variant>
        <vt:i4>1966139</vt:i4>
      </vt:variant>
      <vt:variant>
        <vt:i4>104</vt:i4>
      </vt:variant>
      <vt:variant>
        <vt:i4>0</vt:i4>
      </vt:variant>
      <vt:variant>
        <vt:i4>5</vt:i4>
      </vt:variant>
      <vt:variant>
        <vt:lpwstr/>
      </vt:variant>
      <vt:variant>
        <vt:lpwstr>_Toc258108159</vt:lpwstr>
      </vt:variant>
      <vt:variant>
        <vt:i4>1966139</vt:i4>
      </vt:variant>
      <vt:variant>
        <vt:i4>98</vt:i4>
      </vt:variant>
      <vt:variant>
        <vt:i4>0</vt:i4>
      </vt:variant>
      <vt:variant>
        <vt:i4>5</vt:i4>
      </vt:variant>
      <vt:variant>
        <vt:lpwstr/>
      </vt:variant>
      <vt:variant>
        <vt:lpwstr>_Toc258108158</vt:lpwstr>
      </vt:variant>
      <vt:variant>
        <vt:i4>1966139</vt:i4>
      </vt:variant>
      <vt:variant>
        <vt:i4>92</vt:i4>
      </vt:variant>
      <vt:variant>
        <vt:i4>0</vt:i4>
      </vt:variant>
      <vt:variant>
        <vt:i4>5</vt:i4>
      </vt:variant>
      <vt:variant>
        <vt:lpwstr/>
      </vt:variant>
      <vt:variant>
        <vt:lpwstr>_Toc258108157</vt:lpwstr>
      </vt:variant>
      <vt:variant>
        <vt:i4>1966139</vt:i4>
      </vt:variant>
      <vt:variant>
        <vt:i4>86</vt:i4>
      </vt:variant>
      <vt:variant>
        <vt:i4>0</vt:i4>
      </vt:variant>
      <vt:variant>
        <vt:i4>5</vt:i4>
      </vt:variant>
      <vt:variant>
        <vt:lpwstr/>
      </vt:variant>
      <vt:variant>
        <vt:lpwstr>_Toc258108156</vt:lpwstr>
      </vt:variant>
      <vt:variant>
        <vt:i4>1966139</vt:i4>
      </vt:variant>
      <vt:variant>
        <vt:i4>80</vt:i4>
      </vt:variant>
      <vt:variant>
        <vt:i4>0</vt:i4>
      </vt:variant>
      <vt:variant>
        <vt:i4>5</vt:i4>
      </vt:variant>
      <vt:variant>
        <vt:lpwstr/>
      </vt:variant>
      <vt:variant>
        <vt:lpwstr>_Toc258108155</vt:lpwstr>
      </vt:variant>
      <vt:variant>
        <vt:i4>1966139</vt:i4>
      </vt:variant>
      <vt:variant>
        <vt:i4>74</vt:i4>
      </vt:variant>
      <vt:variant>
        <vt:i4>0</vt:i4>
      </vt:variant>
      <vt:variant>
        <vt:i4>5</vt:i4>
      </vt:variant>
      <vt:variant>
        <vt:lpwstr/>
      </vt:variant>
      <vt:variant>
        <vt:lpwstr>_Toc258108154</vt:lpwstr>
      </vt:variant>
      <vt:variant>
        <vt:i4>1966139</vt:i4>
      </vt:variant>
      <vt:variant>
        <vt:i4>68</vt:i4>
      </vt:variant>
      <vt:variant>
        <vt:i4>0</vt:i4>
      </vt:variant>
      <vt:variant>
        <vt:i4>5</vt:i4>
      </vt:variant>
      <vt:variant>
        <vt:lpwstr/>
      </vt:variant>
      <vt:variant>
        <vt:lpwstr>_Toc258108153</vt:lpwstr>
      </vt:variant>
      <vt:variant>
        <vt:i4>1966139</vt:i4>
      </vt:variant>
      <vt:variant>
        <vt:i4>62</vt:i4>
      </vt:variant>
      <vt:variant>
        <vt:i4>0</vt:i4>
      </vt:variant>
      <vt:variant>
        <vt:i4>5</vt:i4>
      </vt:variant>
      <vt:variant>
        <vt:lpwstr/>
      </vt:variant>
      <vt:variant>
        <vt:lpwstr>_Toc258108152</vt:lpwstr>
      </vt:variant>
      <vt:variant>
        <vt:i4>1966139</vt:i4>
      </vt:variant>
      <vt:variant>
        <vt:i4>56</vt:i4>
      </vt:variant>
      <vt:variant>
        <vt:i4>0</vt:i4>
      </vt:variant>
      <vt:variant>
        <vt:i4>5</vt:i4>
      </vt:variant>
      <vt:variant>
        <vt:lpwstr/>
      </vt:variant>
      <vt:variant>
        <vt:lpwstr>_Toc258108151</vt:lpwstr>
      </vt:variant>
      <vt:variant>
        <vt:i4>1966139</vt:i4>
      </vt:variant>
      <vt:variant>
        <vt:i4>50</vt:i4>
      </vt:variant>
      <vt:variant>
        <vt:i4>0</vt:i4>
      </vt:variant>
      <vt:variant>
        <vt:i4>5</vt:i4>
      </vt:variant>
      <vt:variant>
        <vt:lpwstr/>
      </vt:variant>
      <vt:variant>
        <vt:lpwstr>_Toc258108150</vt:lpwstr>
      </vt:variant>
      <vt:variant>
        <vt:i4>2031675</vt:i4>
      </vt:variant>
      <vt:variant>
        <vt:i4>44</vt:i4>
      </vt:variant>
      <vt:variant>
        <vt:i4>0</vt:i4>
      </vt:variant>
      <vt:variant>
        <vt:i4>5</vt:i4>
      </vt:variant>
      <vt:variant>
        <vt:lpwstr/>
      </vt:variant>
      <vt:variant>
        <vt:lpwstr>_Toc258108149</vt:lpwstr>
      </vt:variant>
      <vt:variant>
        <vt:i4>2031675</vt:i4>
      </vt:variant>
      <vt:variant>
        <vt:i4>38</vt:i4>
      </vt:variant>
      <vt:variant>
        <vt:i4>0</vt:i4>
      </vt:variant>
      <vt:variant>
        <vt:i4>5</vt:i4>
      </vt:variant>
      <vt:variant>
        <vt:lpwstr/>
      </vt:variant>
      <vt:variant>
        <vt:lpwstr>_Toc258108148</vt:lpwstr>
      </vt:variant>
      <vt:variant>
        <vt:i4>2031675</vt:i4>
      </vt:variant>
      <vt:variant>
        <vt:i4>32</vt:i4>
      </vt:variant>
      <vt:variant>
        <vt:i4>0</vt:i4>
      </vt:variant>
      <vt:variant>
        <vt:i4>5</vt:i4>
      </vt:variant>
      <vt:variant>
        <vt:lpwstr/>
      </vt:variant>
      <vt:variant>
        <vt:lpwstr>_Toc258108147</vt:lpwstr>
      </vt:variant>
      <vt:variant>
        <vt:i4>2031675</vt:i4>
      </vt:variant>
      <vt:variant>
        <vt:i4>26</vt:i4>
      </vt:variant>
      <vt:variant>
        <vt:i4>0</vt:i4>
      </vt:variant>
      <vt:variant>
        <vt:i4>5</vt:i4>
      </vt:variant>
      <vt:variant>
        <vt:lpwstr/>
      </vt:variant>
      <vt:variant>
        <vt:lpwstr>_Toc258108146</vt:lpwstr>
      </vt:variant>
      <vt:variant>
        <vt:i4>2031675</vt:i4>
      </vt:variant>
      <vt:variant>
        <vt:i4>20</vt:i4>
      </vt:variant>
      <vt:variant>
        <vt:i4>0</vt:i4>
      </vt:variant>
      <vt:variant>
        <vt:i4>5</vt:i4>
      </vt:variant>
      <vt:variant>
        <vt:lpwstr/>
      </vt:variant>
      <vt:variant>
        <vt:lpwstr>_Toc258108145</vt:lpwstr>
      </vt:variant>
      <vt:variant>
        <vt:i4>2031675</vt:i4>
      </vt:variant>
      <vt:variant>
        <vt:i4>14</vt:i4>
      </vt:variant>
      <vt:variant>
        <vt:i4>0</vt:i4>
      </vt:variant>
      <vt:variant>
        <vt:i4>5</vt:i4>
      </vt:variant>
      <vt:variant>
        <vt:lpwstr/>
      </vt:variant>
      <vt:variant>
        <vt:lpwstr>_Toc258108144</vt:lpwstr>
      </vt:variant>
      <vt:variant>
        <vt:i4>2031675</vt:i4>
      </vt:variant>
      <vt:variant>
        <vt:i4>8</vt:i4>
      </vt:variant>
      <vt:variant>
        <vt:i4>0</vt:i4>
      </vt:variant>
      <vt:variant>
        <vt:i4>5</vt:i4>
      </vt:variant>
      <vt:variant>
        <vt:lpwstr/>
      </vt:variant>
      <vt:variant>
        <vt:lpwstr>_Toc258108143</vt:lpwstr>
      </vt:variant>
      <vt:variant>
        <vt:i4>2031675</vt:i4>
      </vt:variant>
      <vt:variant>
        <vt:i4>2</vt:i4>
      </vt:variant>
      <vt:variant>
        <vt:i4>0</vt:i4>
      </vt:variant>
      <vt:variant>
        <vt:i4>5</vt:i4>
      </vt:variant>
      <vt:variant>
        <vt:lpwstr/>
      </vt:variant>
      <vt:variant>
        <vt:lpwstr>_Toc258108142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Selection of Energy Harvesting Techniques using Climatic Data</dc:title>
  <dc:creator>K Hurdelbrink II</dc:creator>
  <cp:lastModifiedBy>Keith Hurdelbrink</cp:lastModifiedBy>
  <cp:revision>7</cp:revision>
  <cp:lastPrinted>2017-01-18T06:40:00Z</cp:lastPrinted>
  <dcterms:created xsi:type="dcterms:W3CDTF">2017-01-18T05:04:00Z</dcterms:created>
  <dcterms:modified xsi:type="dcterms:W3CDTF">2017-01-18T14:18:00Z</dcterms:modified>
</cp:coreProperties>
</file>